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3" w:rsidRDefault="00F62E46" w:rsidP="00F62E4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CBF271B-FF81-45A0-9730-E387442E3B64" style="width:451.05pt;height:469.05pt">
            <v:imagedata r:id="rId9" o:title=""/>
          </v:shape>
        </w:pict>
      </w:r>
    </w:p>
    <w:bookmarkEnd w:id="0"/>
    <w:p w:rsidR="00253BD3" w:rsidRDefault="00253BD3">
      <w:pPr>
        <w:rPr>
          <w:noProof/>
        </w:rPr>
        <w:sectPr w:rsidR="00253BD3" w:rsidSect="00F62E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53BD3" w:rsidRDefault="00F62E4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sz w:val="28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smallCaps/>
          <w:noProof/>
          <w:sz w:val="28"/>
        </w:rPr>
        <w:lastRenderedPageBreak/>
        <w:t>Taqsima 1 - Sfond u Prinċipji Ġenerali</w:t>
      </w:r>
    </w:p>
    <w:p w:rsidR="00253BD3" w:rsidRDefault="00F62E46">
      <w:pPr>
        <w:pStyle w:val="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Bażi ġuridika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Dan ir-rapport jirrigwarda l-livell tar-rappreżentanza taċ-ċittadini ta’ kull Stat Membru fost </w:t>
      </w:r>
      <w:r>
        <w:rPr>
          <w:rFonts w:ascii="Times New Roman" w:hAnsi="Times New Roman"/>
          <w:noProof/>
          <w:sz w:val="24"/>
        </w:rPr>
        <w:t>il-persunal tal-istituzzjonijiet li għalihom japplikaw ir-Regolamenti tal-Persunal (Staff Regulations, SR). Huwa ppreżentat skont l-Artikolu 27, it-tielet paragrafu, tar-Regolamenti tal-Persunal tal-Uffiċjali tal-Unjoni Ewropea (SR) u r-raba’ paragrafu tal</w:t>
      </w:r>
      <w:r>
        <w:rPr>
          <w:rFonts w:ascii="Times New Roman" w:hAnsi="Times New Roman"/>
          <w:noProof/>
          <w:sz w:val="24"/>
        </w:rPr>
        <w:t>-ewwel paragrafu tal-Artikolu 12, tal-Kondizzjonijiet tal-Impjieg ta’ Ħaddiema Oħra tal-Unjoni Ewropea (Conditions of Employment of Other Servants, CEOS). Sakemm ma jkunx provdut b’mod espliċitu ieħor, kwalunkwe referenza għall-Artikolu 27 SR tirreferi wko</w:t>
      </w:r>
      <w:r>
        <w:rPr>
          <w:rFonts w:ascii="Times New Roman" w:hAnsi="Times New Roman"/>
          <w:noProof/>
          <w:sz w:val="24"/>
        </w:rPr>
        <w:t>ll għall-Artikolu 12 CEOS.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Bħala regola ġenerali, id-diskriminazzjoni abbażi tan-nazzjonalità hija pprojbita mit-Trattati, mill-Karta tad-Drittijiet Fundamentali u mir-Regolamenti tal-Persunal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>. Fl-istess ħin, ir-Regolamenti tal-Persunal jeħtieġu li l-isti</w:t>
      </w:r>
      <w:r>
        <w:rPr>
          <w:rFonts w:ascii="Times New Roman" w:hAnsi="Times New Roman"/>
          <w:noProof/>
          <w:sz w:val="24"/>
        </w:rPr>
        <w:t>tuzzjonijiet tal-UE jirreklutaw persunal mill-aktar bażi ġeografika wiesgħa possibbli (l-Artikolu 27 SR)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>. Il-bilanċ bejn dawn iż-żewġ elementi diġà jippermetti lill-istituzzjonijiet iqisu n-nazzjonalità, anke biex jimlew postijiet speċifiċi “fejn il-kwali</w:t>
      </w:r>
      <w:r>
        <w:rPr>
          <w:rFonts w:ascii="Times New Roman" w:hAnsi="Times New Roman"/>
          <w:noProof/>
          <w:sz w:val="24"/>
        </w:rPr>
        <w:t>fiki tad-diversi applikanti huma sostanzjalment l-istess”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 xml:space="preserve">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Bir-riforma tar-Regolamenti tal-Persunal fl-2013 u r-referenza tagħha għall-prinċipju li ċ-ċittadini kollha tal-Unjoni huma ugwali, il-koleġiżlaturi introduċew bażi ġuridika ġdida għal kull istit</w:t>
      </w:r>
      <w:r>
        <w:rPr>
          <w:rFonts w:ascii="Times New Roman" w:hAnsi="Times New Roman"/>
          <w:noProof/>
          <w:sz w:val="24"/>
        </w:rPr>
        <w:t>uzzjoni biex tadotta miżuri xierqa fejn jiġi osservat żbilanċ sinifikanti bejn in-nazzjonalitajiet tal-uffiċjali, li mhuwiex iġġustifikat minn kriterji oġġettivi. L-għan ta’ din l-emenda kien li tipprovdi l-mezzi legali meħtieġa biex jittrattaw sitwazzjoni</w:t>
      </w:r>
      <w:r>
        <w:rPr>
          <w:rFonts w:ascii="Times New Roman" w:hAnsi="Times New Roman"/>
          <w:noProof/>
          <w:sz w:val="24"/>
        </w:rPr>
        <w:t xml:space="preserve">jiet ta’ żbilanċ sinifikanti, li jkunu f’kontradizzjoni mal-prinċipju stess tal-ugwaljanza taċ-ċittadini tal-Unjoni. </w:t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pStyle w:val="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Kamp ta’ applikazzjoni tar-Rapport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L-Artikolu 27SR jitlob li l-Kummissjoni tirrapporta lill-Parlament Ewropew u lill-Kunsill dwar </w:t>
      </w:r>
      <w:r>
        <w:rPr>
          <w:rFonts w:ascii="Times New Roman" w:hAnsi="Times New Roman"/>
          <w:noProof/>
          <w:sz w:val="24"/>
        </w:rPr>
        <w:t>l-implimentazzjoni ta’ dan l-Artikolu. Għall-fini tar-rapport, id-definizzjonijiet li ġejjin huma użati:</w:t>
      </w:r>
    </w:p>
    <w:p w:rsidR="00253BD3" w:rsidRDefault="00F62E46">
      <w:pPr>
        <w:tabs>
          <w:tab w:val="num" w:pos="283"/>
        </w:tabs>
        <w:spacing w:after="240" w:line="24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Istituzzjonijiet: </w:t>
      </w:r>
      <w:r>
        <w:rPr>
          <w:rFonts w:ascii="Times New Roman" w:hAnsi="Times New Roman"/>
          <w:noProof/>
          <w:sz w:val="24"/>
        </w:rPr>
        <w:t>l-istituzzjonijiet ikkonċernati huma dawk li għalihom japplikaw ir-Regolamenti tal-Persunal. Il-Kummissjoni stiednet lill-istituzzjon</w:t>
      </w:r>
      <w:r>
        <w:rPr>
          <w:rFonts w:ascii="Times New Roman" w:hAnsi="Times New Roman"/>
          <w:noProof/>
          <w:sz w:val="24"/>
        </w:rPr>
        <w:t>ijiet u lill-aġenziji deċentralizzati kollha biex jikkontribwixxu. Taqsima speċifika hija ddedikata għall-istituzzjonijiet u l-aġenziji kontribwenti.</w:t>
      </w:r>
    </w:p>
    <w:p w:rsidR="00253BD3" w:rsidRDefault="00F62E46">
      <w:pPr>
        <w:tabs>
          <w:tab w:val="num" w:pos="283"/>
        </w:tabs>
        <w:spacing w:after="240" w:line="24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Membri tal-persunal</w:t>
      </w:r>
      <w:r>
        <w:rPr>
          <w:rFonts w:ascii="Times New Roman" w:hAnsi="Times New Roman"/>
          <w:noProof/>
          <w:sz w:val="24"/>
        </w:rPr>
        <w:t>: il-bażi ġuridika tkopri uffiċjali (l-Artikolu 27 SR) u persunal temporanju (l-Artikol</w:t>
      </w:r>
      <w:r>
        <w:rPr>
          <w:rFonts w:ascii="Times New Roman" w:hAnsi="Times New Roman"/>
          <w:noProof/>
          <w:sz w:val="24"/>
        </w:rPr>
        <w:t>u 12 CEOS). Iż-żewġ popolazzjonijiet jiġu eżaminati flimkien.</w:t>
      </w:r>
    </w:p>
    <w:p w:rsidR="00253BD3" w:rsidRDefault="00F62E46">
      <w:pPr>
        <w:tabs>
          <w:tab w:val="num" w:pos="283"/>
        </w:tabs>
        <w:spacing w:after="240" w:line="24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Grupp ta’ funzjoni: </w:t>
      </w:r>
      <w:r>
        <w:rPr>
          <w:rFonts w:ascii="Times New Roman" w:hAnsi="Times New Roman"/>
          <w:noProof/>
          <w:sz w:val="24"/>
        </w:rPr>
        <w:t>il-bażi ġuridika ma teħtieġx li ssir distinzjoni skont il-grupp ta’ funzjoni. Madankollu, wara li kkunsidrat l-għan sottostanti tar-rapport, l-analiżi li tikkonċerna l-Kummis</w:t>
      </w:r>
      <w:r>
        <w:rPr>
          <w:rFonts w:ascii="Times New Roman" w:hAnsi="Times New Roman"/>
          <w:noProof/>
          <w:sz w:val="24"/>
        </w:rPr>
        <w:t xml:space="preserve">sjoni se tiffoka fuq il-grupp ta’ funzjoni AD.  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sz w:val="28"/>
          <w:szCs w:val="20"/>
        </w:rPr>
      </w:pPr>
      <w:r>
        <w:rPr>
          <w:rFonts w:ascii="Times New Roman" w:hAnsi="Times New Roman"/>
          <w:b/>
          <w:smallCaps/>
          <w:noProof/>
          <w:sz w:val="28"/>
        </w:rPr>
        <w:t>Taqsima 2 - Il-Kummissjoni Ewropea</w:t>
      </w:r>
    </w:p>
    <w:p w:rsidR="00253BD3" w:rsidRDefault="00F62E46">
      <w:pPr>
        <w:keepNext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Metodoloġija</w:t>
      </w:r>
    </w:p>
    <w:p w:rsidR="00253BD3" w:rsidRDefault="00F62E46">
      <w:pPr>
        <w:keepNext/>
        <w:numPr>
          <w:ilvl w:val="1"/>
          <w:numId w:val="0"/>
        </w:numPr>
        <w:tabs>
          <w:tab w:val="num" w:pos="567"/>
        </w:tabs>
        <w:spacing w:after="24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1.1.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Sfond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Qabel id-dħul fis-seħħ tal-Artikolu 27 SR fit-test attwali tiegħu, il-kwistjoni tal-bilanċ ġeografiku kienet indirizzata primarjament matul </w:t>
      </w:r>
      <w:r>
        <w:rPr>
          <w:rFonts w:ascii="Times New Roman" w:hAnsi="Times New Roman"/>
          <w:noProof/>
          <w:sz w:val="24"/>
        </w:rPr>
        <w:t>it-tkabbir tal-Unjoni lill-Istati Membri l-ġodda. L-għan f’kull każ kien li jintlaħaq, f’perjodu ta’ żmien limitat, livell adegwat ta’ rappreżentanza ta’ ċittadini minn Stati Membri ġodda filwaqt li jitqies id-daqs relattiv tat-tkabbir meta mqabbel mas-sit</w:t>
      </w:r>
      <w:r>
        <w:rPr>
          <w:rFonts w:ascii="Times New Roman" w:hAnsi="Times New Roman"/>
          <w:noProof/>
          <w:sz w:val="24"/>
        </w:rPr>
        <w:t>wazzjoni eżistenti.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Il-Kummissjoni adottat diversi komunikazzjonijiet li jistabbilixxu l-metodoloġija għad-definizzjoni tal-għan li għandu jintlaħaq, kemm jekk tkun fil-forma ta’ “rati ta’ gwida” qabel l-2003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jew “miri indikattivi għar-reklutaġġ” mill-200</w:t>
      </w:r>
      <w:r>
        <w:rPr>
          <w:rFonts w:ascii="Times New Roman" w:hAnsi="Times New Roman"/>
          <w:noProof/>
          <w:sz w:val="24"/>
        </w:rPr>
        <w:t>3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>. Il-Kummissjoni rrappurtat regolament dwar il-progress lejn il-kisba tal-miri tar-reklutaġġ u adottat miżuri korrettivi meta kien meħtieġ.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lastRenderedPageBreak/>
        <w:t xml:space="preserve">Ħarsa ġenerali ddettaljata tal-evoluzzjoni tar-“rati ta’ gwida” applikabbli qabel l-2003 hija pprovduta fl-Anness </w:t>
      </w:r>
      <w:r>
        <w:rPr>
          <w:rFonts w:ascii="Times New Roman" w:hAnsi="Times New Roman"/>
          <w:noProof/>
          <w:sz w:val="24"/>
        </w:rPr>
        <w:t xml:space="preserve">2 flimkien ma’ tabella li tistabbilixxi l-miri tar-reklutaġġ adottati mill-2003. 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Il-metodoloġija għall-iffissar ta’ rati ta’ gwida u l-miri indikattivi għar-reklutaġġ fl-2003 kienet meqjusa bħala tranżitorja bl-aħħar fażi tat-tranżizzjoni li tintemm fl-20</w:t>
      </w:r>
      <w:r>
        <w:rPr>
          <w:rFonts w:ascii="Times New Roman" w:hAnsi="Times New Roman"/>
          <w:noProof/>
          <w:sz w:val="24"/>
        </w:rPr>
        <w:t>18 wara t-tkabbir għall-Kroazja. Il-kundizzjonijiet issa huma sodisfatti biex jiddefinixxu “rati ta’ gwida” għall-Istati Membri bbażati fuq metodoloġija waħda.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1"/>
          <w:numId w:val="0"/>
        </w:numPr>
        <w:tabs>
          <w:tab w:val="num" w:pos="567"/>
        </w:tabs>
        <w:spacing w:after="24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1.2.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Livell ta’ rappreżentanza tan-nazzjonalitajiet</w:t>
      </w: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1.2.1.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Nazzjonalità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Skont l-Artikolu 28(a)SR, uffiċjal jista’ jinħatar biss bil-kundizzjoni li jkun ċittadin ta’ wieħed mill-Istati Membri tal-Unjoni sakemm ma tkunx awtorizzata eċċezzjoni mill-awtorità tal-ħatra.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Kull uffiċjal għalhekk għandu jiddikjara mill-inqas ċittadina</w:t>
      </w:r>
      <w:r>
        <w:rPr>
          <w:rFonts w:ascii="Times New Roman" w:hAnsi="Times New Roman"/>
          <w:noProof/>
          <w:sz w:val="24"/>
        </w:rPr>
        <w:t>nza waħda fil-ħin tal-ħatra tiegħu. Din in-nazzjonalità hija kkodifikata fis-sistema ta’ informazzjoni bħala “l-ewwel nazzjonalità” u tibqa’ kostanti sakemm ma tintalabx bidla mill-uffiċjal.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L-“ewwel nazzjonalità” tintuża bħala bażi biex tistabbilixxi dan </w:t>
      </w:r>
      <w:r>
        <w:rPr>
          <w:rFonts w:ascii="Times New Roman" w:hAnsi="Times New Roman"/>
          <w:noProof/>
          <w:sz w:val="24"/>
        </w:rPr>
        <w:t>ir-rapport.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L-uffiċjali jistgħu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jiddikjaraw nazzjonalitajiet oħra fil-ħin tal-ħatra tagħhom jew matul il-karriera tagħhom. Kwalunkwe nazzjonalità li tiġi addizzjonali għall-“ewwel nazzjonalità” hija kkodifikata fis-sistema ta’ informazzjoni bħala “t-tieni</w:t>
      </w:r>
      <w:r>
        <w:rPr>
          <w:rFonts w:ascii="Times New Roman" w:hAnsi="Times New Roman"/>
          <w:noProof/>
          <w:sz w:val="24"/>
        </w:rPr>
        <w:t xml:space="preserve"> nazzjonalità” jew “it-tielet nazzjonalità”, eċċ.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Fl-1 ta’ Jannar 2018, 1041 uffiċjal u persunal temporanju kienu ddikjaraw aktar minn nazzjonalità waħda. Ħarsa ġenerali ddettaljata tal-ewwel u t-tieni nazzjonalitajiet hija pprovduta fl-Anness 7d.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1.2.2.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Rati ta’ Gwida</w:t>
      </w:r>
    </w:p>
    <w:p w:rsidR="00253BD3" w:rsidRDefault="00F62E46">
      <w:pPr>
        <w:keepNext/>
        <w:numPr>
          <w:ilvl w:val="3"/>
          <w:numId w:val="0"/>
        </w:numPr>
        <w:tabs>
          <w:tab w:val="num" w:pos="851"/>
        </w:tabs>
        <w:spacing w:after="240" w:line="240" w:lineRule="auto"/>
        <w:ind w:left="851" w:hanging="851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1.2.2.1.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Ir-Renju Unit</w:t>
      </w:r>
    </w:p>
    <w:p w:rsidR="00253BD3" w:rsidRDefault="00F62E46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Wara n-notifika tar-Renju Unit lill-Kunsill, fid-29 ta’ Marzu 2017, dwar l-intenzjoni tiegħu li jirtira mill-Unjoni, ebda rata ta’ gwida ma hija definita għar-Renju Unit. Fil-fatt, l-analiżi mwettqa fir-rapport se sse</w:t>
      </w:r>
      <w:r>
        <w:rPr>
          <w:rFonts w:ascii="Times New Roman" w:hAnsi="Times New Roman"/>
          <w:noProof/>
          <w:sz w:val="24"/>
        </w:rPr>
        <w:t>rvi bħala bażi għal azzjoni futura. Għalhekk, filwaqt li jiġi rikonoxxut bis-sħiħ il-fatt li r-Renju Unit huwa Stat Membru fiż-żmien tal-adozzjoni ta’ dan ir-rapport, ma jidhirx xieraq f’dan l-istadju li tiġi stabbilita rata ta’ gwida għar-rappreżentanza t</w:t>
      </w:r>
      <w:r>
        <w:rPr>
          <w:rFonts w:ascii="Times New Roman" w:hAnsi="Times New Roman"/>
          <w:noProof/>
          <w:sz w:val="24"/>
        </w:rPr>
        <w:t xml:space="preserve">a’ ċittadini tar-Renju Unit fil-ġejjieni. </w:t>
      </w:r>
    </w:p>
    <w:p w:rsidR="00253BD3" w:rsidRDefault="00F62E46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Sabiex jitqies bis-sħiħ il-fatt li r-Renju Unit jibqa’ Stat Membru sal-jum li jħalli l-Unjoni, u bil-ħsieb li tiġi indirizzata l-kwistjoni mingħajr ma jiġi ppreġudikat ir-riżultat tan-negozjati li għaddejjin, qed </w:t>
      </w:r>
      <w:r>
        <w:rPr>
          <w:rFonts w:ascii="Times New Roman" w:hAnsi="Times New Roman"/>
          <w:noProof/>
          <w:sz w:val="24"/>
        </w:rPr>
        <w:t xml:space="preserve">jiġi propost li terġa’ tiġi kkalkulata kwalunkwe figura rilevanti mingħajr ma jiġu inklużi l-valuri għar-Renju Unit. Ir-rapport jagħti ħarsa ġenerali dettaljata lejn il-preżenza attwali ta’ ċittadini tar-Renju Unit fost il-persunal AD tal-Kummissjoni (ara </w:t>
      </w:r>
      <w:r>
        <w:rPr>
          <w:rFonts w:ascii="Times New Roman" w:hAnsi="Times New Roman"/>
          <w:noProof/>
          <w:sz w:val="24"/>
        </w:rPr>
        <w:t>l-Anness 7c). Iċ-ċittadini tar-Renju Unit jokkupaw fil-biċċa l-kbira gradi ogħla minn AD9. Nofshom kellhom iktar minn 50,5 sena fl-1 ta’ Jannar 2017.</w:t>
      </w:r>
    </w:p>
    <w:p w:rsidR="00253BD3" w:rsidRDefault="00F62E46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Il-Kummissjoni ħadet nota tal-fatt li għadd ta’ ċittadini tar-Renju Unit fost il-persunal tagħha talbu jew</w:t>
      </w:r>
      <w:r>
        <w:rPr>
          <w:rFonts w:ascii="Times New Roman" w:hAnsi="Times New Roman"/>
          <w:noProof/>
          <w:sz w:val="24"/>
        </w:rPr>
        <w:t xml:space="preserve"> jistgħu jitolbu bidla lejn l-ewwel nazzjonalità differenti. </w:t>
      </w:r>
    </w:p>
    <w:p w:rsidR="00253BD3" w:rsidRDefault="00F62E46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Dawn il-bidliet huma ta’ natura eċċezzjonali u għalhekk jixirqilhom trattament speċifiku.</w:t>
      </w:r>
    </w:p>
    <w:p w:rsidR="00253BD3" w:rsidRDefault="00F62E46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Bħala konsegwenza, membri tal-persunal mir-Renju Unit li jiddikjaraw bidla fin-nazzjonalità wara d-29 ta</w:t>
      </w:r>
      <w:r>
        <w:rPr>
          <w:rFonts w:ascii="Times New Roman" w:hAnsi="Times New Roman"/>
          <w:noProof/>
          <w:sz w:val="24"/>
        </w:rPr>
        <w:t>’ Marzu 2017 xorta jibqgħu jitqiesu li żammu n-nazzjonalità tar-Renju Unit bħala l-ewwel nazzjonalità</w:t>
      </w:r>
      <w:r>
        <w:rPr>
          <w:rFonts w:ascii="Times New Roman" w:hAnsi="Times New Roman"/>
          <w:noProof/>
          <w:sz w:val="24"/>
          <w:vertAlign w:val="superscript"/>
        </w:rPr>
        <w:footnoteReference w:id="7"/>
      </w:r>
      <w:r>
        <w:rPr>
          <w:rFonts w:ascii="Times New Roman" w:hAnsi="Times New Roman"/>
          <w:noProof/>
          <w:sz w:val="24"/>
        </w:rPr>
        <w:t xml:space="preserve"> bil-għan li tiġi żgurata rappreżentanza bilanċjata tal-persunal fi ħdan il-Kummissjoni, notevolment fil-livell ta’ tmexxija medja u maniġment superjuri. </w:t>
      </w:r>
      <w:r>
        <w:rPr>
          <w:rFonts w:ascii="Times New Roman" w:hAnsi="Times New Roman"/>
          <w:noProof/>
          <w:sz w:val="24"/>
        </w:rPr>
        <w:t xml:space="preserve"> </w:t>
      </w:r>
    </w:p>
    <w:p w:rsidR="00253BD3" w:rsidRDefault="00253BD3">
      <w:pPr>
        <w:tabs>
          <w:tab w:val="left" w:pos="836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3"/>
          <w:numId w:val="0"/>
        </w:numPr>
        <w:tabs>
          <w:tab w:val="num" w:pos="851"/>
        </w:tabs>
        <w:spacing w:after="240" w:line="240" w:lineRule="auto"/>
        <w:ind w:left="851" w:hanging="851"/>
        <w:jc w:val="both"/>
        <w:outlineLvl w:val="3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1.2.2.2.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Definizzjoni tar-rati ta’ gwida għas-27 Stat Membru li jifdal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Għandu jiġi stabbilit metodu ta’ armonizzazzjoni għall-ippeżar tal-Istati Membri. L-indikatur adottat fl-2003 sabiex jiddefinixxi l-miri indikattivi tar-reklutaġġ jiddependi fuq krit</w:t>
      </w:r>
      <w:r>
        <w:rPr>
          <w:rFonts w:ascii="Times New Roman" w:hAnsi="Times New Roman"/>
          <w:noProof/>
          <w:sz w:val="24"/>
        </w:rPr>
        <w:t>erji oġġettivi, jibbilanċja b’mod ġust il-ħtieġa li tirrifletti l-kompożizzjoni tal-popolazzjoni tal-UE bil-ħtieġa li tiġi żgurata rappreżentanza minima ta’ Stati Membri iżgħar u huwa faċli biex jiġi applikat</w:t>
      </w:r>
      <w:r>
        <w:rPr>
          <w:rFonts w:ascii="Times New Roman" w:hAnsi="Times New Roman"/>
          <w:noProof/>
          <w:sz w:val="24"/>
          <w:vertAlign w:val="superscript"/>
        </w:rPr>
        <w:footnoteReference w:id="8"/>
      </w:r>
      <w:r>
        <w:rPr>
          <w:rFonts w:ascii="Times New Roman" w:hAnsi="Times New Roman"/>
          <w:noProof/>
          <w:sz w:val="24"/>
        </w:rPr>
        <w:t xml:space="preserve">. </w:t>
      </w:r>
    </w:p>
    <w:p w:rsidR="00253BD3" w:rsidRDefault="00F62E46">
      <w:pPr>
        <w:spacing w:after="24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Is-servizzi tal-Kummissjoni użaw </w:t>
      </w:r>
      <w:r>
        <w:rPr>
          <w:rFonts w:ascii="Times New Roman" w:hAnsi="Times New Roman"/>
          <w:i/>
          <w:noProof/>
          <w:sz w:val="24"/>
        </w:rPr>
        <w:t>de facto</w:t>
      </w:r>
      <w:r>
        <w:rPr>
          <w:rFonts w:ascii="Times New Roman" w:hAnsi="Times New Roman"/>
          <w:noProof/>
          <w:sz w:val="24"/>
        </w:rPr>
        <w:t xml:space="preserve"> da</w:t>
      </w:r>
      <w:r>
        <w:rPr>
          <w:rFonts w:ascii="Times New Roman" w:hAnsi="Times New Roman"/>
          <w:noProof/>
          <w:sz w:val="24"/>
        </w:rPr>
        <w:t>n l-indikatur mill-2003 meta għamlu analiżi tas-sitwazzjoni f’termini ta’ bilanċ ġeografiku u huwa propost li jinżamm dan l-istess indikatur, mingħajr ir-Renju Unit, għall-fini ta’ dan ir-rapport. Se jiġi aġġornat regolarment biex jirrifletti l-evoluzzjoni</w:t>
      </w:r>
      <w:r>
        <w:rPr>
          <w:rFonts w:ascii="Times New Roman" w:hAnsi="Times New Roman"/>
          <w:noProof/>
          <w:sz w:val="24"/>
        </w:rPr>
        <w:t xml:space="preserve"> tal-komponenti tiegħu.</w:t>
      </w:r>
    </w:p>
    <w:p w:rsidR="00253BD3" w:rsidRDefault="00F62E46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br w:type="page"/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Ir-rati ta’ gwida li rriżultaw attwalment huma kif ġej (kalkolu fl-Anness 5):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500"/>
        <w:gridCol w:w="1280"/>
        <w:gridCol w:w="960"/>
        <w:gridCol w:w="1804"/>
        <w:gridCol w:w="1275"/>
      </w:tblGrid>
      <w:tr w:rsidR="00253BD3">
        <w:trPr>
          <w:trHeight w:val="72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Stat Membru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</w:pPr>
            <w:r>
              <w:rPr>
                <w:rFonts w:ascii="Calibri" w:hAnsi="Calibri"/>
                <w:b/>
                <w:noProof/>
                <w:color w:val="000000"/>
              </w:rPr>
              <w:t>Rata ta’ gwida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Stat Membru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</w:pPr>
            <w:r>
              <w:rPr>
                <w:rFonts w:ascii="Calibri" w:hAnsi="Calibri"/>
                <w:b/>
                <w:noProof/>
                <w:color w:val="000000"/>
              </w:rPr>
              <w:t>Rata ta’ gwida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3,0 %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0,8 %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3,1 %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0,8 %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3,1 %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0,8 %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3,1 %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1,0 %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3,1 %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1,0 %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3,9 %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1,5 %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4,5 %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8,2 %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8,9 %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1,8</w:t>
            </w:r>
            <w:r>
              <w:rPr>
                <w:rFonts w:ascii="Calibri" w:hAnsi="Calibri"/>
                <w:noProof/>
                <w:color w:val="000000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11,2 %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1,8 %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11,6 %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1,8 %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13,8 %</w:t>
            </w: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2,4 %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2,7 %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100,0%</w:t>
            </w:r>
          </w:p>
        </w:tc>
      </w:tr>
    </w:tbl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1.2.3.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Definizzjoni ta’ “preżenza minima” għal kull nazzjonalità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Id-dispożizzjonijiet legali applikabbli dwar il-bilanċ ġeografiku jirriflettu żewġ rekwiżiti fundamentali. L-ewwel, l-għażla u l-proċessi ta’ reklutaġġ huma mistennija li jiġu ddisinjati b’tali mod li jevitaw kwalunkwe preġudizzju bbażat fuq in-nazzjonalit</w:t>
      </w:r>
      <w:r>
        <w:rPr>
          <w:rFonts w:ascii="Times New Roman" w:hAnsi="Times New Roman"/>
          <w:noProof/>
          <w:sz w:val="24"/>
        </w:rPr>
        <w:t xml:space="preserve">à. It-tieni, rappreżentanza ġeografika bbilanċjata fost il-persunal hija meħtieġa biex il-Kummissjoni tilħaq wieħed mill-għanijiet fundamentali tagħha, jiġifieri li tkun qrib iċ-ċittadini u li tirrifletti d-diversità tal-Istati Membri. 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Konsegwentement, il</w:t>
      </w:r>
      <w:r>
        <w:rPr>
          <w:rFonts w:ascii="Times New Roman" w:hAnsi="Times New Roman"/>
          <w:noProof/>
          <w:sz w:val="24"/>
        </w:rPr>
        <w:t xml:space="preserve">-Kummissjoni tqis li </w:t>
      </w:r>
    </w:p>
    <w:p w:rsidR="00253BD3" w:rsidRDefault="00F62E46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livell minimu ta’ preżenza (fost il-persunal tal-Kummissjoni) għandu jkun definit u garantit għal kull nazzjonalità tal-UE, </w:t>
      </w:r>
    </w:p>
    <w:p w:rsidR="00253BD3" w:rsidRDefault="00F62E46">
      <w:pPr>
        <w:pStyle w:val="ListParagraph"/>
        <w:numPr>
          <w:ilvl w:val="0"/>
          <w:numId w:val="36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devjazzjonijiet limitati mir-rati ta’ gwida għandhom ikunu tollerati mhux biss għax mhumiex meqjusa li jpoġġu</w:t>
      </w:r>
      <w:r>
        <w:rPr>
          <w:rFonts w:ascii="Times New Roman" w:hAnsi="Times New Roman"/>
          <w:noProof/>
          <w:sz w:val="24"/>
        </w:rPr>
        <w:t xml:space="preserve"> bilanċ ġeografiku f’riskju imma, barra minn hekk, huma meħtieġa biex jipprevjenu r-riskju ta’ ineffiċjenzi.</w:t>
      </w:r>
    </w:p>
    <w:p w:rsidR="00253BD3" w:rsidRDefault="00F62E4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Fil-prattika, il-Kummissjoni tikkunsidra li żbilanċ sinifikanti huwa osservat jekk is-sehem taċ-ċittadini ta’ Stat Membru wieħed jew aktar fost il-</w:t>
      </w:r>
      <w:r>
        <w:rPr>
          <w:rFonts w:ascii="Times New Roman" w:hAnsi="Times New Roman"/>
          <w:noProof/>
          <w:sz w:val="24"/>
        </w:rPr>
        <w:t>persunal ikun inqas minn 80 % tar-rata ta’ gwida rilevanti.</w:t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br w:type="page"/>
      </w:r>
    </w:p>
    <w:p w:rsidR="00253BD3" w:rsidRDefault="00253BD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1"/>
          <w:numId w:val="0"/>
        </w:numPr>
        <w:tabs>
          <w:tab w:val="num" w:pos="567"/>
        </w:tabs>
        <w:spacing w:after="24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1.3.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Kamp ta’ Applikazzjoni </w:t>
      </w: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1.3.1.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Grupp ta’ funzjoni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Bil-ħsieb li tiġi żgurata l-proporzjonalità tal-miżuri, dan ir-rapport se jiffoka fuq il-grupp ta’ funzjoni AD biss. Filwaqt li l-Artikolu 27 SR japplika għall-persunal kollu irrispettivament mill-grupp ta’ funzjoni, titħalla marġni usa’ ta’ tolleranza għa</w:t>
      </w:r>
      <w:r>
        <w:rPr>
          <w:rFonts w:ascii="Times New Roman" w:hAnsi="Times New Roman"/>
          <w:noProof/>
          <w:sz w:val="24"/>
        </w:rPr>
        <w:t>ll-gruppi ta’ funzjoni AST u AST-SC. Fil-fatt, ir-rekwiżit li jirrifletti d-diversità nazzjonali tal-Unjoni Ewropea huwa iktar strett għall-uffiċjali inkarigati mid-dmirijiet maniġerjali, kunċettwali, analitiċi, lingwistiċi u xjentifiċi (jiġifieri l-ADs) m</w:t>
      </w:r>
      <w:r>
        <w:rPr>
          <w:rFonts w:ascii="Times New Roman" w:hAnsi="Times New Roman"/>
          <w:noProof/>
          <w:sz w:val="24"/>
        </w:rPr>
        <w:t xml:space="preserve">illi għal dawk inkarigati mid-dmirijiet eżekuttivi u tekniċi (jiġifieri l-ASTs) jew dmirijiet klerikali u segretarjali (jiġifieri l-AST-SCs).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Barra minn hekk, il-kompiti eżekuttivi, tekniċi, klerikali u segretarjali huma tipikament imwettqa minn persunal </w:t>
      </w:r>
      <w:r>
        <w:rPr>
          <w:rFonts w:ascii="Times New Roman" w:hAnsi="Times New Roman"/>
          <w:noProof/>
          <w:sz w:val="24"/>
        </w:rPr>
        <w:t xml:space="preserve">reklutat lokalment u ħafna drabi huma inqas attraenti għall-espatrijati.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Għal din ir-raġuni, l-analiżi, kif ukoll kwalunkwe azzjoni possibbli skont l-Artikolu 27, it-tieni paragrafu SR, huma t-tnejn limitati għall-grupp ta’ funzjoni AD.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1.3.2.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 xml:space="preserve">Karigi </w:t>
      </w:r>
      <w:r>
        <w:rPr>
          <w:rFonts w:ascii="Times New Roman" w:hAnsi="Times New Roman"/>
          <w:i/>
          <w:noProof/>
          <w:sz w:val="24"/>
        </w:rPr>
        <w:t>okkupati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Ir-rapport jeżamina biss id-distribuzzjoni tal-persunal li jokkupa karigi mhux maniġerjali. Fil-Kummissjoni, id-distribuzzjoni tan-nazzjonalitajiet tal-persunal maniġerjali hija soġġetta għal regoli u prattiċi distinti kif ukoll għal monitoraġġ sp</w:t>
      </w:r>
      <w:r>
        <w:rPr>
          <w:rFonts w:ascii="Times New Roman" w:hAnsi="Times New Roman"/>
          <w:noProof/>
          <w:sz w:val="24"/>
        </w:rPr>
        <w:t>eċifiku</w:t>
      </w:r>
      <w:r>
        <w:rPr>
          <w:rFonts w:ascii="Times New Roman" w:hAnsi="Times New Roman"/>
          <w:noProof/>
          <w:sz w:val="24"/>
          <w:vertAlign w:val="superscript"/>
        </w:rPr>
        <w:footnoteReference w:id="9"/>
      </w:r>
      <w:r>
        <w:rPr>
          <w:rFonts w:ascii="Times New Roman" w:hAnsi="Times New Roman"/>
          <w:noProof/>
          <w:sz w:val="24"/>
        </w:rPr>
        <w:t>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1.3.3.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 xml:space="preserve">Servizzi lingwistiċi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L-għan ta’ rappreżentanza nazzjonali bilanċjata tal-persunal ma jistax jiġi segwit bl-istess mod fis-servizzi lingwistiċi u s-servizzi mhux lingwistiċi.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Minħabba n-natura u l-għanijiet speċifiċi tagħhom, il-persunal</w:t>
      </w:r>
      <w:r>
        <w:rPr>
          <w:rFonts w:ascii="Times New Roman" w:hAnsi="Times New Roman"/>
          <w:noProof/>
          <w:sz w:val="24"/>
        </w:rPr>
        <w:t xml:space="preserve"> tas-servizzi lingwistiċi jsegwi razzjonal </w:t>
      </w:r>
      <w:r>
        <w:rPr>
          <w:rFonts w:ascii="Times New Roman" w:hAnsi="Times New Roman"/>
          <w:i/>
          <w:noProof/>
          <w:sz w:val="24"/>
        </w:rPr>
        <w:t>sui generis</w:t>
      </w:r>
      <w:r>
        <w:rPr>
          <w:rFonts w:ascii="Times New Roman" w:hAnsi="Times New Roman"/>
          <w:noProof/>
          <w:sz w:val="24"/>
        </w:rPr>
        <w:t>. L-ewwel nett, in-numru meħtieġ ta’ persunal kompetenti fil-lingwa li fiha trid issir it-traduzzjoni huwa determinat minn qabel u indipendenti mid-daqs tal-Istat Membru korrispondenti. It-tieni, filwaq</w:t>
      </w:r>
      <w:r>
        <w:rPr>
          <w:rFonts w:ascii="Times New Roman" w:hAnsi="Times New Roman"/>
          <w:noProof/>
          <w:sz w:val="24"/>
        </w:rPr>
        <w:t>t li r-reklutaġġi fis-servizzi lingwistiċi mhumiex iddettati min-nazzjonalità iżda mill-ħiliet lingwistiċi, teżisti korrelazzjoni qawwija bejn it-tnejn. It-tielet, ċertu numru ta’ lingwi huma l-lingwi uffiċjali ta’ bosta Stati Membri. Għalhekk, skont il-li</w:t>
      </w:r>
      <w:r>
        <w:rPr>
          <w:rFonts w:ascii="Times New Roman" w:hAnsi="Times New Roman"/>
          <w:noProof/>
          <w:sz w:val="24"/>
        </w:rPr>
        <w:t xml:space="preserve">ngwa inkwistjoni, it-tqassim skont in-nazzjonalità tal-persunal f’servizzi lingwistiċi jsegwi mudell li mhuwiex komparabbli ma’ dak tas-servizzi mhux lingwistiċi.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L-applikazzjoni tar-“rati ta’ gwida” deskritti fit-Taqsima 1.2 ta’ hawn fuq għas-servizzi li</w:t>
      </w:r>
      <w:r>
        <w:rPr>
          <w:rFonts w:ascii="Times New Roman" w:hAnsi="Times New Roman"/>
          <w:noProof/>
          <w:sz w:val="24"/>
        </w:rPr>
        <w:t>ngwistiċi la hija sinifikanti u lanqas mixtieqa. It-tabella fl-Anness 6 tagħti d-distribuzzjoni tal-persunal AD mhux maniġerjali kollu fis-servizzi lingwistiċi tal-Kummissjoni (jiġifieri, DĠT u SCIC). It-tabella turi li l-maġġoranza tal-Istati Membri akbar</w:t>
      </w:r>
      <w:r>
        <w:rPr>
          <w:rFonts w:ascii="Times New Roman" w:hAnsi="Times New Roman"/>
          <w:noProof/>
          <w:sz w:val="24"/>
        </w:rPr>
        <w:t xml:space="preserve"> kif ukoll l-Istati Membri li “jaqsmu” l-ilsien / l-ilsna uffiċjali tagħhom ma’ Stati Membri oħra mhumiex rappreżentati biżżejjed. L-iżbilanċi huma saħansitra iktar evidenti meta wieħed iħares separatament lejn ir-raggruppamenti AD5-AD8 u AD9-AD12 iżda, b’</w:t>
      </w:r>
      <w:r>
        <w:rPr>
          <w:rFonts w:ascii="Times New Roman" w:hAnsi="Times New Roman"/>
          <w:noProof/>
          <w:sz w:val="24"/>
        </w:rPr>
        <w:t xml:space="preserve">mod ċar, ir-reklutaġġ immirat fuq din il-bażi għal dawn in-nazzjonalitajiet ma jissodisfa l-ebda rekwiżit operattiv.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Konsegwentement, minħabba l-limitazzjonijiet oġġettivi marbuta mal-persunal tas-servizzi lingwistiċi, il-Kummissjoni teskludi dawn is-serv</w:t>
      </w:r>
      <w:r>
        <w:rPr>
          <w:rFonts w:ascii="Times New Roman" w:hAnsi="Times New Roman"/>
          <w:noProof/>
          <w:sz w:val="24"/>
        </w:rPr>
        <w:t>izzi mill-kamp ta’ applikazzjoni tal-valutazzjoni tal-bilanċ ġeografiku.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1.3.4.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Gradi</w:t>
      </w:r>
    </w:p>
    <w:p w:rsidR="00253BD3" w:rsidRDefault="00F62E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L-Artikolu 27 SR huwa l-ewwel Artikolu fil-Kapitolu dwar ir-reklutaġġ. Fl-applikazzjoni tal-Artikolu 31 SR, uffiċjali fil-grupp ta’ funzjoni AD għandhom jiġu reklutati b</w:t>
      </w:r>
      <w:r>
        <w:rPr>
          <w:rFonts w:ascii="Times New Roman" w:hAnsi="Times New Roman"/>
          <w:noProof/>
          <w:sz w:val="24"/>
        </w:rPr>
        <w:t xml:space="preserve">iss fil-gradi AD5 sa AD8 u, fejn xieraq, fil-gradi AD9, AD10, AD11 jew, eċċezzjonalment, f’AD12. F’konformità ma’ din id-distinzjoni, ir-rapport jeżamina l-kategoriji separatament </w:t>
      </w:r>
    </w:p>
    <w:p w:rsidR="00253BD3" w:rsidRDefault="00F62E4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AD9-AD12 (fejn il-ħatriet ma jistgħux jaqbżu l-20 % tal-ħatriet AD kollha f</w:t>
      </w:r>
      <w:r>
        <w:rPr>
          <w:rFonts w:ascii="Times New Roman" w:hAnsi="Times New Roman"/>
          <w:noProof/>
          <w:sz w:val="24"/>
        </w:rPr>
        <w:t>’sena partikolari)</w:t>
      </w:r>
    </w:p>
    <w:p w:rsidR="00253BD3" w:rsidRDefault="00F62E46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AD5-AD8 (li huma l-aktar gradi komuni għall-ħatriet).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Ta' min jinnota wkoll li mhux biss il-gradi AD13-AD14, bħala regola ġenerali, mhumiex gradi ta' reklutaġġ (u, għaldaqstant, huma esklużi mill-kamp ta' applikazzjoni tal-analiżi) iżda,</w:t>
      </w:r>
      <w:r>
        <w:rPr>
          <w:rFonts w:ascii="Times New Roman" w:hAnsi="Times New Roman"/>
          <w:noProof/>
          <w:sz w:val="24"/>
        </w:rPr>
        <w:t xml:space="preserve"> barra minn hekk, dawn il-gradi huma riżervati għal funzjonijiet maniġerjali jew ta’ konsulenza sa mid-dħul fis-seħħ tar-reviżjoni tal-2014 tar-Regolamenti tal-Persunal. Il-popolazzjoni ta’ dawk li mhumiex maniġers f’din il-kategorija tal-grad hija wirt ta</w:t>
      </w:r>
      <w:r>
        <w:rPr>
          <w:rFonts w:ascii="Times New Roman" w:hAnsi="Times New Roman"/>
          <w:noProof/>
          <w:sz w:val="24"/>
        </w:rPr>
        <w:t xml:space="preserve">l-passat u tikkonsisti primarjament f'ċittadini ta' qabel l-adeżjoni tal-2004. Din il-popolazzjoni se tonqos b’mod sinifikanti matul iż-żmien, billi d-distribuzzjoni tagħhom skont l-età tissuġġerixxi li l-maġġoranza l-kbira tagħhom se jirtiraw fl-10-15-il </w:t>
      </w:r>
      <w:r>
        <w:rPr>
          <w:rFonts w:ascii="Times New Roman" w:hAnsi="Times New Roman"/>
          <w:noProof/>
          <w:sz w:val="24"/>
        </w:rPr>
        <w:t>sena li ġejjin. Għaldaqstant, għadd ta' nazzjonalitajiet ta' qabel l-adeżjoni tal-2004 se jkunu affettwati aktar mill-irtiri li jmiss.</w:t>
      </w:r>
    </w:p>
    <w:p w:rsidR="00253BD3" w:rsidRDefault="00253BD3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tabs>
          <w:tab w:val="num" w:pos="480"/>
        </w:tabs>
        <w:spacing w:before="240" w:after="240" w:line="240" w:lineRule="auto"/>
        <w:ind w:left="480" w:hanging="48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>Sejbiet U Analiżi</w:t>
      </w:r>
    </w:p>
    <w:p w:rsidR="00253BD3" w:rsidRDefault="00F62E46">
      <w:pPr>
        <w:keepNext/>
        <w:numPr>
          <w:ilvl w:val="1"/>
          <w:numId w:val="0"/>
        </w:numPr>
        <w:tabs>
          <w:tab w:val="num" w:pos="567"/>
        </w:tabs>
        <w:spacing w:after="24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2.1.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Sitwazzjoni fl-1 ta’ Jannar 2017 </w:t>
      </w: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2.1.1.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 xml:space="preserve">Kategorija tal-grad AD9-AD12 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L-Anness 7b jagħti </w:t>
      </w:r>
      <w:r>
        <w:rPr>
          <w:rFonts w:ascii="Times New Roman" w:hAnsi="Times New Roman"/>
          <w:noProof/>
          <w:sz w:val="24"/>
        </w:rPr>
        <w:t>stampa ġenerali tas-sitwazzjoni attwali fl-1 ta’ Jannar 2017. Is-sejbiet ewlenin huma li, f’din id-data,</w:t>
      </w:r>
    </w:p>
    <w:p w:rsidR="00253BD3" w:rsidRDefault="00F62E46">
      <w:pPr>
        <w:pStyle w:val="ListParagraph"/>
        <w:numPr>
          <w:ilvl w:val="0"/>
          <w:numId w:val="38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14-il nazzjonalità mhumiex rappreżentati biżżejjed b’mod sinifikanti: l-Istati Membri kollha wara l-2004 flimkien mal-Lussemburgu.</w:t>
      </w:r>
    </w:p>
    <w:p w:rsidR="00253BD3" w:rsidRDefault="00F62E46">
      <w:pPr>
        <w:pStyle w:val="ListParagraph"/>
        <w:numPr>
          <w:ilvl w:val="0"/>
          <w:numId w:val="38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F’termini assoluti, </w:t>
      </w:r>
      <w:r>
        <w:rPr>
          <w:rFonts w:ascii="Times New Roman" w:hAnsi="Times New Roman"/>
          <w:noProof/>
          <w:sz w:val="24"/>
        </w:rPr>
        <w:t>l-akbar defiċits jikkonċernaw il-Pollakki (160 persuna) u r-Rumeni (155).</w:t>
      </w:r>
    </w:p>
    <w:p w:rsidR="00253BD3" w:rsidRDefault="00F62E46">
      <w:pPr>
        <w:pStyle w:val="ListParagraph"/>
        <w:numPr>
          <w:ilvl w:val="0"/>
          <w:numId w:val="38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F’termini relattivi, l-akbar defiċits jikkonċernaw il-Kroati (li jilħqu 5 % tar-rata ta’ gwida tagħhom) il-Bulgari (8 %) u r-Rumeni (13 %).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In-nuqqas ta’ rappreżentanza taċ-ċittadini</w:t>
      </w:r>
      <w:r>
        <w:rPr>
          <w:rFonts w:ascii="Times New Roman" w:hAnsi="Times New Roman"/>
          <w:noProof/>
          <w:sz w:val="24"/>
        </w:rPr>
        <w:t xml:space="preserve"> ta’ wara l-2004 fil-kategorija tal-grad AD9-AD12 kien sa ċertu punt prevedibbli billi l-ebda kompetizzjoni ma ġiet organizzata f’dawn il-gradi taħt il-miżuri speċifiċi ta’ deroga għat-tkabbir (ħlief għal pożizzjonijiet maniġerjali). L-għan kien li l-gradi</w:t>
      </w:r>
      <w:r>
        <w:rPr>
          <w:rFonts w:ascii="Times New Roman" w:hAnsi="Times New Roman"/>
          <w:noProof/>
          <w:sz w:val="24"/>
        </w:rPr>
        <w:t xml:space="preserve"> kollha jimtlew progressivament, u jibdew minn isfel. Għal din ir-raġuni, in-nazzjonalitajiet kollha tat-tkabbir wara l-2004 huma kkonċernati.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Is-sitwazzjoni qed tevolvi skont l-aspettattivi. In-nazzjonalitajiet kollha tal-mewġa ta’ tkabbir tal-2004 issa </w:t>
      </w:r>
      <w:r>
        <w:rPr>
          <w:rFonts w:ascii="Times New Roman" w:hAnsi="Times New Roman"/>
          <w:noProof/>
          <w:sz w:val="24"/>
        </w:rPr>
        <w:t>laħqu bejn 50 % u 70 % tal-mira tagħhom. Fir-rigward taċ-ċittadini mit-tkabbir tal-2007 u l-2013, għadu kmieni wisq</w:t>
      </w:r>
      <w:r>
        <w:rPr>
          <w:rFonts w:ascii="Times New Roman" w:hAnsi="Times New Roman"/>
          <w:noProof/>
          <w:sz w:val="24"/>
          <w:vertAlign w:val="superscript"/>
        </w:rPr>
        <w:footnoteReference w:id="10"/>
      </w:r>
      <w:r>
        <w:rPr>
          <w:rFonts w:ascii="Times New Roman" w:hAnsi="Times New Roman"/>
          <w:noProof/>
          <w:sz w:val="24"/>
        </w:rPr>
        <w:t xml:space="preserve"> biex tara preżenza apprezzabbli f’dawn il-gradi. Madankollu, il-livell ta’ rappreżentanza tagħhom fil-kategorija tal-gradi AD5-AD8 (rispett</w:t>
      </w:r>
      <w:r>
        <w:rPr>
          <w:rFonts w:ascii="Times New Roman" w:hAnsi="Times New Roman"/>
          <w:noProof/>
          <w:sz w:val="24"/>
        </w:rPr>
        <w:t>ivament aktar minn 200 % u 140 % tal-mira, ara l-Anness 7a) jagħti assigurazzjoni raġonevoli li l-proċess jinsab fit-triq it-tajba. Il-Kummissjoni se tkompli tissorvelja mill-qrib l-evoluzzjoni tal-livell ta’ rappreżentanza tagħhom f’dawn il-gradi bil-għan</w:t>
      </w:r>
      <w:r>
        <w:rPr>
          <w:rFonts w:ascii="Times New Roman" w:hAnsi="Times New Roman"/>
          <w:noProof/>
          <w:sz w:val="24"/>
        </w:rPr>
        <w:t xml:space="preserve"> li tivverifika jekk tkomplix skont it-tendenza attwali.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Ir-rappreżentanza baxxa b’mod sinifikanti taċ-ċittadini mil-Lussemburgu f’dan il-grad biss ma tidhirx li hija ġġustifikata. Madankollu, għandu jissemma wkoll li tali rappreżentanza baxxa tista’ tkun </w:t>
      </w:r>
      <w:r>
        <w:rPr>
          <w:rFonts w:ascii="Times New Roman" w:hAnsi="Times New Roman"/>
          <w:noProof/>
          <w:sz w:val="24"/>
        </w:rPr>
        <w:t>marbuta mad-daqs żgħir tal-popolazzjoni inkwistjoni: kieku kien hemm biss erba’ ċittadini oħra fil-gradi kkonċernati, il-Lussemburgu ma kienx ikun elenkat fost in-nazzjonalitajiet mhux rappreżentati biżżejjed.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2.1.2.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 xml:space="preserve">Kategorija tal-grad AD5-AD8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Il-katego</w:t>
      </w:r>
      <w:r>
        <w:rPr>
          <w:rFonts w:ascii="Times New Roman" w:hAnsi="Times New Roman"/>
          <w:noProof/>
          <w:sz w:val="24"/>
        </w:rPr>
        <w:t>rija AD5-AD8 jistħoqqilha attenzjoni partikolari f’perspettiva dinamika. Tabilħaqq, skont ir-rekwiżiti tar-Regolament tal-Persunal, din hija l-kategorija fejn mill-inqas 80 % tal-ħatriet għandhom isiru. Il-livell tar-rappreżentanza tan-nazzjonalitajiet f’d</w:t>
      </w:r>
      <w:r>
        <w:rPr>
          <w:rFonts w:ascii="Times New Roman" w:hAnsi="Times New Roman"/>
          <w:noProof/>
          <w:sz w:val="24"/>
        </w:rPr>
        <w:t>in il-kategorija tal-gradi ser tiddetermina l-livell tar-rappreżentanza tan-nazzjonalitajiet fil-kategorija AD9-AD12 f’għaxar snin minn issa. Huwa għalhekk fost din il-popolazzjoni li l-maniġers (u aktar speċifikament, maniġers fil-livell intermedju) ser j</w:t>
      </w:r>
      <w:r>
        <w:rPr>
          <w:rFonts w:ascii="Times New Roman" w:hAnsi="Times New Roman"/>
          <w:noProof/>
          <w:sz w:val="24"/>
        </w:rPr>
        <w:t>intgħażlu fl-istess perjodu ta’ żmien. Rappreżentanza bbilanċjata fil-kategorija AD5-AD8 illum hija prerekwiżit għal rappreżentanza bbilanċjata ta’ nazzjonalitajiet fost l-ogħla gradi fuq medda itwal ta’ żmien.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L-Anness 7a jagħti ħarsa ġenerali tas-sitwazz</w:t>
      </w:r>
      <w:r>
        <w:rPr>
          <w:rFonts w:ascii="Times New Roman" w:hAnsi="Times New Roman"/>
          <w:noProof/>
          <w:sz w:val="24"/>
        </w:rPr>
        <w:t>joni attwali fl-1 ta’ Jannar 2017. Is-sejbiet ewlenin huma li, f’din id-data,</w:t>
      </w:r>
    </w:p>
    <w:p w:rsidR="00253BD3" w:rsidRDefault="00F62E46">
      <w:pPr>
        <w:pStyle w:val="ListParagraph"/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10 nazzjonalitajiet (kollha mill-Istati Membri ta’ qabel l-2004</w:t>
      </w:r>
      <w:r>
        <w:rPr>
          <w:rStyle w:val="FootnoteReference"/>
          <w:rFonts w:ascii="Times New Roman" w:hAnsi="Times New Roman"/>
          <w:noProof/>
          <w:sz w:val="24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), mhumiex rappreżentati biżżejjed b’mod sinifikanti: id-Danimarka, il-Ġermanja, l-Irlanda, Franza, </w:t>
      </w:r>
      <w:r>
        <w:rPr>
          <w:rFonts w:ascii="Times New Roman" w:hAnsi="Times New Roman"/>
          <w:noProof/>
          <w:sz w:val="24"/>
        </w:rPr>
        <w:t>il-Lussemburgu, in-Netherlands, l-Awstrija, il-Portugall, il-Finlandja u l-Iżvezja.</w:t>
      </w:r>
    </w:p>
    <w:p w:rsidR="00253BD3" w:rsidRDefault="00F62E46">
      <w:pPr>
        <w:pStyle w:val="ListParagraph"/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F’termini assoluti, l-akbar defiċits jikkonċernaw iċ-ċittadini mill-Ġermanja (kważi 230 persuna) u minn Franza (kważi 140).</w:t>
      </w:r>
    </w:p>
    <w:p w:rsidR="00253BD3" w:rsidRDefault="00F62E46">
      <w:pPr>
        <w:pStyle w:val="ListParagraph"/>
        <w:numPr>
          <w:ilvl w:val="0"/>
          <w:numId w:val="39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F’termini relattivi, l-akbar defiċits </w:t>
      </w:r>
      <w:r>
        <w:rPr>
          <w:rFonts w:ascii="Times New Roman" w:hAnsi="Times New Roman"/>
          <w:noProof/>
          <w:sz w:val="24"/>
        </w:rPr>
        <w:t>jikkonċernaw ċittadini mil-Lussemburgu (ma kien hemm ebda nazzjonalità Lussemburgiża), l-Iżvezja u d-Danimarka (li laħqu biss madwar 30 % tar-rata ta’ gwida tagħhom).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Ir-rappreżentanza baxxa tal-maġġoranza tan-nazzjonalitajiet tal-EU-14</w:t>
      </w:r>
      <w:r>
        <w:rPr>
          <w:rFonts w:ascii="Times New Roman" w:hAnsi="Times New Roman"/>
          <w:noProof/>
          <w:sz w:val="24"/>
          <w:vertAlign w:val="superscript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fil-kategorija tal</w:t>
      </w:r>
      <w:r>
        <w:rPr>
          <w:rFonts w:ascii="Times New Roman" w:hAnsi="Times New Roman"/>
          <w:noProof/>
          <w:sz w:val="24"/>
        </w:rPr>
        <w:t>-grad AD5-AD8 tista’ tiġi spjegata, għall-inqas parzjalment, minn xejriet ta’ reklutaġġ wara l-2004. Dan huwa dovut għall-fatt li l-maġġoranza tal-postijiet riżervati għar-reklutaġġ ta’ ċittadini mill-Istati Membri ta’ wara l-2004 kienu fil-kategorija AD5-</w:t>
      </w:r>
      <w:r>
        <w:rPr>
          <w:rFonts w:ascii="Times New Roman" w:hAnsi="Times New Roman"/>
          <w:noProof/>
          <w:sz w:val="24"/>
        </w:rPr>
        <w:t xml:space="preserve">AD8. Il-konċentrazzjoni tar-reklutaġġ ta’ persunal minn Stati Membri ġodda fil-gradi bażi, kważi awtomatikament, irriżulta f’rappreżentanza baxxa ta’ ċittadini mill-Istati Membri ta’ qabel l-2004.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Erba’ nazzjonalitajiet tal-EU-14 biss huma rappreżentati b</w:t>
      </w:r>
      <w:r>
        <w:rPr>
          <w:rFonts w:ascii="Times New Roman" w:hAnsi="Times New Roman"/>
          <w:noProof/>
          <w:sz w:val="24"/>
        </w:rPr>
        <w:t xml:space="preserve">iżżejjed fil-kategorija AD5-AD8: tnejn ftit inqas mir-rata ta’ gwida tagħhom (l-Ispanjoli u t-Taljani) u tnejn li laħqu r-rata ta’ gwida tagħhom (il-Belġjani u l-Griegi).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Din is-sitwazzjoni titlob miżuri mmirati xierqa biex iżżid il-livell tar-rappreżenta</w:t>
      </w:r>
      <w:r>
        <w:rPr>
          <w:rFonts w:ascii="Times New Roman" w:hAnsi="Times New Roman"/>
          <w:noProof/>
          <w:sz w:val="24"/>
        </w:rPr>
        <w:t xml:space="preserve">nza ta’ dawn in-nazzjonalitajiet li inkella jkunu fir-riskju li jiffaċċjaw “distakk bejn il-ġenerazzjonijiet”.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Madankollu, huwa dubjuż jekk dawn il-miżuri xierqa mmirati humiex biżżejjed biex jiżguraw rappreżentanza bbilanċjata tan-nazzjonalitajiet kollha</w:t>
      </w:r>
      <w:r>
        <w:rPr>
          <w:rFonts w:ascii="Times New Roman" w:hAnsi="Times New Roman"/>
          <w:noProof/>
          <w:sz w:val="24"/>
        </w:rPr>
        <w:t xml:space="preserve"> fuq medda twila ta’ żmien. Żewġ elementi jistgħu jiġu ppreżentati f’dan ir-rigward.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1"/>
          <w:numId w:val="0"/>
        </w:numPr>
        <w:tabs>
          <w:tab w:val="num" w:pos="567"/>
        </w:tabs>
        <w:spacing w:after="24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2.2.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Raġunijiet sottostanti għal rappreżentanza baxxa fil-kategorija tal-gradi AD5-AD8</w:t>
      </w: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2.2.1.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Lawreati disponibbli fuq il-listi ta’ riżerva tal-EPSO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Il-fatt li erba’ nazz</w:t>
      </w:r>
      <w:r>
        <w:rPr>
          <w:rFonts w:ascii="Times New Roman" w:hAnsi="Times New Roman"/>
          <w:noProof/>
          <w:sz w:val="24"/>
        </w:rPr>
        <w:t>jonalitajiet tal-EU-14 huma rappreżentati biżżejjed minkejja l-mudelli ta’ reklutaġġ tal-aħħar 12-il sena jidher li jindika li hemm raġunijiet oħra li jispjegaw id-defiċit ta’ ċertu nazzjonalitajiet. Element ta’ spjegazzjoni jingħata mid-distribuzzjoni tal</w:t>
      </w:r>
      <w:r>
        <w:rPr>
          <w:rFonts w:ascii="Times New Roman" w:hAnsi="Times New Roman"/>
          <w:noProof/>
          <w:sz w:val="24"/>
        </w:rPr>
        <w:t xml:space="preserve">-lawreati tal-EPSO.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It-tabelli fl-Annessi 8a u 8b juru li d-disponibbiltà tal-lawreati mill-2010 ma kinitx konformi mar-rati ta’ gwida. Is-sitwazzjoni hija partikolarment impressjonanti fil-kompetizzjonijiet tal-ispeċjalisti AD fejn 23 nazzjonalità minn 2</w:t>
      </w:r>
      <w:r>
        <w:rPr>
          <w:rFonts w:ascii="Times New Roman" w:hAnsi="Times New Roman"/>
          <w:noProof/>
          <w:sz w:val="24"/>
        </w:rPr>
        <w:t>7 mhumiex rappreżentati biżżejjed meta mqabbla mar-rata ta’ gwida tagħhom. Huma biss erba’ nazzjonalitajiet li jissodisfaw ir-rata ta’ gwida tagħhom: il-Belġjani, il-Griegi, it-Taljani u l-Ispanjoli</w:t>
      </w:r>
      <w:r>
        <w:rPr>
          <w:rFonts w:ascii="Times New Roman" w:hAnsi="Times New Roman"/>
          <w:noProof/>
          <w:sz w:val="24"/>
          <w:vertAlign w:val="superscript"/>
        </w:rPr>
        <w:footnoteReference w:id="13"/>
      </w:r>
      <w:r>
        <w:rPr>
          <w:rFonts w:ascii="Times New Roman" w:hAnsi="Times New Roman"/>
          <w:noProof/>
          <w:sz w:val="24"/>
        </w:rPr>
        <w:t>, jiġifieri l-erba’ nazzjonalitajiet tal-EU-14 li huma rr</w:t>
      </w:r>
      <w:r>
        <w:rPr>
          <w:rFonts w:ascii="Times New Roman" w:hAnsi="Times New Roman"/>
          <w:noProof/>
          <w:sz w:val="24"/>
        </w:rPr>
        <w:t xml:space="preserve">appreżentati biżżejjed fil-kategorija AD5-AD8 kif indikat fit-Taqsima 2.1.2. hawn fuq.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F’dan il-kuntest, huwa importanti li wieħed jinnota li n-nuqqas ta’ lawreati għal xi nazzjonalitajiet mhuwiex dovut għall-mertu iżda għall-parteċipazzjoni inqas milli m</w:t>
      </w:r>
      <w:r>
        <w:rPr>
          <w:rFonts w:ascii="Times New Roman" w:hAnsi="Times New Roman"/>
          <w:noProof/>
          <w:sz w:val="24"/>
        </w:rPr>
        <w:t>istenni f’kompetizzjonijiet. Fil-fatt, id-dejta fl-Annessi 8a u 8b turi wkoll li għal ħafna mill-każijiet fejn ma hemmx biżżejjed rappreżentanza b’mod sinifikanti, iċ-ċittadini tal-Istati Membri rilevanti għandhom rata ta’ parteċipazzjoni relattiva ħafna a</w:t>
      </w:r>
      <w:r>
        <w:rPr>
          <w:rFonts w:ascii="Times New Roman" w:hAnsi="Times New Roman"/>
          <w:noProof/>
          <w:sz w:val="24"/>
        </w:rPr>
        <w:t xml:space="preserve">ktar baxxa u rata ta’ suċċess relattiva ogħla (ara pereżempju n-Netherlands, Franza, jew il-Ġermanja fil-kompetizzjoni tal-ġeneralisti).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Il-kwistjoni tal-kompożizzjoni nazzjonali tal-listi tal-EPSO x’aktarx ukoll tinfluwenza l-bilanċ ġeografiku futur jekk</w:t>
      </w:r>
      <w:r>
        <w:rPr>
          <w:rFonts w:ascii="Times New Roman" w:hAnsi="Times New Roman"/>
          <w:noProof/>
          <w:sz w:val="24"/>
        </w:rPr>
        <w:t xml:space="preserve"> ma tittieħed l-ebda azzjoni. Tabilħaqq, jekk ix-xejriet osservati matul l-aħħar tmien snin huma kkonfermati fil-ġejjieni, l-iżbilanċi attwali x’aktarx li ma jiġux assorbiti “b’mod naturali” u, barra minn hekk, ċertu nazzjonalitajiet jistgħu ma jkunux rapp</w:t>
      </w:r>
      <w:r>
        <w:rPr>
          <w:rFonts w:ascii="Times New Roman" w:hAnsi="Times New Roman"/>
          <w:noProof/>
          <w:sz w:val="24"/>
        </w:rPr>
        <w:t>reżentati biżżejjed fil-ġenerazzjonijiet li ġejjin</w:t>
      </w:r>
      <w:r>
        <w:rPr>
          <w:rFonts w:ascii="Times New Roman" w:hAnsi="Times New Roman"/>
          <w:noProof/>
          <w:sz w:val="24"/>
          <w:vertAlign w:val="superscript"/>
        </w:rPr>
        <w:footnoteReference w:id="14"/>
      </w:r>
      <w:r>
        <w:rPr>
          <w:rFonts w:ascii="Times New Roman" w:hAnsi="Times New Roman"/>
          <w:noProof/>
          <w:sz w:val="24"/>
        </w:rPr>
        <w:t>: iċ-Ċeki, id-Daniżi, l-Estonjani, l-Irlandiżi, iċ-Ċiprijotti, il-Latvjani, il-Litwanjani, il-Lussemburgiżi, il-Pollakki u l-Isloveni.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2"/>
          <w:numId w:val="0"/>
        </w:numPr>
        <w:tabs>
          <w:tab w:val="num" w:pos="709"/>
        </w:tabs>
        <w:spacing w:after="24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>2.2.2.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24"/>
        </w:rPr>
        <w:t>Kwistjoni tal-attraenza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It-tieni mistoqsija tikkonċerna l-kapa</w:t>
      </w:r>
      <w:r>
        <w:rPr>
          <w:rFonts w:ascii="Times New Roman" w:hAnsi="Times New Roman"/>
          <w:noProof/>
          <w:sz w:val="24"/>
        </w:rPr>
        <w:t>ċ</w:t>
      </w:r>
      <w:r>
        <w:rPr>
          <w:rFonts w:ascii="Times New Roman" w:hAnsi="Times New Roman"/>
          <w:noProof/>
          <w:sz w:val="24"/>
        </w:rPr>
        <w:t>ità tal-Kummissjoni li tattira għadd suffiċjenti ta’ kandidati bi kwalifiki għolja mill-Istati Membri kollha. L-għadd ta’ parteċipanti għal kull miljun abitant f’kompetizzjonijiet AD5 matul l-aħħar tmien snin (ara l-Anness 8a) jiżvela diskrepanzi konsider</w:t>
      </w:r>
      <w:r>
        <w:rPr>
          <w:rFonts w:ascii="Times New Roman" w:hAnsi="Times New Roman"/>
          <w:noProof/>
          <w:sz w:val="24"/>
        </w:rPr>
        <w:t xml:space="preserve">evoli minn Stat Membru għal ieħor. Ċittadini minn tliet Stati Membri (il-Ġermanja, Franza u n-Netherlands) għandhom livell ta’ parteċipazzjoni inqas minn nofs il-medja tal-UE.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L-EPSO diġà pprova jħeġġeġ liċ-ċittadini mill-Istati Membri li għandhom “defiċi</w:t>
      </w:r>
      <w:r>
        <w:rPr>
          <w:rFonts w:ascii="Times New Roman" w:hAnsi="Times New Roman"/>
          <w:noProof/>
          <w:sz w:val="24"/>
        </w:rPr>
        <w:t>t” biex jipparteċipaw f’kompetizzjonijiet AD. Madankollu, sal-lum, dawn l-isforzi ma jidhrux li pproduċew ir-riżultati mixtieqa, kif muri mid-distribuzzjoni tal-applikanti għall-aktar kompetizzjoni riċenti u li għaddejja bħalissa (Ara l-Anness 8c). Iċ-ċitt</w:t>
      </w:r>
      <w:r>
        <w:rPr>
          <w:rFonts w:ascii="Times New Roman" w:hAnsi="Times New Roman"/>
          <w:noProof/>
          <w:sz w:val="24"/>
        </w:rPr>
        <w:t>adini Ġermaniżi u Franċiżi qed jipparteċipaw f’inqas minn nofs ir-rata medja. Il-parteċipazzjoni tan-Netherlandiżi żdiedet iżda l-parteċipazzjoni tal-Iżvediżi u l-Pollakki naqset sostanzjalment.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Dawn is-sejbiet joħolqu sfida biex titrawwem l-attraenza tal-</w:t>
      </w:r>
      <w:r>
        <w:rPr>
          <w:rFonts w:ascii="Times New Roman" w:hAnsi="Times New Roman"/>
          <w:noProof/>
          <w:sz w:val="24"/>
        </w:rPr>
        <w:t>Kummissjoni fi żmien meta l-pakkett offrut (jiġifieri t-taħlita ta’ salarji, kopertura soċjali, id-dritt għall-pensjoni, il-bilanċ bejn ix-xogħol u l-ħajja, eċċ.) jista’ jiġi pperċepit li sofra deterjorament f’termini relattivi tul iż-żmien.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tabs>
          <w:tab w:val="num" w:pos="480"/>
        </w:tabs>
        <w:spacing w:before="240" w:after="240" w:line="240" w:lineRule="auto"/>
        <w:ind w:left="480" w:hanging="48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 xml:space="preserve">Konklużjoni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Jistgħu joħorġu erba’ lezzjonijiet mill-analiżi ta’ hawn fuq.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L-ewwel, is-sitwazzjoni tar-ragruppamenti AD5-AD8 u AD9-AD12 tvarja b’mod konsiderevoli minn xulxin. Fiż-żewġ każijiet, huwa osservat nuqqas ta’ rappreżentanza sinifikanti iżda la l</w:t>
      </w:r>
      <w:r>
        <w:rPr>
          <w:rFonts w:ascii="Times New Roman" w:hAnsi="Times New Roman"/>
          <w:noProof/>
          <w:sz w:val="24"/>
        </w:rPr>
        <w:t>-Istati Membri kkonċernati u lanqas id-dinamika ma huma l-istess.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It-tieni, għalkemm hemm rabta ċara bejn dawn l-iżbilanċi osservati u l-mudelli ta’ reklutaġġ tal-aħħar 10-15-il sena, jidher ukoll li sors ewlieni ta’ żbilanċ għandu jinstab fil-kompożizzjon</w:t>
      </w:r>
      <w:r>
        <w:rPr>
          <w:rFonts w:ascii="Times New Roman" w:hAnsi="Times New Roman"/>
          <w:noProof/>
          <w:sz w:val="24"/>
        </w:rPr>
        <w:t xml:space="preserve">i tal-listi tal-EPSO. Tali żbilanċ ma jidhirx li huwa ġġustifikat minn raġunijiet oġġettivi u b’mod partikolari mhux bil-mertu.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It-tielet, l-iżbilanċi fil-listi tal-EPSO x’aktarx jiġġeneraw żbilanċi ġodda fil-ġejjieni.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Ir-raba’, tentattivi permezz ta’ azz</w:t>
      </w:r>
      <w:r>
        <w:rPr>
          <w:rFonts w:ascii="Times New Roman" w:hAnsi="Times New Roman"/>
          <w:noProof/>
          <w:sz w:val="24"/>
        </w:rPr>
        <w:t xml:space="preserve">jonijiet ta’ komunikazzjoni biex jinkoraġġixxu l-parteċipazzjoni fil-kompetizzjonijiet tal-EPSO fil-format preżenti tagħhom ma wasslux għal żidiet suffiċjenti fil-livelli ta’ parteċipazzjoni ta’ ċittadini tal-Istati Membri rilevanti.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B’mod parallel, għand</w:t>
      </w:r>
      <w:r>
        <w:rPr>
          <w:rFonts w:ascii="Times New Roman" w:hAnsi="Times New Roman"/>
          <w:noProof/>
          <w:sz w:val="24"/>
        </w:rPr>
        <w:t>ha tingħata attenzjoni kostanti lill-attraenza tal-istituzzjonijiet tal-UE bħala min iħaddem.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Minħabba dan il-kuntest, il-Kummissjoni qed taħdem biex tidentifika miżuri li jaqdu l-għan li jindirizza x-xejriet deskritti hawn fuq, b’rispett sħiħ tal-qafas le</w:t>
      </w:r>
      <w:r>
        <w:rPr>
          <w:rFonts w:ascii="Times New Roman" w:hAnsi="Times New Roman"/>
          <w:noProof/>
          <w:sz w:val="24"/>
        </w:rPr>
        <w:t>gali eżistenti. Imbagħad tipprevedi l-abbozzar tad-Dispożizzjonijiet Ġenerali ta’ Implimentazzjoni biex tagħti effett lill-Artikolu 27, it-tieni paragrafu, SR bil-ħsieb li tadottahom skont l-Artikolu 110. Dawn id-dispożizzjonijiet għandhom jimmiraw li jall</w:t>
      </w:r>
      <w:r>
        <w:rPr>
          <w:rFonts w:ascii="Times New Roman" w:hAnsi="Times New Roman"/>
          <w:noProof/>
          <w:sz w:val="24"/>
        </w:rPr>
        <w:t xml:space="preserve">injaw aħjar in-nazzjonalità tal-lawreati disponibbli fuq listi ta’ riżerva sabiex jiġi żgurat li l-persunal tal-Kummissjoni jirrifletti b’mod xieraq id-distribuzzjoni taċ-ċittadini tal-UE skont in-nazzjonalità. 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021" w:right="1701" w:bottom="1021" w:left="1588" w:header="601" w:footer="1077" w:gutter="0"/>
          <w:pgNumType w:start="1"/>
          <w:cols w:space="720"/>
          <w:titlePg/>
          <w:docGrid w:linePitch="299"/>
        </w:sectPr>
      </w:pPr>
      <w:r>
        <w:rPr>
          <w:noProof/>
        </w:rPr>
        <w:br w:type="page"/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sz w:val="28"/>
          <w:szCs w:val="20"/>
        </w:rPr>
      </w:pPr>
      <w:r>
        <w:rPr>
          <w:rFonts w:ascii="Times New Roman" w:hAnsi="Times New Roman"/>
          <w:b/>
          <w:smallCaps/>
          <w:noProof/>
          <w:sz w:val="28"/>
        </w:rPr>
        <w:t>Taqsima 3 - Istituzzjonijiet oħra tal-UE</w:t>
      </w:r>
      <w:r>
        <w:rPr>
          <w:rFonts w:ascii="Times New Roman" w:eastAsia="Times New Roman" w:hAnsi="Times New Roman" w:cs="Times New Roman"/>
          <w:b/>
          <w:smallCaps/>
          <w:noProof/>
          <w:sz w:val="28"/>
          <w:szCs w:val="20"/>
        </w:rPr>
        <w:br/>
      </w:r>
      <w:r>
        <w:rPr>
          <w:rFonts w:ascii="Times New Roman" w:hAnsi="Times New Roman"/>
          <w:b/>
          <w:smallCaps/>
          <w:noProof/>
          <w:sz w:val="28"/>
        </w:rPr>
        <w:t>fejn japplikaw ir-Regolamenti tal-Persunal</w:t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Introduzzjoni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L-Artikolu 27 tar-Regolamenti tal-Persunal jeħtieġ li l-Kummissjoni tagħti</w:t>
      </w:r>
      <w:r>
        <w:rPr>
          <w:rFonts w:ascii="Times New Roman" w:hAnsi="Times New Roman"/>
          <w:noProof/>
          <w:sz w:val="24"/>
        </w:rPr>
        <w:t xml:space="preserve"> rapport lill-Parlament Ewropew u lill-Kunsill dwar l-implimentazzjoni tal-Artikolu 27, it-tieni paragrafu. Għal dan il-għan, il-Kummissjoni ġabret l-informazzjoni rilevanti mill-istituzzjonijiet ikkonċernati.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Il-kontribuzzjonijiet tad-diversi istituzzjoni</w:t>
      </w:r>
      <w:r>
        <w:rPr>
          <w:rFonts w:ascii="Times New Roman" w:hAnsi="Times New Roman"/>
          <w:noProof/>
          <w:sz w:val="24"/>
        </w:rPr>
        <w:t>jiet huma mqassra fit-tabella fl-Annessi 9 u 12 filwaqt li d-dejta numerika rilevanti tinstab fl-Annessi 10, 11, 13 u 14.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Ir-rapport jiġbor fil-qosor il-kontribut tal-istituzzjonijiet varji, mingħajr ma jikkummenta dwarhom.</w:t>
      </w:r>
    </w:p>
    <w:p w:rsidR="00253BD3" w:rsidRDefault="00F62E46">
      <w:pPr>
        <w:keepNext/>
        <w:tabs>
          <w:tab w:val="num" w:pos="480"/>
        </w:tabs>
        <w:spacing w:before="240" w:after="240" w:line="240" w:lineRule="auto"/>
        <w:ind w:left="480" w:hanging="48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>Istituzzjonijiet u Korpi ttra</w:t>
      </w:r>
      <w:r>
        <w:rPr>
          <w:rFonts w:ascii="Times New Roman" w:hAnsi="Times New Roman"/>
          <w:b/>
          <w:smallCaps/>
          <w:noProof/>
          <w:sz w:val="24"/>
        </w:rPr>
        <w:t>ttati bħala Istituzzjonijiet skont l-Artikolu 1b tar-Regolamenti tal-Persunal (Istituzzjonijiet)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Il-Kummissjoni rċeviet kontribuzzjonijiet mill-istituzzjonijiet kollha kkonċernati.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Bl-eċċezzjoni tas-Servizz Ewropew għall-Azzjoni Esterna, ebda waħda minn d</w:t>
      </w:r>
      <w:r>
        <w:rPr>
          <w:rFonts w:ascii="Times New Roman" w:hAnsi="Times New Roman"/>
          <w:noProof/>
          <w:sz w:val="24"/>
        </w:rPr>
        <w:t>awn l-istituzzjonijiet ma adottat formalment definizzjoni ta’ bilanċ, żbilanċ jew żbilanċ ġeografiku sinifikanti. Madankollu, il-maġġoranza tagħhom jimmonitorjaw ir-rappreżentanza ġeografika tal-persunal u jqabbluh jew mal-popolazzjoni tal-Istat Membru kko</w:t>
      </w:r>
      <w:r>
        <w:rPr>
          <w:rFonts w:ascii="Times New Roman" w:hAnsi="Times New Roman"/>
          <w:noProof/>
          <w:sz w:val="24"/>
        </w:rPr>
        <w:t>nċernat jew mal-indikatur kompost żviluppat mill-Kummissjoni għall-pajjiżi wara t-tkabbir tal-2004 (il-medja tas-sehem fil-popolazzjoni, l-ippeżar tal-MPE u ta’ qabel it-Trattat ta’ Lisbona fil-Kunsill).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Tali monitoraġġ huwa mfassal biex jirrifletti l-ħtiġ</w:t>
      </w:r>
      <w:r>
        <w:rPr>
          <w:rFonts w:ascii="Times New Roman" w:hAnsi="Times New Roman"/>
          <w:noProof/>
          <w:sz w:val="24"/>
        </w:rPr>
        <w:t xml:space="preserve">ijiet u r-restrizzjonijiet tal-istituzzjoni kkonċernata.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Il-maġġoranza tal-istituzzjonijiet jesperjenzaw żbilanċi ġeografiċi fil-kompożizzjoni tal-persunal tagħhom; f’xi każijiet, l-iżbilanċ jitqies sinifikanti. Madankollu, l-istituzzjonijiet kollha kkuns</w:t>
      </w:r>
      <w:r>
        <w:rPr>
          <w:rFonts w:ascii="Times New Roman" w:hAnsi="Times New Roman"/>
          <w:noProof/>
          <w:sz w:val="24"/>
        </w:rPr>
        <w:t>idraw li l-iżbilanċi (sinifikanti) osservati kienu ġġustifikati minn raġunijiet oġġettivi. L-aktar ġustifikazzjonijiet komuni invokati kienu l-hekk imsejħa effett tas-"sede"</w:t>
      </w:r>
      <w:r>
        <w:rPr>
          <w:rFonts w:ascii="Times New Roman" w:hAnsi="Times New Roman"/>
          <w:noProof/>
          <w:sz w:val="24"/>
          <w:vertAlign w:val="superscript"/>
        </w:rPr>
        <w:footnoteReference w:id="15"/>
      </w:r>
      <w:r>
        <w:rPr>
          <w:rFonts w:ascii="Times New Roman" w:hAnsi="Times New Roman"/>
          <w:noProof/>
          <w:sz w:val="24"/>
        </w:rPr>
        <w:t>, il-kompożizzjoni tal-listi tal-EPSO, il-ħila li jattiraw persunal minn Stati Mem</w:t>
      </w:r>
      <w:r>
        <w:rPr>
          <w:rFonts w:ascii="Times New Roman" w:hAnsi="Times New Roman"/>
          <w:noProof/>
          <w:sz w:val="24"/>
        </w:rPr>
        <w:t>bri speċifiċi u d-daqs relattiv tas-servizzi lingwistiċi.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Peress li l-iżbilanċi kollha tqiesu oġġettivament iġġustifikati, l-ebda istituzzjoni ma ħadet l-inizjattiva li tadotta Dispożizzjonijiet Ġenerali ta’ Implimentazzjoni biex tagħti effett lill-Artikol</w:t>
      </w:r>
      <w:r>
        <w:rPr>
          <w:rFonts w:ascii="Times New Roman" w:hAnsi="Times New Roman"/>
          <w:noProof/>
          <w:sz w:val="24"/>
        </w:rPr>
        <w:t>u 27, it-tieni paragrafu, SR.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Bl-istess mod, l-ebda istituzzjoni ma tistenna li jkun hemm żbilanċ sinifikanti fil-futur (għallinqas, mhux fil-grupp tal-funzjoni AD) u, għalhekk, Dispożizzjonijiet ta’ Implimentazzjoni Ġenerali mhumiex qed jitħejjew.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keepNext/>
        <w:tabs>
          <w:tab w:val="num" w:pos="480"/>
        </w:tabs>
        <w:spacing w:before="240" w:after="240" w:line="240" w:lineRule="auto"/>
        <w:ind w:left="480" w:hanging="48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>Aġe</w:t>
      </w:r>
      <w:r>
        <w:rPr>
          <w:rFonts w:ascii="Times New Roman" w:hAnsi="Times New Roman"/>
          <w:b/>
          <w:smallCaps/>
          <w:noProof/>
          <w:sz w:val="24"/>
        </w:rPr>
        <w:t>nziji Deċentralizzati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Il-Kummissjoni rċeviet kontribuzzjonijiet minn 19-il aġenzija deċentralizzata.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L-aġenziji huma, bħala medja, ta’ daqs iżgħar mill-istituzzjonijiet imsemmija fil-kapitolu ta’ qabel. Ħafna drabi jinsabu fi Stati Membri oħra, b’mod akta</w:t>
      </w:r>
      <w:r>
        <w:rPr>
          <w:rFonts w:ascii="Times New Roman" w:hAnsi="Times New Roman"/>
          <w:noProof/>
          <w:sz w:val="24"/>
        </w:rPr>
        <w:t>r preċiż fi bliet li huma ’l bogħod mis-sede prinċipali tal-istituzzjonijiet ewlenin tal-UE. L-isfera tal-attivitajiet tagħhom hija speċjalizzata. Huma għandhom differenza sinifikanti minn xulxin kemm f’termini ta’ daqs, kamp ta’ applikazzjoni u post. Għal</w:t>
      </w:r>
      <w:r>
        <w:rPr>
          <w:rFonts w:ascii="Times New Roman" w:hAnsi="Times New Roman"/>
          <w:noProof/>
          <w:sz w:val="24"/>
        </w:rPr>
        <w:t xml:space="preserve"> din ir-raġuni, la l-Kummissjoni u lanqas l-aġenziji stess ma sabuha xierqa li jkollhom approċċ komuni dwar il-kwistjoni tal-bilanċ ġeografiku.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L-eżaminazzjoni tat-tabella fl-Anness 12 turi li ma hemmx definizzjoni uniformi ta’ x’għandu jkun bilanċ ġeograf</w:t>
      </w:r>
      <w:r>
        <w:rPr>
          <w:rFonts w:ascii="Times New Roman" w:hAnsi="Times New Roman"/>
          <w:noProof/>
          <w:sz w:val="24"/>
        </w:rPr>
        <w:t>iku. Madankollu, il-biċċa l-kbira tal-aġenziji, huma u jqisu r-restrizzjonijiet rispettivi, qiesu li ma josservawx żbilanċ ġeografiku sinifikanti. Għaldaqstant, ma jipprevedux l-adozzjoni ta’ Dispożizzjonijiet Ġenerali ta’ Implimentazzjoni biex jagħtu effe</w:t>
      </w:r>
      <w:r>
        <w:rPr>
          <w:rFonts w:ascii="Times New Roman" w:hAnsi="Times New Roman"/>
          <w:noProof/>
          <w:sz w:val="24"/>
        </w:rPr>
        <w:t xml:space="preserve">tt lill-Artikolu 27 SR.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Żewġ aġenziji osservaw żbilanċi sinifikanti. Fiż-żewġ każijiet, l-aġenziji jqisu li l-iżbilanċ huwa kkawżat minn bosta fatturi inkluż il-koeffiċjent ta’ korrezzjoni applikabbli u d-diffikultà tal-impjieg għall-konjuġi fis-suq lokal</w:t>
      </w:r>
      <w:r>
        <w:rPr>
          <w:rFonts w:ascii="Times New Roman" w:hAnsi="Times New Roman"/>
          <w:noProof/>
          <w:sz w:val="24"/>
        </w:rPr>
        <w:t>i.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Aġenzija waħda osservat żbilanċ dejjem akbar lejn ċittadini mill-Istat Membru ospitanti.  Din l-aġenzija qed tikkunsidra li tfassal GIP li tagħti effett lill-Artikolu 27 SR jekk dan l-iżbilanċ ikompli jikber.</w:t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 1: Bażi Ġuridika</w:t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L-Artikolu 9 </w:t>
      </w:r>
      <w:r>
        <w:rPr>
          <w:rFonts w:ascii="Times New Roman" w:hAnsi="Times New Roman"/>
          <w:b/>
          <w:noProof/>
          <w:sz w:val="24"/>
        </w:rPr>
        <w:t>tat-Trattat dwar l-Unjoni Ewropea: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 xml:space="preserve">“fl-attivitajiet kollha tagħha, l-Unjoni għandha tirrispetta l-prinċipju tal-ugwaljanza taċ-ċittadini tagħha”. </w:t>
      </w:r>
    </w:p>
    <w:p w:rsidR="00253BD3" w:rsidRDefault="00F62E46">
      <w:pPr>
        <w:spacing w:after="8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l-Artikolu 18 tat-Trattat dwar il-Funzjonament tal-Unjoni Ewropea (TFUE)</w:t>
      </w:r>
      <w:r>
        <w:rPr>
          <w:noProof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</w:rPr>
        <w:t>“Fil-kamp ta’ applikazzjoni tat-T</w:t>
      </w:r>
      <w:r>
        <w:rPr>
          <w:rFonts w:ascii="Times New Roman" w:hAnsi="Times New Roman"/>
          <w:noProof/>
          <w:sz w:val="24"/>
        </w:rPr>
        <w:t xml:space="preserve">rattati, u mingħajr preġudizzju għad-dispożizzjonijiet speċjali inklużi hemm </w:t>
      </w:r>
      <w:r>
        <w:rPr>
          <w:rFonts w:ascii="Times New Roman" w:hAnsi="Times New Roman"/>
          <w:noProof/>
          <w:sz w:val="24"/>
          <w:u w:val="single"/>
        </w:rPr>
        <w:t>kull diskriminazzjoni minħabba ċittadinanza għandha tiġi projbita</w:t>
      </w:r>
      <w:r>
        <w:rPr>
          <w:rFonts w:ascii="Times New Roman" w:hAnsi="Times New Roman"/>
          <w:noProof/>
          <w:sz w:val="24"/>
        </w:rPr>
        <w:t>.</w:t>
      </w:r>
    </w:p>
    <w:p w:rsidR="00253BD3" w:rsidRDefault="00F62E46">
      <w:pPr>
        <w:autoSpaceDE w:val="0"/>
        <w:autoSpaceDN w:val="0"/>
        <w:spacing w:after="8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[…]”</w:t>
      </w:r>
    </w:p>
    <w:p w:rsidR="00253BD3" w:rsidRDefault="00253BD3">
      <w:pPr>
        <w:autoSpaceDE w:val="0"/>
        <w:autoSpaceDN w:val="0"/>
        <w:spacing w:after="8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BD3" w:rsidRDefault="00F62E46">
      <w:pPr>
        <w:autoSpaceDE w:val="0"/>
        <w:autoSpaceDN w:val="0"/>
        <w:spacing w:after="80" w:line="23" w:lineRule="atLeast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Artikolu 21 tal-Karta tad-Drittijiet Fundamentali - Nondiskriminazzjoni: </w:t>
      </w:r>
    </w:p>
    <w:p w:rsidR="00253BD3" w:rsidRDefault="00F62E46">
      <w:pPr>
        <w:numPr>
          <w:ilvl w:val="0"/>
          <w:numId w:val="21"/>
        </w:numPr>
        <w:autoSpaceDE w:val="0"/>
        <w:autoSpaceDN w:val="0"/>
        <w:spacing w:after="0" w:line="23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Kull diskriminazzjoni bbażata fu</w:t>
      </w:r>
      <w:r>
        <w:rPr>
          <w:rFonts w:ascii="Times New Roman" w:hAnsi="Times New Roman"/>
          <w:noProof/>
          <w:sz w:val="24"/>
        </w:rPr>
        <w:t>q is-sess, ir-razza, il-kulur, l-oriġini etnika jew soċjali, il-karatteristiċi ġenetiċi, il-lingwa, ir-reliġjon jew it-twemmin, l-opinjoni politika jew xi opinjoni oħra, l-appartenenza għal minoranza nazzjonali, il-proprjetà, it-twelid, id-diżabbiltà, l-et</w:t>
      </w:r>
      <w:r>
        <w:rPr>
          <w:rFonts w:ascii="Times New Roman" w:hAnsi="Times New Roman"/>
          <w:noProof/>
          <w:sz w:val="24"/>
        </w:rPr>
        <w:t>à, jew l-orjentazzjoni sesswali għandha tkun projbita.</w:t>
      </w:r>
    </w:p>
    <w:p w:rsidR="00253BD3" w:rsidRDefault="00F62E46">
      <w:pPr>
        <w:numPr>
          <w:ilvl w:val="0"/>
          <w:numId w:val="21"/>
        </w:numPr>
        <w:autoSpaceDE w:val="0"/>
        <w:autoSpaceDN w:val="0"/>
        <w:spacing w:before="60" w:after="60" w:line="23" w:lineRule="atLeas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Fil-kamp ta’ applikazzjoni tat-Trattati </w:t>
      </w:r>
      <w:r>
        <w:rPr>
          <w:rFonts w:ascii="Times New Roman" w:hAnsi="Times New Roman"/>
          <w:noProof/>
          <w:color w:val="000000"/>
          <w:sz w:val="24"/>
        </w:rPr>
        <w:t xml:space="preserve">u mingħajr preġudizzju għad-dispożizzjonijiet speċjali inklużi hemm </w:t>
      </w:r>
      <w:r>
        <w:rPr>
          <w:rFonts w:ascii="Times New Roman" w:hAnsi="Times New Roman"/>
          <w:noProof/>
          <w:color w:val="000000"/>
          <w:sz w:val="24"/>
          <w:u w:val="single"/>
        </w:rPr>
        <w:t>kull diskriminazzjoni minħabba ċittadinanza għandha tiġi projbita</w:t>
      </w:r>
      <w:r>
        <w:rPr>
          <w:rFonts w:ascii="Times New Roman" w:hAnsi="Times New Roman"/>
          <w:noProof/>
          <w:color w:val="000000"/>
          <w:sz w:val="24"/>
        </w:rPr>
        <w:t>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Il-prinċipji ġenerali </w:t>
      </w:r>
      <w:r>
        <w:rPr>
          <w:rFonts w:ascii="Times New Roman" w:hAnsi="Times New Roman"/>
          <w:noProof/>
          <w:sz w:val="24"/>
        </w:rPr>
        <w:t>tal-liġi kostituzzjonali tal-UE dwar l-</w:t>
      </w:r>
      <w:r>
        <w:rPr>
          <w:rFonts w:ascii="Times New Roman" w:hAnsi="Times New Roman"/>
          <w:b/>
          <w:noProof/>
          <w:sz w:val="24"/>
        </w:rPr>
        <w:t>awtonomija istituzzjonali</w:t>
      </w:r>
      <w:r>
        <w:rPr>
          <w:rFonts w:ascii="Times New Roman" w:hAnsi="Times New Roman"/>
          <w:noProof/>
          <w:sz w:val="24"/>
        </w:rPr>
        <w:t xml:space="preserve"> u l-</w:t>
      </w:r>
      <w:r>
        <w:rPr>
          <w:rFonts w:ascii="Times New Roman" w:hAnsi="Times New Roman"/>
          <w:b/>
          <w:noProof/>
          <w:sz w:val="24"/>
        </w:rPr>
        <w:t>kooperazzjoni sinċiera</w:t>
      </w:r>
      <w:r>
        <w:rPr>
          <w:rFonts w:ascii="Times New Roman" w:hAnsi="Times New Roman"/>
          <w:noProof/>
          <w:sz w:val="24"/>
        </w:rPr>
        <w:t xml:space="preserve"> huma ta’ min isemmihom.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Ir-</w:t>
      </w:r>
      <w:r>
        <w:rPr>
          <w:rFonts w:ascii="Times New Roman" w:hAnsi="Times New Roman"/>
          <w:b/>
          <w:noProof/>
          <w:sz w:val="24"/>
        </w:rPr>
        <w:t>Regolamenti tal-Persunal</w:t>
      </w:r>
      <w:r>
        <w:rPr>
          <w:rFonts w:ascii="Times New Roman" w:hAnsi="Times New Roman"/>
          <w:noProof/>
          <w:sz w:val="24"/>
        </w:rPr>
        <w:t xml:space="preserve"> fihom preskrizzjonijiet u projbizzjonijiet biex jiggwidaw lill-Awtorità tal-Ħatra fit-teħid tad-deċiżjonijiet. </w:t>
      </w:r>
      <w:r>
        <w:rPr>
          <w:rFonts w:ascii="Times New Roman" w:hAnsi="Times New Roman"/>
          <w:noProof/>
          <w:sz w:val="24"/>
        </w:rPr>
        <w:t>Bħala regola ġenerali, l-Awtorità tal-Ħatra għandha tibbaża d-deċiżjonijiet kollha tagħha fuq l-interess tas-servizz u l-mertu tal-individwi biss. Skont iż-żona kkonċernata, ir-Regolamenti tal-Persunal jipprovdu wkoll “lista sewda” ta’ kriterji li l-Awtori</w:t>
      </w:r>
      <w:r>
        <w:rPr>
          <w:rFonts w:ascii="Times New Roman" w:hAnsi="Times New Roman"/>
          <w:noProof/>
          <w:sz w:val="24"/>
        </w:rPr>
        <w:t>tà tal-Ħatra ma tistax tuża. Ir-referenza għan-nazzjonalità hija pprojbita espliċitament biss f’każ tal-mili ta’ postijiet individwali: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i/>
          <w:noProof/>
        </w:rPr>
        <w:t>Ġ</w:t>
      </w:r>
      <w:r>
        <w:rPr>
          <w:i/>
          <w:noProof/>
        </w:rPr>
        <w:t>eneralment (applikabbli għar-Regolamenti kollha tal-Persunal):</w:t>
      </w:r>
      <w:r>
        <w:rPr>
          <w:rFonts w:ascii="Times New Roman" w:hAnsi="Times New Roman"/>
          <w:noProof/>
          <w:sz w:val="24"/>
        </w:rPr>
        <w:t xml:space="preserve"> L-Artikolu 1d tar-Regolamenti tal-Persunal jipprojbixxi </w:t>
      </w:r>
      <w:r>
        <w:rPr>
          <w:rFonts w:ascii="Times New Roman" w:hAnsi="Times New Roman"/>
          <w:noProof/>
          <w:sz w:val="24"/>
        </w:rPr>
        <w:t>“kull diskriminazzjoni bbażata fuq kull raġuni, bħas-sess, razza, kulur, oriġini etnika jew soċjali, fatturi ġenetiċi, ilsien, reliġjon jew twemmin, opinjoni politika jew kull opinjoni oħra, sħubija f’minorità nazzjonali, proprjetà , twelid, diżabilità, et</w:t>
      </w:r>
      <w:r>
        <w:rPr>
          <w:rFonts w:ascii="Times New Roman" w:hAnsi="Times New Roman"/>
          <w:noProof/>
          <w:sz w:val="24"/>
        </w:rPr>
        <w:t xml:space="preserve">à, jew orjentazzjoni sesswali”.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  <w:vertAlign w:val="superscript"/>
        </w:rPr>
        <w:footnoteReference w:id="16"/>
      </w:r>
      <w:r>
        <w:rPr>
          <w:rFonts w:ascii="Times New Roman" w:hAnsi="Times New Roman"/>
          <w:noProof/>
          <w:sz w:val="24"/>
        </w:rPr>
        <w:t>;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 xml:space="preserve">Reklutaġġ: </w:t>
      </w:r>
      <w:r>
        <w:rPr>
          <w:rFonts w:ascii="Times New Roman" w:hAnsi="Times New Roman"/>
          <w:noProof/>
          <w:sz w:val="24"/>
        </w:rPr>
        <w:t xml:space="preserve">L-Artikolu 27 jitlob li l-uffiċjali għandhom jiġu “magħżula mill-aktar bażi​ġeografika wiesgħa possibbli minn fost iċ-ċittadini tal-Istati Membri tal-Unjoni”.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Għalkemm in-nazzjonalità mhix imsemmija b’mod esp</w:t>
      </w:r>
      <w:r>
        <w:rPr>
          <w:rFonts w:ascii="Times New Roman" w:hAnsi="Times New Roman"/>
          <w:noProof/>
          <w:sz w:val="24"/>
        </w:rPr>
        <w:t>liċitu, “l-aktar bażi ġeografika wiesgħa possibbli” hija interpretata bħala ekwivalenti għan-nazzjonalità;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i/>
          <w:noProof/>
          <w:sz w:val="24"/>
        </w:rPr>
        <w:t xml:space="preserve">Il-mili ta’ postijiet individwali: </w:t>
      </w:r>
      <w:r>
        <w:rPr>
          <w:rFonts w:ascii="Times New Roman" w:hAnsi="Times New Roman"/>
          <w:noProof/>
          <w:sz w:val="24"/>
        </w:rPr>
        <w:t xml:space="preserve">L-Artikolu 7 jipprovdi li “l-Awtorità tal-Ħatra għandha, waqt li taġixxi biss fl-interess tas-servizz </w:t>
      </w:r>
      <w:r>
        <w:rPr>
          <w:rFonts w:ascii="Times New Roman" w:hAnsi="Times New Roman"/>
          <w:noProof/>
          <w:sz w:val="24"/>
          <w:u w:val="single"/>
        </w:rPr>
        <w:t>u mingħajr k</w:t>
      </w:r>
      <w:r>
        <w:rPr>
          <w:rFonts w:ascii="Times New Roman" w:hAnsi="Times New Roman"/>
          <w:noProof/>
          <w:sz w:val="24"/>
          <w:u w:val="single"/>
        </w:rPr>
        <w:t>as in-nazzjonalità</w:t>
      </w:r>
      <w:r>
        <w:rPr>
          <w:rFonts w:ascii="Times New Roman" w:hAnsi="Times New Roman"/>
          <w:noProof/>
          <w:sz w:val="24"/>
        </w:rPr>
        <w:t xml:space="preserve">, tassenja kull uffiċjal b’ħatra jew trasferiment għall-pożizzjoni (...)”; l-Artikolu 27 jipprovdi li “l-ebda pożizzjoni ma tkun riservata għal </w:t>
      </w:r>
      <w:r>
        <w:rPr>
          <w:rFonts w:ascii="Times New Roman" w:hAnsi="Times New Roman"/>
          <w:noProof/>
          <w:sz w:val="24"/>
          <w:u w:val="single"/>
        </w:rPr>
        <w:t>ċ</w:t>
      </w:r>
      <w:r>
        <w:rPr>
          <w:rFonts w:ascii="Times New Roman" w:hAnsi="Times New Roman"/>
          <w:noProof/>
          <w:sz w:val="24"/>
          <w:u w:val="single"/>
        </w:rPr>
        <w:t>ittadini</w:t>
      </w:r>
      <w:r>
        <w:rPr>
          <w:rFonts w:ascii="Times New Roman" w:hAnsi="Times New Roman"/>
          <w:noProof/>
          <w:sz w:val="24"/>
        </w:rPr>
        <w:t xml:space="preserve"> ta’ xi Stat Membru speċifiku”. 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Il-ġurisprudenza kkonfermat li dawn id-dispożizzjon</w:t>
      </w:r>
      <w:r>
        <w:rPr>
          <w:rFonts w:ascii="Times New Roman" w:hAnsi="Times New Roman"/>
          <w:noProof/>
          <w:sz w:val="24"/>
        </w:rPr>
        <w:t xml:space="preserve">ijiet jipprojbixxu li jirriżervaw pożizzjonijiet speċifiċi għal nazzjonalitajiet speċifiċi iżda ma waqqfux lill-istituzzjonijiet milli jadottaw miżuri biex jiżguraw bilanċ globali (b’mod partikolari meta titqies in-nazzjonalità biex jimtlew pożizzjonijiet </w:t>
      </w:r>
      <w:r>
        <w:rPr>
          <w:rFonts w:ascii="Times New Roman" w:hAnsi="Times New Roman"/>
          <w:noProof/>
          <w:sz w:val="24"/>
        </w:rPr>
        <w:t>speċifiċi “fejn il-kwalifiki tad-diversi applikanti huma sostanzjalment l-istess”</w:t>
      </w:r>
      <w:r>
        <w:rPr>
          <w:rFonts w:ascii="Times New Roman" w:hAnsi="Times New Roman"/>
          <w:noProof/>
          <w:sz w:val="24"/>
          <w:vertAlign w:val="superscript"/>
        </w:rPr>
        <w:footnoteReference w:id="17"/>
      </w:r>
      <w:r>
        <w:rPr>
          <w:rFonts w:ascii="Times New Roman" w:hAnsi="Times New Roman"/>
          <w:noProof/>
          <w:sz w:val="24"/>
        </w:rPr>
        <w:t>).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Fl-okkażjoni tar-</w:t>
      </w:r>
      <w:r>
        <w:rPr>
          <w:rFonts w:ascii="Times New Roman" w:hAnsi="Times New Roman"/>
          <w:b/>
          <w:noProof/>
          <w:sz w:val="24"/>
        </w:rPr>
        <w:t>reviżjoni tar-Regolamenti tal-Persunal tal-2014</w:t>
      </w:r>
      <w:r>
        <w:rPr>
          <w:rFonts w:ascii="Times New Roman" w:hAnsi="Times New Roman"/>
          <w:noProof/>
          <w:sz w:val="24"/>
        </w:rPr>
        <w:t>, ġiet introdotta referenza speċifika għan-nazzjonalità fir-rigward tar-reklutaġġ. B’mod partikolari: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Il-Premessa 2 tar-</w:t>
      </w:r>
      <w:r>
        <w:rPr>
          <w:rFonts w:ascii="Times New Roman" w:hAnsi="Times New Roman"/>
          <w:b/>
          <w:noProof/>
          <w:sz w:val="24"/>
        </w:rPr>
        <w:t>Regolament Nru 1023/2013</w:t>
      </w:r>
      <w:r>
        <w:rPr>
          <w:rFonts w:ascii="Times New Roman" w:hAnsi="Times New Roman"/>
          <w:noProof/>
          <w:sz w:val="24"/>
        </w:rPr>
        <w:t xml:space="preserve"> tal-Parlament Ewropew u tal-Kunsill</w:t>
      </w:r>
      <w:r>
        <w:rPr>
          <w:rFonts w:ascii="Times New Roman" w:hAnsi="Times New Roman"/>
          <w:noProof/>
          <w:sz w:val="24"/>
          <w:vertAlign w:val="superscript"/>
        </w:rPr>
        <w:footnoteReference w:id="18"/>
      </w:r>
      <w:r>
        <w:rPr>
          <w:rFonts w:ascii="Times New Roman" w:hAnsi="Times New Roman"/>
          <w:noProof/>
          <w:sz w:val="24"/>
        </w:rPr>
        <w:t xml:space="preserve"> tiddikjara li “ teżisti l-ħtieġa li jiġi garantit qafas biex jiġbed, jirrekluta u jżomm persunal ta' kwalità għolja u multilingwi, meħud fuq l-aktar bażi ġeografika wiesgħa min</w:t>
      </w:r>
      <w:r>
        <w:rPr>
          <w:rFonts w:ascii="Times New Roman" w:hAnsi="Times New Roman"/>
          <w:noProof/>
          <w:sz w:val="24"/>
        </w:rPr>
        <w:t>n fost iċ-ċittadini tal-Istati Membri”. Barra minn hekk, skont il-premessa 5 tal-istess Regolament, “il-valur tas-servizz pubbliku Ewropew jinsab (...) fid-diversità kulturali u lingwistika tiegħu, li tista’ biss tiġi garantita jekk jiġi żgurat bilanċ adeg</w:t>
      </w:r>
      <w:r>
        <w:rPr>
          <w:rFonts w:ascii="Times New Roman" w:hAnsi="Times New Roman"/>
          <w:noProof/>
          <w:sz w:val="24"/>
        </w:rPr>
        <w:t>wat fir-rigward taċ-ċittadinanza tal-uffiċjali”.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L-Artikolu 27 tar-</w:t>
      </w:r>
      <w:r>
        <w:rPr>
          <w:rFonts w:ascii="Times New Roman" w:hAnsi="Times New Roman"/>
          <w:b/>
          <w:noProof/>
          <w:sz w:val="24"/>
        </w:rPr>
        <w:t>Regolamenti tal-Persunal</w:t>
      </w:r>
      <w:r>
        <w:rPr>
          <w:rFonts w:ascii="Times New Roman" w:hAnsi="Times New Roman"/>
          <w:noProof/>
          <w:sz w:val="24"/>
        </w:rPr>
        <w:t xml:space="preserve"> kif emendat jgħid li “l-prinċipju tal-ugwaljanza taċ-ċittadini tal-Unjoni għandu jippermetti lil kull istituzzjoni tadotta miżuri xierqa wara li jkun osservat żbila</w:t>
      </w:r>
      <w:r>
        <w:rPr>
          <w:rFonts w:ascii="Times New Roman" w:hAnsi="Times New Roman"/>
          <w:noProof/>
          <w:sz w:val="24"/>
        </w:rPr>
        <w:t xml:space="preserve">nċ dejjiemi u sinifikanti bejn iċ-ċittadinanzi fost l-uffiċjali li ma jkunx ġustifikat minn kriterji oġġettivi.” </w:t>
      </w:r>
    </w:p>
    <w:p w:rsidR="00253BD3" w:rsidRDefault="00F62E46">
      <w:pPr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Is-suppożizzjoni sottostanti ta’ dawn id-dispożizzjonijiet (emendati) hija li l-“pakkett” offrut lill-kandidati potenzjali kif ukoll il-proċes</w:t>
      </w:r>
      <w:r>
        <w:rPr>
          <w:rFonts w:ascii="Times New Roman" w:hAnsi="Times New Roman"/>
          <w:noProof/>
          <w:sz w:val="24"/>
        </w:rPr>
        <w:t>si ta’ għażla u reklutaġġ huma mfassla b’tali mod li, fin-nuqqas ta’ ġustifikazzjoni oġġettiva, it-tqassim skont in-nazzjonalità tal-applikanti, u l-persunal reklutat tal-istituzzjonijiet (u, għalhekk, tal-persunal fl-attività) għandhom jirriflettu bejn wi</w:t>
      </w:r>
      <w:r>
        <w:rPr>
          <w:rFonts w:ascii="Times New Roman" w:hAnsi="Times New Roman"/>
          <w:noProof/>
          <w:sz w:val="24"/>
        </w:rPr>
        <w:t>eħed u ieħor it-tqassim skont in-nazzjonalità taċ-ċittadini tal-Unjoni. Fin-nuqqas ta’ ġustifikazzjoni oġġettiva, kwalunkwe devjazzjoni sinifikanti osservata tista’ titqies bħala ksur tal-prinċipju tal-ugwaljanza taċ-ċittadini, li tiġġustifika miżuri korre</w:t>
      </w:r>
      <w:r>
        <w:rPr>
          <w:rFonts w:ascii="Times New Roman" w:hAnsi="Times New Roman"/>
          <w:noProof/>
          <w:sz w:val="24"/>
        </w:rPr>
        <w:t>ttivi xierqa.</w:t>
      </w:r>
    </w:p>
    <w:p w:rsidR="00253BD3" w:rsidRDefault="00F62E46">
      <w:pPr>
        <w:tabs>
          <w:tab w:val="num" w:pos="765"/>
        </w:tabs>
        <w:spacing w:after="240" w:line="240" w:lineRule="auto"/>
        <w:ind w:left="765" w:hanging="283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</w:t>
      </w:r>
      <w:r>
        <w:rPr>
          <w:rFonts w:ascii="Times New Roman" w:hAnsi="Times New Roman"/>
          <w:b/>
          <w:noProof/>
          <w:sz w:val="24"/>
        </w:rPr>
        <w:t>Kondizzjonijiet tal-Impjieg ta’ Aġenti Oħra tal-UE</w:t>
      </w:r>
      <w:r>
        <w:rPr>
          <w:rFonts w:ascii="Times New Roman" w:hAnsi="Times New Roman"/>
          <w:noProof/>
          <w:sz w:val="24"/>
        </w:rPr>
        <w:t xml:space="preserve">, u b’mod partikolari l-Artikolu 12 tiegħu, fihom dispożizzjonijiet simili applikabbli għall-Persunal Temporanju. </w:t>
      </w:r>
    </w:p>
    <w:p w:rsidR="00253BD3" w:rsidRDefault="00F62E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Biex timplimenta l-Artikolu 27 tar-Regolamenti tal-Persunal kif emendat, </w:t>
      </w:r>
      <w:r>
        <w:rPr>
          <w:rFonts w:ascii="Times New Roman" w:hAnsi="Times New Roman"/>
          <w:noProof/>
          <w:sz w:val="24"/>
        </w:rPr>
        <w:t>kull istituzzjoni għandha normalment:</w:t>
      </w:r>
    </w:p>
    <w:p w:rsidR="00253BD3" w:rsidRDefault="00F62E46">
      <w:pPr>
        <w:pStyle w:val="ListParagraph"/>
        <w:numPr>
          <w:ilvl w:val="0"/>
          <w:numId w:val="30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tinterpreta dak li hu mfisser b’“bilanċ” bejn in-nazzjonalitajiet</w:t>
      </w:r>
    </w:p>
    <w:p w:rsidR="00253BD3" w:rsidRDefault="00F62E46">
      <w:pPr>
        <w:pStyle w:val="ListParagraph"/>
        <w:numPr>
          <w:ilvl w:val="0"/>
          <w:numId w:val="30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tinterpreta dak li hu mfisser bi żbilanċ “sinifikanti”</w:t>
      </w:r>
    </w:p>
    <w:p w:rsidR="00253BD3" w:rsidRDefault="00F62E46">
      <w:pPr>
        <w:pStyle w:val="ListParagraph"/>
        <w:numPr>
          <w:ilvl w:val="0"/>
          <w:numId w:val="30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tissorvelja s-sitwazzjoni fattwali bil-ħsieb li “tosserva” l-bilanċ bejn in-nazzjonalitajiet</w:t>
      </w:r>
    </w:p>
    <w:p w:rsidR="00253BD3" w:rsidRDefault="00F62E46">
      <w:pPr>
        <w:pStyle w:val="ListParagraph"/>
        <w:numPr>
          <w:ilvl w:val="0"/>
          <w:numId w:val="30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jekk</w:t>
      </w:r>
      <w:r>
        <w:rPr>
          <w:rFonts w:ascii="Times New Roman" w:hAnsi="Times New Roman"/>
          <w:noProof/>
          <w:sz w:val="24"/>
        </w:rPr>
        <w:t xml:space="preserve"> applikabbli, tidentifika “raġunijiet” għal tali żbilanċ sinifikanti u tiddetermina jekk jipprovdux għal “ġustifikazzjoni oġġettiva” għall-iżbilanċ</w:t>
      </w:r>
    </w:p>
    <w:p w:rsidR="00253BD3" w:rsidRDefault="00F62E46">
      <w:pPr>
        <w:pStyle w:val="ListParagraph"/>
        <w:numPr>
          <w:ilvl w:val="0"/>
          <w:numId w:val="30"/>
        </w:numPr>
        <w:tabs>
          <w:tab w:val="num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fejn rilevanti, tidentifika u/jew tadotta “miżuri korrettivi xierqa” 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L-Artikolu 27 SR jistipula wkoll li wa</w:t>
      </w:r>
      <w:r>
        <w:rPr>
          <w:rFonts w:ascii="Times New Roman" w:hAnsi="Times New Roman"/>
          <w:noProof/>
          <w:sz w:val="24"/>
        </w:rPr>
        <w:t>ra perjodu ta’ tliet snin li jibda mill-1 ta’ Jannar 2014, il-Kummissjoni għandha tirrapporta lill-Parlament Ewropew u lill-Kunsill dwar l-implimentazzjoni tat-tieni paragrafu tal-Artikolu 27.</w:t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</w:rPr>
        <w:t>ANNESS 2: Rati ta’ gwida għall-Istati Membri tal-EU-15</w:t>
      </w:r>
      <w:r>
        <w:rPr>
          <w:rFonts w:ascii="Times New Roman" w:hAnsi="Times New Roman"/>
          <w:b/>
          <w:noProof/>
          <w:sz w:val="24"/>
          <w:vertAlign w:val="superscript"/>
        </w:rPr>
        <w:footnoteReference w:id="19"/>
      </w:r>
    </w:p>
    <w:p w:rsidR="00253BD3" w:rsidRDefault="00F62E4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</w:t>
      </w:r>
      <w:r>
        <w:rPr>
          <w:rFonts w:ascii="Times New Roman" w:hAnsi="Times New Roman"/>
          <w:b/>
          <w:noProof/>
          <w:sz w:val="24"/>
        </w:rPr>
        <w:t xml:space="preserve"> 1</w:t>
      </w:r>
    </w:p>
    <w:p w:rsidR="00253BD3" w:rsidRDefault="00F62E46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</w:pPr>
      <w:r>
        <w:rPr>
          <w:rFonts w:ascii="Times New Roman" w:hAnsi="Times New Roman"/>
          <w:b/>
          <w:smallCaps/>
          <w:noProof/>
          <w:sz w:val="24"/>
        </w:rPr>
        <w:t>Bilanċ ġeografiku fi tkabbir preċedenti</w:t>
      </w:r>
    </w:p>
    <w:p w:rsidR="00253BD3" w:rsidRDefault="00F62E46">
      <w:pPr>
        <w:spacing w:after="240" w:line="240" w:lineRule="auto"/>
        <w:ind w:left="482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Figuri fl-Anness 1a</w:t>
      </w:r>
    </w:p>
    <w:p w:rsidR="00253BD3" w:rsidRDefault="00253BD3">
      <w:pPr>
        <w:spacing w:after="240" w:line="240" w:lineRule="auto"/>
        <w:ind w:left="482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Punt tal-bidu (1958): il-bilanċ ġeografiku bbażat fuq ċifri nnegozjati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Meta kien hemm sitt Stati Membri, il-prinċipju ta’ gwida kien l-ugwaljanza bejn l-Istati Membri ewlenin u l-aggregat ta’ dawk iżgħar. Il-miri teoretiċi ffissati kienu 25 % kull wieħed għal Franza, il-Ġermanja, l-Italja u l-Benelux. Valuri ta’ referenza mhu</w:t>
      </w:r>
      <w:r>
        <w:rPr>
          <w:rFonts w:ascii="Times New Roman" w:hAnsi="Times New Roman"/>
          <w:noProof/>
          <w:sz w:val="24"/>
        </w:rPr>
        <w:t xml:space="preserve">x uffiċjali ġew applikati b’mod flessibbli u limitati għal gradi A aktar anzjani. </w:t>
      </w: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L-ewwel tkabbir (1973): il-bilanċ ġeografiku jibqa’ bbażat fuq ċifri nnegozjati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Għall-proċess tat-tkabbir tal-1973, inħass li r-Renju Unit kellu jkollu sehem tal-istess daq</w:t>
      </w:r>
      <w:r>
        <w:rPr>
          <w:rFonts w:ascii="Times New Roman" w:hAnsi="Times New Roman"/>
          <w:noProof/>
          <w:sz w:val="24"/>
        </w:rPr>
        <w:t>s bħat-tliet Stati Membri l-kbar (18 % wara aġġustament mill-ġdid), filwaqt li d-Danimarka, l-Irlanda u n-Norveġja flimkien kellu jkollhom sehem ugwali ta’ 10 %. Ma sar l-ebda aġġustament mill-ġdid speċifiku meta n-Norveġja ddeċidiet li ma tingħaqadx, għal</w:t>
      </w:r>
      <w:r>
        <w:rPr>
          <w:rFonts w:ascii="Times New Roman" w:hAnsi="Times New Roman"/>
          <w:noProof/>
          <w:sz w:val="24"/>
        </w:rPr>
        <w:t>kemm kien stmat li s-sehem magħqud tad-Danimarka u l-Irlanda kellu jkun bejn 7 u 8 %.</w:t>
      </w: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It-tieni tkabbir (1981): il-bilanċ ġeografiku huwa bbażat fuq taħlita ta’ ċifri nnegozjati u kriterji oġġettivi (ċifri tal-popolazzjoni u l-PDG)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Fl-okkażjoni tal-adeżjon</w:t>
      </w:r>
      <w:r>
        <w:rPr>
          <w:rFonts w:ascii="Times New Roman" w:hAnsi="Times New Roman"/>
          <w:noProof/>
          <w:sz w:val="24"/>
        </w:rPr>
        <w:t>i tal-Greċja, inżamm il-prinċipju ta’ rappreżentanza ugwali tal-akbar Stati Membri u r-rappreżentanza żejda ta’ dawk iżgħar inżammet. Madankollu, anke jekk id-dokument “fresco” (COM(78)190) issuġġerixxa li l-Greċja għandha tokkupa l-istess pożizzjoni bħall</w:t>
      </w:r>
      <w:r>
        <w:rPr>
          <w:rFonts w:ascii="Times New Roman" w:hAnsi="Times New Roman"/>
          <w:noProof/>
          <w:sz w:val="24"/>
        </w:rPr>
        <w:t>-Belġju u n-Netherlands, is-sehem għall-Greċja eventwalment ġie ffissat għal 4,5 %, inqas miċ-ċifra allokata lill-Belġju u n-Netherlands. Iċ-ċifri tal-popolazzjoni u l-PDG ingħataw għall-ewwel darba biex juru dan l-approċċ.</w:t>
      </w: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It-tielet tkabbir (1986): il-bil</w:t>
      </w:r>
      <w:r>
        <w:rPr>
          <w:rFonts w:ascii="Times New Roman" w:hAnsi="Times New Roman"/>
          <w:b/>
          <w:noProof/>
          <w:sz w:val="24"/>
        </w:rPr>
        <w:t>anċ ġeografiku jibqa’ bbażat fuq taħlita ta’ ċifri nnegozjati u kriterji oġġettivi (ċifri tal-popolazzjoni u l-PDG)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Fiż-żmien tal-adeżjoni tal-pajjiżi Iberiċi fl-1986, il-valuri ta’ referenza mhux uffiċjali, li kienu jeżistu biss għall-gradi A1 sa A3, tles</w:t>
      </w:r>
      <w:r>
        <w:rPr>
          <w:rFonts w:ascii="Times New Roman" w:hAnsi="Times New Roman"/>
          <w:noProof/>
          <w:sz w:val="24"/>
        </w:rPr>
        <w:t xml:space="preserve">tew. Mingħajr referenza espliċita għall-kriterji, is-sehem għal Spanja kien iffissat bil-valur medju bejn dak tan-Netherlands u dak ta’ pajjiż kbir, filwaqt li s-sehem għall-Portugall kien iffissat fl-istess livell bħal dak tal-Greċja. </w:t>
      </w: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Ir-raba’ tkabbir (1</w:t>
      </w:r>
      <w:r>
        <w:rPr>
          <w:rFonts w:ascii="Times New Roman" w:hAnsi="Times New Roman"/>
          <w:b/>
          <w:noProof/>
          <w:sz w:val="24"/>
        </w:rPr>
        <w:t xml:space="preserve">995): il-bilanċ ġeografiku jibqa’ bbażat fuq taħlita ta’ ċifri nnegozjati u kriterji oġġettivi (ċifri tal-popolazzjoni u l-PDG)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Il-Komunikazzjoni tal-Kummissjoni SEC 94/844 tas-17 ta’ Mejju 1994 stabbiliet valuri ta’ referenza għat-tliet Stati Membri l-ġo</w:t>
      </w:r>
      <w:r>
        <w:rPr>
          <w:rFonts w:ascii="Times New Roman" w:hAnsi="Times New Roman"/>
          <w:noProof/>
          <w:sz w:val="24"/>
        </w:rPr>
        <w:t>dda u ddeskriviet il-metodoloġija adottata. Il-bilanċ ġeografiku ġie adattat fuq il-bażi ta’ paraguni tas-sitwazzjonijiet relattivi tal-Istati Membri l-ġodda fir-rigward tal-popolazzjonijiet tagħhom u d-dejta ekonomika u soċjali fl-Unjoni mkabbra. Il-karat</w:t>
      </w:r>
      <w:r>
        <w:rPr>
          <w:rFonts w:ascii="Times New Roman" w:hAnsi="Times New Roman"/>
          <w:noProof/>
          <w:sz w:val="24"/>
        </w:rPr>
        <w:t>teristiċi tal-Finlandja kienu komparabbli ma’ dawk tad-Danimarka u l-għan ġie stabbilit biex jirrekluta għadd simili ta’ ċittadini Finlandiżi bħal dak taċ-ċittadini Daniżi preżenti fis-servizz. Il-karatteristiċi li jikkonċernaw l-Awstrija u l-Iżvezja kienu</w:t>
      </w:r>
      <w:r>
        <w:rPr>
          <w:rFonts w:ascii="Times New Roman" w:hAnsi="Times New Roman"/>
          <w:noProof/>
          <w:sz w:val="24"/>
        </w:rPr>
        <w:t xml:space="preserve"> darba u nofs akbar minn dawk tad-Danimarka, u l-objettivi tar-reklutaġġ ġew iffissati proporzjonalment. L-Anness 1b juri dan l-approċċ.</w:t>
      </w:r>
    </w:p>
    <w:p w:rsidR="00253BD3" w:rsidRDefault="00F62E46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Sommarju: it-tliet prinċipji ewlenin applikati sa issa: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 xml:space="preserve">jidher hawn fuq li l-interpretazzjoni tal-Kummissjoni </w:t>
      </w:r>
      <w:r>
        <w:rPr>
          <w:rFonts w:ascii="Times New Roman" w:hAnsi="Times New Roman"/>
          <w:noProof/>
          <w:sz w:val="24"/>
        </w:rPr>
        <w:t>tal-bilanċ ġeografiku ssegwi mudell triplu:</w:t>
      </w:r>
    </w:p>
    <w:p w:rsidR="00253BD3" w:rsidRDefault="00F62E46">
      <w:pPr>
        <w:numPr>
          <w:ilvl w:val="0"/>
          <w:numId w:val="22"/>
        </w:numPr>
        <w:spacing w:before="120" w:after="120" w:line="240" w:lineRule="auto"/>
        <w:ind w:left="1985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Il-bilanċ ġeografiku kien ta’ tħassib minn kmieni fiż-żminijiet, b’mod partikolari għall-gradi A aktar anzjani;</w:t>
      </w:r>
    </w:p>
    <w:p w:rsidR="00253BD3" w:rsidRDefault="00F62E46">
      <w:pPr>
        <w:numPr>
          <w:ilvl w:val="0"/>
          <w:numId w:val="22"/>
        </w:numPr>
        <w:spacing w:before="120" w:after="120" w:line="240" w:lineRule="auto"/>
        <w:ind w:left="1985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Il-bilanċ ġeografiku dejjem ibbaża ruħu fuq ir-regola doppja ta’: 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a) rappreżentanza ugwali tal-erb</w:t>
      </w:r>
      <w:r>
        <w:rPr>
          <w:rFonts w:ascii="Times New Roman" w:hAnsi="Times New Roman"/>
          <w:noProof/>
          <w:sz w:val="24"/>
        </w:rPr>
        <w:t>a’ (oriġinarjament tlieta) l-akbar Stati Membri;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b) rappreżentanza żejda tal-iżgħar Stat Membru sabiex tkun żgurata rappreżentanza minima.</w:t>
      </w:r>
    </w:p>
    <w:p w:rsidR="00253BD3" w:rsidRDefault="00F62E46">
      <w:pPr>
        <w:numPr>
          <w:ilvl w:val="0"/>
          <w:numId w:val="22"/>
        </w:numPr>
        <w:spacing w:before="120" w:after="120" w:line="240" w:lineRule="auto"/>
        <w:ind w:left="1985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It-tkabbir qatt ma wassal għal modifika tal-piż relattiv tal-Istati Membri eżistenti. Għalhekk,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a) fir-rigward ta’ d</w:t>
      </w:r>
      <w:r>
        <w:rPr>
          <w:rFonts w:ascii="Times New Roman" w:hAnsi="Times New Roman"/>
          <w:noProof/>
          <w:sz w:val="24"/>
        </w:rPr>
        <w:t>awk eżistenti, il-piżijiet relattivi kollha baqgħu ma ġewx affettwati wara kull tkabbir (eż. il-piż tal-Belġju baqa’ l-istess bħal dak tan-Netherlands u 45 % ta’ dak tal-Ġermanja wara t-tkabbir tal-1981, 1986 u 1995);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b) l-Istati Membri l-ġodda rċivew piż</w:t>
      </w:r>
      <w:r>
        <w:rPr>
          <w:rFonts w:ascii="Times New Roman" w:hAnsi="Times New Roman"/>
          <w:noProof/>
          <w:sz w:val="24"/>
        </w:rPr>
        <w:t xml:space="preserve"> b’referenza għall-iktar membru/i eżistenti simili (eż. il-Portugall ingħata l-istess piż bħall-Greċja; Spanja, piż bejn dak tan-Netherlands u ta’ Franza, eċċ...)</w:t>
      </w:r>
    </w:p>
    <w:p w:rsidR="00253BD3" w:rsidRDefault="00253BD3">
      <w:pPr>
        <w:spacing w:after="240" w:line="240" w:lineRule="auto"/>
        <w:ind w:left="482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8" w:bottom="1134" w:left="1418" w:header="720" w:footer="720" w:gutter="0"/>
          <w:cols w:space="720"/>
        </w:sectPr>
      </w:pPr>
    </w:p>
    <w:p w:rsidR="00253BD3" w:rsidRDefault="00F62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Anness </w:t>
      </w:r>
      <w:r>
        <w:rPr>
          <w:rFonts w:ascii="Times New Roman" w:hAnsi="Times New Roman"/>
          <w:b/>
          <w:noProof/>
          <w:sz w:val="24"/>
        </w:rPr>
        <w:t>1a</w:t>
      </w:r>
    </w:p>
    <w:p w:rsidR="00253BD3" w:rsidRDefault="00253BD3">
      <w:pPr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W w:w="0" w:type="auto"/>
        <w:tblInd w:w="2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1747"/>
        <w:gridCol w:w="1747"/>
        <w:gridCol w:w="1748"/>
        <w:gridCol w:w="1747"/>
        <w:gridCol w:w="1524"/>
        <w:gridCol w:w="1598"/>
      </w:tblGrid>
      <w:tr w:rsidR="00253BD3">
        <w:trPr>
          <w:cantSplit/>
        </w:trPr>
        <w:tc>
          <w:tcPr>
            <w:tcW w:w="107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napToGrid w:val="0"/>
                <w:color w:val="000000"/>
                <w:sz w:val="24"/>
              </w:rPr>
              <w:t>Tkabbir preċedenti - linji gwida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1958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1973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1981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1986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1995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(1)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(2)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(3)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(4)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(5)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(6)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(7)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Il-Benelux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25,0 %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18,0 %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(17,7 %)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(15,1 %)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(13,5 %)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LU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Il-Lussemburgu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1,5 %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1,3 %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0,9 %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L-Irlanda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3,5 % - 4 %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3,5 %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3,0 %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Fl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Il-Finlandja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DK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Id-Danimarka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3,5 % - 4 %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3,5 %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3,0 %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PT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Il-Portugall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3,8 %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3,6 %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GR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Il-Greċja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4,5 %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3,8 %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3,6 %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AT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L-Awstrija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4,0 %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SE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L-Iżvezja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4,0 %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BE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Il-Belġju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8,1 %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6,9 %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6,3 %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NL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In-Netherlands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8,1 %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6,9 %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6,3 %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ES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Spanja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11,0 %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9,8 %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L-Italja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25,0 %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18,0 %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17,7 %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UK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Ir-Renju Unit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18,0 %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17,7 %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FR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Franza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25,0 %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18,0 %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17,7 %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DE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Il-Ġermanja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25,0 %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18,0 %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17,7 %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100,0 %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97 % - 98 %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100,0 %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100,1 %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100,2 %</w:t>
            </w:r>
          </w:p>
        </w:tc>
      </w:tr>
    </w:tbl>
    <w:p w:rsidR="00253BD3" w:rsidRDefault="00F62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</w:rPr>
        <w:t>Anness 1b</w:t>
      </w:r>
    </w:p>
    <w:tbl>
      <w:tblPr>
        <w:tblW w:w="0" w:type="auto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1747"/>
        <w:gridCol w:w="1692"/>
        <w:gridCol w:w="802"/>
        <w:gridCol w:w="1075"/>
        <w:gridCol w:w="1075"/>
        <w:gridCol w:w="1898"/>
        <w:gridCol w:w="1598"/>
        <w:gridCol w:w="1195"/>
      </w:tblGrid>
      <w:tr w:rsidR="00253BD3">
        <w:trPr>
          <w:cantSplit/>
        </w:trPr>
        <w:tc>
          <w:tcPr>
            <w:tcW w:w="117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napToGrid w:val="0"/>
                <w:color w:val="000000"/>
                <w:sz w:val="24"/>
              </w:rPr>
              <w:t>Approċċ komparattiv kif użat għat-tkabbir tal-1995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rPr>
          <w:cantSplit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Abitanti 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PDG 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Medja</w:t>
            </w:r>
          </w:p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(abitanti, PDG)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Linji Gwida</w:t>
            </w:r>
          </w:p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1995</w:t>
            </w:r>
          </w:p>
        </w:tc>
      </w:tr>
      <w:tr w:rsidR="00253BD3">
        <w:trPr>
          <w:cantSplit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(1)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(2)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(3)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(4)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(5)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(6)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(7)</w:t>
            </w: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LU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Il-Lussemburgu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0,1 %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0,2 %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0,2 %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0,9 %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L-Irlanda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3,8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1,0 %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1,3 %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1,1</w:t>
            </w: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Fl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Il-Finlandja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5,2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1,4 %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1,6 %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1,5 %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DK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Id-Danimarka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5,4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1,4 %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2,1 %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1,7 %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PT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Il-Portugall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10,3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1,3 %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2,0 %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3,6 %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GR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Il-Greċja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10,6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2,8 %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1,5 %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3,6 %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AT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L-Awstrija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8,1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2,1 %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2,4 %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2,3 %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4,0 </w:t>
            </w: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SE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L-Iżvezja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8,9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2,4 %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2,8 %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2,6 %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4,0 %</w:t>
            </w: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BE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Il-Belġju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10,3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2,7 %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2,9 %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2,8 %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6,3 %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NL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In-Netherlands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16,0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4,2 %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4,9 %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4,6 %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6,3 %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ES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Spanja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40,3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10,6 %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7,4 %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9,0 %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9,8 %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IT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L-Italja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57,9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15,3 %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1,224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13,9 %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14,6 %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UK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Ir-Renju Unit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60,0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15,8 %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1,511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17,2 %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16,5 %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FR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Franza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59,2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15,6 %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1,458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16,6 %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16,1 %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DE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Il-Ġermanja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82,3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21,7 %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2,112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24,0 %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22,9 %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13,4 %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2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378,7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100,0 %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8,801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100,0 %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100,0 %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89,5 %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D3" w:rsidRDefault="00F6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10,7 %</w:t>
            </w:r>
          </w:p>
        </w:tc>
      </w:tr>
      <w:tr w:rsidR="00253BD3">
        <w:tc>
          <w:tcPr>
            <w:tcW w:w="672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747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692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02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8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c>
          <w:tcPr>
            <w:tcW w:w="4111" w:type="dxa"/>
            <w:gridSpan w:val="3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 xml:space="preserve">(1) EUROSTAT: abitanti 2001 </w:t>
            </w:r>
          </w:p>
        </w:tc>
        <w:tc>
          <w:tcPr>
            <w:tcW w:w="802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8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  <w:tr w:rsidR="00253BD3">
        <w:trPr>
          <w:cantSplit/>
        </w:trPr>
        <w:tc>
          <w:tcPr>
            <w:tcW w:w="4913" w:type="dxa"/>
            <w:gridSpan w:val="4"/>
          </w:tcPr>
          <w:p w:rsidR="00253BD3" w:rsidRDefault="00F6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sz w:val="24"/>
              </w:rPr>
              <w:t>(2) EUROSTAT: PDG bil-prezzijiet tas-suq 2001</w:t>
            </w: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07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8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598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195" w:type="dxa"/>
          </w:tcPr>
          <w:p w:rsidR="00253BD3" w:rsidRDefault="0025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253BD3" w:rsidRDefault="00253BD3">
      <w:pPr>
        <w:spacing w:after="24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40" w:h="11907" w:orient="landscape" w:code="9"/>
          <w:pgMar w:top="1134" w:right="1418" w:bottom="1134" w:left="1418" w:header="720" w:footer="720" w:gutter="0"/>
          <w:cols w:space="720"/>
        </w:sectPr>
      </w:pPr>
    </w:p>
    <w:p w:rsidR="00253BD3" w:rsidRDefault="00F62E46">
      <w:pPr>
        <w:spacing w:after="24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3: 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Metodoloġija għall-kalkolu tal-valuri ta’ referenza u miri ta’ reklutaġġ ta’ Stati Membri ġodda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Approċċ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Fl-okkażjoni tat-Tkabbir tal-2004, il-Kummissjoni adottat il-Komunikazzjoni tal-14 ta’ Frar 2003 dwar ir-reklutaġġ ta’ uffiċjali tal-Kummissjoni mill-Istati Membri l-ġodda</w:t>
      </w:r>
      <w:r>
        <w:rPr>
          <w:rFonts w:ascii="Times New Roman" w:hAnsi="Times New Roman"/>
          <w:noProof/>
          <w:sz w:val="24"/>
          <w:vertAlign w:val="superscript"/>
        </w:rPr>
        <w:footnoteReference w:id="20"/>
      </w:r>
      <w:r>
        <w:rPr>
          <w:rFonts w:ascii="Times New Roman" w:hAnsi="Times New Roman"/>
          <w:noProof/>
          <w:sz w:val="24"/>
        </w:rPr>
        <w:t xml:space="preserve"> (minn hawn ’il quddiem imsejħa l-“Komunikazzjoni tal-2003”). Il-Komunikazzjoni sabet li minħabba n-natura tat-tkabbir tal-2004, l-applikazzjoni tal-kriterji li ntużaw fi tkabbir preċedenti ma twassalx għal riżultat ġust u bbilanċjat. Din is-sejba kienet p</w:t>
      </w:r>
      <w:r>
        <w:rPr>
          <w:rFonts w:ascii="Times New Roman" w:hAnsi="Times New Roman"/>
          <w:noProof/>
          <w:sz w:val="24"/>
        </w:rPr>
        <w:t>artikolarment vera meta jitqies il-fatt li l-piż tal-Istati Membri l-ġodda kkonċernati kien mistenni jiżdied b’mod konsiderevoli matul l-għaxar snin ta’ wara.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Fuq il-bażi ta’ din il-konsiderazzjoni, il-Kummissjoni żviluppat metodu applikabbli għall-Istati </w:t>
      </w:r>
      <w:r>
        <w:rPr>
          <w:rFonts w:ascii="Times New Roman" w:hAnsi="Times New Roman"/>
          <w:noProof/>
          <w:sz w:val="24"/>
        </w:rPr>
        <w:t>Membri l-ġodda, inkluż għal tkabbir li għad irid iseħħ</w:t>
      </w:r>
      <w:r>
        <w:rPr>
          <w:rFonts w:ascii="Times New Roman" w:hAnsi="Times New Roman"/>
          <w:noProof/>
          <w:sz w:val="24"/>
          <w:vertAlign w:val="superscript"/>
        </w:rPr>
        <w:footnoteReference w:id="21"/>
      </w:r>
      <w:r>
        <w:rPr>
          <w:rFonts w:ascii="Times New Roman" w:hAnsi="Times New Roman"/>
          <w:noProof/>
          <w:sz w:val="24"/>
        </w:rPr>
        <w:t>. Fl-adozzjoni ta’ dan il-metodu, il-Kummissjoni ddeċidiet li “valuri ta’ referenza u miri indikattivi ta’ reklutaġġ ser jintużaw bħala l-bażi għal miżuri ta’ reklutaġġ għal Stati Membri ġodda biss mat</w:t>
      </w:r>
      <w:r>
        <w:rPr>
          <w:rFonts w:ascii="Times New Roman" w:hAnsi="Times New Roman"/>
          <w:noProof/>
          <w:sz w:val="24"/>
        </w:rPr>
        <w:t>ul il-perjodu ta’ tranżizzjoni”.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Il-Komunikazzjoni stabbiliet approċċ fi tliet stadji:</w:t>
      </w:r>
    </w:p>
    <w:p w:rsidR="00253BD3" w:rsidRDefault="00F62E46">
      <w:pPr>
        <w:numPr>
          <w:ilvl w:val="0"/>
          <w:numId w:val="18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l-ewwel, id-determinazzjoni tal-għadd ta’ karigi li għandhom jiġu allokati għall-Istati Membri Ġodda kollha meħudin flimkien</w:t>
      </w:r>
    </w:p>
    <w:p w:rsidR="00253BD3" w:rsidRDefault="00F62E46">
      <w:pPr>
        <w:numPr>
          <w:ilvl w:val="0"/>
          <w:numId w:val="18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it-tieni, il-kalkolu għal kull Stat Membru ġ</w:t>
      </w:r>
      <w:r>
        <w:rPr>
          <w:rFonts w:ascii="Times New Roman" w:hAnsi="Times New Roman"/>
          <w:noProof/>
          <w:sz w:val="24"/>
        </w:rPr>
        <w:t xml:space="preserve">did ta’ valur ta’ referenza, jiġifieri s-sehem indikattiv tal-karigi allokati għal dak l-Istat Membru espress bħala persentaġġ tal-għadd totali ta’ karigi allokati għall-Istat Membru Ġdid </w:t>
      </w:r>
    </w:p>
    <w:p w:rsidR="00253BD3" w:rsidRDefault="00F62E46">
      <w:pPr>
        <w:numPr>
          <w:ilvl w:val="0"/>
          <w:numId w:val="18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it-tielet, il-kalkolu tal-mira ta’ reklutaġġ għal kull Stat Membru </w:t>
      </w:r>
      <w:r>
        <w:rPr>
          <w:rFonts w:ascii="Times New Roman" w:hAnsi="Times New Roman"/>
          <w:noProof/>
          <w:sz w:val="24"/>
        </w:rPr>
        <w:t>ġ</w:t>
      </w:r>
      <w:r>
        <w:rPr>
          <w:rFonts w:ascii="Times New Roman" w:hAnsi="Times New Roman"/>
          <w:noProof/>
          <w:sz w:val="24"/>
        </w:rPr>
        <w:t xml:space="preserve">did jiġifieri a x b 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Determinazzjoni tal-għadd ta’ karigi li għandhom jiġu allokati għall-Istati Membri Ġodda kollha meħudin flimkien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Dan l-għadd huwa determinat fi tliet fażijiet suċċessivi: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L-ewwel, il-piż tal-Istati Membri l-ġodda kollha meħuda fil-konfront tal-aggregat tal-Istati eżistenti huwa kkalkulat, b’referenza għal tliet kriterji: Popolazzjoni, Membri tal-Parlament Ewropew u l-Ippeżar tal-voti fil-Kunsill (il-medja matematika tat-tli</w:t>
      </w:r>
      <w:r>
        <w:rPr>
          <w:rFonts w:ascii="Times New Roman" w:hAnsi="Times New Roman"/>
          <w:noProof/>
          <w:sz w:val="24"/>
        </w:rPr>
        <w:t xml:space="preserve">eta tinżamm).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 xml:space="preserve">It-tieni, dan il-piż (perċentwali) jiġi applikat għall-għadd ta’ karigi tal-pjan ta’ stabbiliment wara t-tkabbir. 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>
        <w:rPr>
          <w:rFonts w:ascii="Times New Roman" w:hAnsi="Times New Roman"/>
          <w:noProof/>
          <w:sz w:val="24"/>
        </w:rPr>
        <w:t>It-tielet, l-għadd ta’ karigi li għandhom jiġu rriżervati għall-Istati Membri Ġodda huwa stabbilit għal żewġ terzi tal-ammont</w:t>
      </w:r>
      <w:r>
        <w:rPr>
          <w:rFonts w:ascii="Times New Roman" w:hAnsi="Times New Roman"/>
          <w:noProof/>
          <w:sz w:val="24"/>
        </w:rPr>
        <w:t xml:space="preserve"> ta’ hawn fuq.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It-tabella li ġejja tiġbor fil-qosor il-kalkoli magħmula għat-tkabbir tal-2004</w:t>
      </w:r>
      <w:r>
        <w:rPr>
          <w:rFonts w:ascii="Times New Roman" w:hAnsi="Times New Roman"/>
          <w:noProof/>
          <w:sz w:val="24"/>
          <w:vertAlign w:val="superscript"/>
        </w:rPr>
        <w:footnoteReference w:id="22"/>
      </w:r>
      <w:r>
        <w:rPr>
          <w:rFonts w:ascii="Times New Roman" w:hAnsi="Times New Roman"/>
          <w:noProof/>
          <w:sz w:val="24"/>
        </w:rPr>
        <w:t>, l-2007</w:t>
      </w:r>
      <w:r>
        <w:rPr>
          <w:rFonts w:ascii="Times New Roman" w:hAnsi="Times New Roman"/>
          <w:noProof/>
          <w:sz w:val="24"/>
          <w:vertAlign w:val="superscript"/>
        </w:rPr>
        <w:footnoteReference w:id="23"/>
      </w:r>
      <w:r>
        <w:rPr>
          <w:rFonts w:ascii="Times New Roman" w:hAnsi="Times New Roman"/>
          <w:noProof/>
          <w:sz w:val="24"/>
        </w:rPr>
        <w:t xml:space="preserve"> u l-2013</w:t>
      </w:r>
      <w:r>
        <w:rPr>
          <w:rFonts w:ascii="Times New Roman" w:hAnsi="Times New Roman"/>
          <w:noProof/>
          <w:sz w:val="24"/>
          <w:vertAlign w:val="superscript"/>
        </w:rPr>
        <w:footnoteReference w:id="24"/>
      </w:r>
      <w:r>
        <w:rPr>
          <w:rFonts w:ascii="Times New Roman" w:hAnsi="Times New Roman"/>
          <w:noProof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560"/>
        <w:gridCol w:w="1496"/>
      </w:tblGrid>
      <w:tr w:rsidR="00253BD3">
        <w:tc>
          <w:tcPr>
            <w:tcW w:w="4361" w:type="dxa"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2004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2007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2013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Popolazzjoni Stati Membri ġodda (1)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75,0 M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29,5 M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4,4 M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Popolazzjoni eżistenti (1)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378,7M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459,3 M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502,5 M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MPE Stat(i) </w:t>
            </w:r>
            <w:r>
              <w:rPr>
                <w:noProof/>
                <w:sz w:val="24"/>
              </w:rPr>
              <w:t>Membru/i ġdid/ġodda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162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MPE eżistenti 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570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732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754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Voti fil-Kunsill Stat(i) Membru/i ġdid/ġodda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Voti fil-Kunsill eżistenti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237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321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345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Piż Stat(i) Membru/i ġdid/ġodda 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21,6 %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7 %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1,5 %</w:t>
            </w:r>
          </w:p>
        </w:tc>
      </w:tr>
      <w:tr w:rsidR="00253BD3">
        <w:tc>
          <w:tcPr>
            <w:tcW w:w="4361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Piż eżistenti</w:t>
            </w:r>
          </w:p>
        </w:tc>
        <w:tc>
          <w:tcPr>
            <w:tcW w:w="141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78,4 %</w:t>
            </w:r>
          </w:p>
        </w:tc>
        <w:tc>
          <w:tcPr>
            <w:tcW w:w="15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93 %</w:t>
            </w:r>
          </w:p>
        </w:tc>
        <w:tc>
          <w:tcPr>
            <w:tcW w:w="1496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98.5 %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 xml:space="preserve">(1) iċ-ċifri ma </w:t>
      </w:r>
      <w:r>
        <w:rPr>
          <w:rFonts w:ascii="Times New Roman" w:hAnsi="Times New Roman"/>
          <w:noProof/>
          <w:sz w:val="20"/>
        </w:rPr>
        <w:t>jikkoinċidux fil-kolonni kollha għax minħabba t-tkabbir tal-EU-10 il-Kummissjoni użat id-dejta tal-2001, għat-tkabbir tal-EU-2 dejta tal-2005 u għall-Kroazja dejta tal-2011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Kalkolu tal-valur ta’ referenza skont l-Istat Membru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Il-metodu tal-kalkolu huwa </w:t>
      </w:r>
      <w:r>
        <w:rPr>
          <w:rFonts w:ascii="Times New Roman" w:hAnsi="Times New Roman"/>
          <w:noProof/>
          <w:sz w:val="24"/>
        </w:rPr>
        <w:t>l-istess daqs il-piż tal-aggregat tal-Istati Membri l-ġodda, ħlief għall-fatt li l-Istati Membri l-ġodda mhumiex imqabbla mal-Istati Membri eżistenti iżda bejniethom biss.</w:t>
      </w:r>
    </w:p>
    <w:p w:rsidR="00253BD3" w:rsidRDefault="00F62E4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Applikazzjoni fil-prattika tal-metodoloġija</w:t>
      </w:r>
    </w:p>
    <w:tbl>
      <w:tblPr>
        <w:tblW w:w="79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329"/>
        <w:gridCol w:w="1329"/>
        <w:gridCol w:w="1329"/>
      </w:tblGrid>
      <w:tr w:rsidR="00253BD3">
        <w:trPr>
          <w:trHeight w:val="9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Valur ta’ referenza indikattiv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Mira ta’</w:t>
            </w:r>
            <w:r>
              <w:rPr>
                <w:noProof/>
                <w:color w:val="000000"/>
              </w:rPr>
              <w:t xml:space="preserve"> reklutaġġ AD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Mira ta’ reklutaġġ AST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Ir-Repubblika Ċeka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14,3 %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318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184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L-Estonja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3,4 %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44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Ċ</w:t>
            </w:r>
            <w:r>
              <w:rPr>
                <w:noProof/>
                <w:color w:val="000000"/>
              </w:rPr>
              <w:t>ipru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3,2 %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41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Il-Latvja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4,5 %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58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Il-Litwanja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7,0 %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156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L-Ungerija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14,2 %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316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182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Malta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2,4 %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Il-Polonja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39,0 %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867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501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Is-Slovenja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3,9 %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Is-Slovakkja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8,1 %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104</w:t>
            </w:r>
          </w:p>
        </w:tc>
      </w:tr>
      <w:tr w:rsidR="00253BD3">
        <w:trPr>
          <w:trHeight w:val="300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EU-10 </w:t>
            </w:r>
            <w:r>
              <w:rPr>
                <w:b/>
                <w:noProof/>
                <w:color w:val="000000"/>
                <w:sz w:val="16"/>
              </w:rPr>
              <w:t>(1)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100,0 %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</w:rPr>
            </w:pPr>
            <w:r>
              <w:rPr>
                <w:b/>
                <w:noProof/>
              </w:rPr>
              <w:t>2224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</w:rPr>
            </w:pPr>
            <w:r>
              <w:rPr>
                <w:b/>
                <w:noProof/>
              </w:rPr>
              <w:t>1284</w:t>
            </w:r>
          </w:p>
        </w:tc>
      </w:tr>
      <w:tr w:rsidR="00253BD3">
        <w:trPr>
          <w:trHeight w:val="300"/>
        </w:trPr>
        <w:tc>
          <w:tcPr>
            <w:tcW w:w="3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Il-Bulgarija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34,0 %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225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135</w:t>
            </w: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Ir-Rumanija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66,0 %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437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Cs/>
                <w:noProof/>
              </w:rPr>
            </w:pPr>
            <w:r>
              <w:rPr>
                <w:noProof/>
              </w:rPr>
              <w:t>261</w:t>
            </w:r>
          </w:p>
        </w:tc>
      </w:tr>
      <w:tr w:rsidR="00253BD3">
        <w:trPr>
          <w:trHeight w:val="300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EU-2 </w:t>
            </w:r>
            <w:r>
              <w:rPr>
                <w:b/>
                <w:noProof/>
                <w:color w:val="000000"/>
                <w:sz w:val="16"/>
              </w:rPr>
              <w:t>(2)</w:t>
            </w:r>
          </w:p>
        </w:tc>
        <w:tc>
          <w:tcPr>
            <w:tcW w:w="132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100,0%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</w:rPr>
            </w:pPr>
            <w:r>
              <w:rPr>
                <w:b/>
                <w:noProof/>
              </w:rPr>
              <w:t>662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</w:rPr>
            </w:pPr>
            <w:r>
              <w:rPr>
                <w:b/>
                <w:noProof/>
              </w:rPr>
              <w:t>396</w:t>
            </w:r>
          </w:p>
        </w:tc>
      </w:tr>
      <w:tr w:rsidR="00253BD3">
        <w:trPr>
          <w:trHeight w:val="300"/>
        </w:trPr>
        <w:tc>
          <w:tcPr>
            <w:tcW w:w="3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3BD3" w:rsidRDefault="00253BD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Il-Kroazja </w:t>
            </w:r>
            <w:r>
              <w:rPr>
                <w:b/>
                <w:noProof/>
                <w:color w:val="000000"/>
                <w:sz w:val="16"/>
              </w:rPr>
              <w:t>(3)</w:t>
            </w:r>
          </w:p>
        </w:tc>
        <w:tc>
          <w:tcPr>
            <w:tcW w:w="1329" w:type="dxa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mhux applikabbli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149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100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16"/>
        </w:rPr>
        <w:t>(1): EU-10 kollha flimkien: 21,6 % - EU-15 kollha flimkien:</w:t>
      </w:r>
      <w:r>
        <w:rPr>
          <w:rFonts w:ascii="Times New Roman" w:hAnsi="Times New Roman"/>
          <w:noProof/>
          <w:sz w:val="16"/>
        </w:rPr>
        <w:t xml:space="preserve"> 78,4 %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hAnsi="Times New Roman"/>
          <w:noProof/>
          <w:sz w:val="16"/>
        </w:rPr>
        <w:t>(2): EU-2 kollha flimkien: 6,5 % - EU-25 kollha flimkien: 93,5 %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hAnsi="Times New Roman"/>
          <w:noProof/>
          <w:sz w:val="16"/>
        </w:rPr>
        <w:t xml:space="preserve">(3): Il-Kroazja: 1,5 % - EU-27 kollha flimkien: 98,5 % </w:t>
      </w:r>
      <w:r>
        <w:rPr>
          <w:noProof/>
        </w:rPr>
        <w:br w:type="page"/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020" w:right="1701" w:bottom="1020" w:left="1587" w:header="601" w:footer="1077" w:gutter="0"/>
          <w:cols w:space="720"/>
        </w:sect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4: Evoluzzjoni </w:t>
      </w:r>
      <w:r>
        <w:rPr>
          <w:rFonts w:ascii="Times New Roman" w:hAnsi="Times New Roman"/>
          <w:b/>
          <w:noProof/>
          <w:sz w:val="24"/>
        </w:rPr>
        <w:t>tal-popolazzjoni tal-Istati Membri (minbarra r-Renju Unit)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W w:w="6360" w:type="dxa"/>
        <w:tblInd w:w="93" w:type="dxa"/>
        <w:tblLook w:val="04A0" w:firstRow="1" w:lastRow="0" w:firstColumn="1" w:lastColumn="0" w:noHBand="0" w:noVBand="1"/>
      </w:tblPr>
      <w:tblGrid>
        <w:gridCol w:w="1960"/>
        <w:gridCol w:w="1340"/>
        <w:gridCol w:w="1340"/>
        <w:gridCol w:w="1720"/>
      </w:tblGrid>
      <w:tr w:rsidR="00253BD3">
        <w:trPr>
          <w:trHeight w:val="375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253BD3">
        <w:trPr>
          <w:trHeight w:val="37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2015 vs 2001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439 500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562 958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28,1 %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697 500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847 008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21,4 %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3 832 783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4 628 949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20,8 %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40 665 542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46 449 565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14,2 %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8 882 792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9 747 355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391 415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429 344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10 263 414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11 208 956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61 357 400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66 415 161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8,2 %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8 032 926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8 576 261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6,8 %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56 960 692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60 795 612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5 349 212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5 659 715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5,8 %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15 987 075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16 900 726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5,7 %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5 181 115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5 471 753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5,6 %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1 990 094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2 062 874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10 414 373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10 538 275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10 256 658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10 374 822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5 402 547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5 421 349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0,3 %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38 253 </w:t>
            </w:r>
            <w:r>
              <w:rPr>
                <w:rFonts w:ascii="Arial" w:hAnsi="Arial"/>
                <w:noProof/>
                <w:sz w:val="18"/>
              </w:rPr>
              <w:t>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38 005 614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-0,6 %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10 934 097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10 858 018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-0,7 %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82 259 540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81 197 537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-1,3 %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10 200 298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9 855 571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-3,4 %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4 437 460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4 225 316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-4,8 %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1 388 000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1 313 271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-5,4 %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7 928 901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7 202 198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-9,2 %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22 132 000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19 870 647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-10,2 %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2 364 254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1 986 096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-16,0 %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3 483 972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2 921 262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-16,2 %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429 487 515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443 526 213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3,3 %</w:t>
            </w:r>
          </w:p>
        </w:tc>
      </w:tr>
      <w:tr w:rsidR="00253BD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</w:rPr>
            </w:pPr>
          </w:p>
        </w:tc>
      </w:tr>
      <w:tr w:rsidR="00253BD3">
        <w:trPr>
          <w:trHeight w:val="300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Sors: Eurostat - id-dejta tal-estrazzjoni tat-23 ta’ Jannar 2017</w:t>
            </w:r>
          </w:p>
        </w:tc>
      </w:tr>
    </w:tbl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020" w:right="1701" w:bottom="1020" w:left="1587" w:header="601" w:footer="1077" w:gutter="0"/>
          <w:cols w:space="720"/>
        </w:sect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5: Proposta għal rati ta’ gwida ġodda: Applikazzjoni tal-metodu aritmetiku 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1935"/>
        <w:gridCol w:w="1334"/>
        <w:gridCol w:w="1335"/>
        <w:gridCol w:w="1683"/>
        <w:gridCol w:w="1107"/>
        <w:gridCol w:w="1409"/>
        <w:gridCol w:w="1409"/>
        <w:gridCol w:w="1404"/>
      </w:tblGrid>
      <w:tr w:rsidR="00253BD3">
        <w:trPr>
          <w:trHeight w:val="72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Stat Membru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Popolazzjoni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2015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</w:pPr>
            <w:r>
              <w:rPr>
                <w:rFonts w:ascii="Calibri" w:hAnsi="Calibri"/>
                <w:b/>
                <w:noProof/>
                <w:color w:val="000000"/>
              </w:rPr>
              <w:t>Sehem Aritmetiku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Siġġijiet fil-PE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color w:val="000000"/>
                <w:sz w:val="18"/>
              </w:rPr>
              <w:t>Sehem Aritmetiku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Peżar </w:t>
            </w:r>
            <w:r>
              <w:rPr>
                <w:rFonts w:ascii="Arial" w:hAnsi="Arial"/>
                <w:b/>
                <w:noProof/>
                <w:sz w:val="18"/>
              </w:rPr>
              <w:t>tal-Voti fil-Kunsill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color w:val="000000"/>
                <w:sz w:val="18"/>
              </w:rPr>
              <w:t>Sehem Aritmetiku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color w:val="000000"/>
                <w:sz w:val="18"/>
              </w:rPr>
              <w:t>Rata ta’ gwida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429 344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0,1 %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0,9 %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0,6 %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562 958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0,1 %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847 008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0,2 %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1 313 271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0,3 %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1 986</w:t>
            </w:r>
            <w:r>
              <w:rPr>
                <w:rFonts w:ascii="Arial" w:hAnsi="Arial"/>
                <w:noProof/>
                <w:sz w:val="18"/>
              </w:rPr>
              <w:t xml:space="preserve"> 096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0,4 %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1,0 %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2 062 874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0,5 %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1,0 %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2 921 262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0,7 %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1,5 %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4 225 316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1,0 %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4 628 949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1,0 %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5 421</w:t>
            </w:r>
            <w:r>
              <w:rPr>
                <w:rFonts w:ascii="Arial" w:hAnsi="Arial"/>
                <w:noProof/>
                <w:sz w:val="18"/>
              </w:rPr>
              <w:t xml:space="preserve"> 349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5 471 753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1,2 %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5 659 715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1,3 %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7 202 198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1,6 %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2,5 %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2,4 %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8 576 261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1,9 %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2,7 %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2,6 %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9 747 355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2,7 %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9 855 571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2,2 %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3,7 %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3,0 %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10 374 822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2,3 %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3,7 %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10 538 275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2,4 %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3,7 %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10 858 018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2,4 %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3,7 %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11 208 956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2,5 %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3,7 %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3,1 %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16 900 726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3,8 %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3,8 %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4,0 %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3,9 %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19 870 647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4,5 %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4,7 %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4,3 %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4,5 %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38 005 614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8,6 %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7,5 %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8,4 %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8,2 %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46 449 565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10,5 %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8,0 %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8,4 %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8,9 %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60 795 612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13,7 %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10,8 %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9,0 %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11,2 %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66 415 161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15,0 %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10,9 %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9,0 %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11,6 %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81 197 537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18,3 %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14,2 %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9,0 %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13,8 %</w:t>
            </w: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</w:p>
        </w:tc>
      </w:tr>
      <w:tr w:rsidR="00253BD3">
        <w:trPr>
          <w:trHeight w:val="1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443 526 213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100,0 %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678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100,0 %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323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100,0 %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100,0 %</w:t>
            </w:r>
          </w:p>
        </w:tc>
      </w:tr>
    </w:tbl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134" w:right="1021" w:bottom="1701" w:left="1021" w:header="567" w:footer="567" w:gutter="0"/>
          <w:cols w:space="720"/>
          <w:docGrid w:linePitch="326"/>
        </w:sect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 6: Distribuzzjoni tal-persunal mhux maniġerjali AD assenjat fid-DĠT jew SCIC fl-1 ta’ Jannar 2017</w:t>
      </w:r>
    </w:p>
    <w:tbl>
      <w:tblPr>
        <w:tblW w:w="11869" w:type="dxa"/>
        <w:tblInd w:w="-176" w:type="dxa"/>
        <w:tblLook w:val="04A0" w:firstRow="1" w:lastRow="0" w:firstColumn="1" w:lastColumn="0" w:noHBand="0" w:noVBand="1"/>
      </w:tblPr>
      <w:tblGrid>
        <w:gridCol w:w="1918"/>
        <w:gridCol w:w="987"/>
        <w:gridCol w:w="1137"/>
        <w:gridCol w:w="1060"/>
        <w:gridCol w:w="1300"/>
        <w:gridCol w:w="1080"/>
        <w:gridCol w:w="1100"/>
        <w:gridCol w:w="1120"/>
        <w:gridCol w:w="960"/>
        <w:gridCol w:w="1207"/>
      </w:tblGrid>
      <w:tr w:rsidR="00253BD3">
        <w:trPr>
          <w:trHeight w:val="61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Pop 2015 u MPE u Voti fil-Kunsill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Rata ta’ gwida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Miri fl-Għadd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 xml:space="preserve">(fl-2017)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Sitwazzjoni attwali fl-1 ta’Jannar 2017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Eċċess jew Defiċit 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vs il-mira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Osservat?</w:t>
            </w:r>
          </w:p>
        </w:tc>
      </w:tr>
      <w:tr w:rsidR="00253BD3">
        <w:trPr>
          <w:trHeight w:val="720"/>
        </w:trPr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AD5-AD14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mhux maniġerjali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fid-DĠT u fl-SCIC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Assoluta</w:t>
            </w:r>
          </w:p>
        </w:tc>
        <w:tc>
          <w:tcPr>
            <w:tcW w:w="113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jekk taħt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Assoluti</w:t>
            </w:r>
          </w:p>
        </w:tc>
        <w:tc>
          <w:tcPr>
            <w:tcW w:w="130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jekk taħt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</w:p>
        </w:tc>
        <w:tc>
          <w:tcPr>
            <w:tcW w:w="110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%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(fl-2017)</w:t>
            </w:r>
          </w:p>
        </w:tc>
        <w:tc>
          <w:tcPr>
            <w:tcW w:w="9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tal-mira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63</w:t>
            </w:r>
          </w:p>
        </w:tc>
        <w:tc>
          <w:tcPr>
            <w:tcW w:w="1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7,3 %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84 </w:t>
            </w: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233 %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26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11,1 %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280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-115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3,3 %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410 %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2,0 %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123 %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7,1 %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-57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188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4,8 %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-137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11,2 %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-97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57 %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1,5 %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1,2 %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0.1 %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121 %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3,9 %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2,0 %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-38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2,0 %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-39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6,5 %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86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-79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4,5 %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3,6 %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88 %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370 %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34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2,7 %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2,2 %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3,4 %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</w:tbl>
    <w:p w:rsidR="00253BD3" w:rsidRDefault="00253BD3">
      <w:pPr>
        <w:rPr>
          <w:noProof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Anness 7a: Distribuzzjoni tal-persunal AD5-AD8 assenjat għal servizzi minbarra d-DĠT jew </w:t>
      </w:r>
      <w:r>
        <w:rPr>
          <w:rFonts w:ascii="Times New Roman" w:hAnsi="Times New Roman"/>
          <w:b/>
          <w:noProof/>
          <w:sz w:val="24"/>
        </w:rPr>
        <w:t>l-SCIC fl-1 ta’ Jannar 2017</w:t>
      </w:r>
    </w:p>
    <w:tbl>
      <w:tblPr>
        <w:tblW w:w="11727" w:type="dxa"/>
        <w:tblInd w:w="-34" w:type="dxa"/>
        <w:tblLook w:val="04A0" w:firstRow="1" w:lastRow="0" w:firstColumn="1" w:lastColumn="0" w:noHBand="0" w:noVBand="1"/>
      </w:tblPr>
      <w:tblGrid>
        <w:gridCol w:w="1776"/>
        <w:gridCol w:w="987"/>
        <w:gridCol w:w="1137"/>
        <w:gridCol w:w="1060"/>
        <w:gridCol w:w="1300"/>
        <w:gridCol w:w="1080"/>
        <w:gridCol w:w="1100"/>
        <w:gridCol w:w="1120"/>
        <w:gridCol w:w="960"/>
        <w:gridCol w:w="1207"/>
      </w:tblGrid>
      <w:tr w:rsidR="00253BD3">
        <w:trPr>
          <w:trHeight w:val="75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Pop 2015 u MPE u Voti fil-Kunsill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Rata ta’ gwida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Miri fl-Għadd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 xml:space="preserve">(fl-2017)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Sitwazzjoni attwali fl-1.1.2017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Eċċess jew Defiċit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vs il-mira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Osservat?</w:t>
            </w:r>
          </w:p>
        </w:tc>
      </w:tr>
      <w:tr w:rsidR="00253BD3">
        <w:trPr>
          <w:trHeight w:val="72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AD5-AD8 barra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mid-DĠT u l-SCIC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</w:t>
            </w:r>
            <w:r>
              <w:rPr>
                <w:rFonts w:ascii="Arial" w:hAnsi="Arial"/>
                <w:b/>
                <w:noProof/>
                <w:sz w:val="18"/>
              </w:rPr>
              <w:t xml:space="preserve"> jekk taħt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jekk taħt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(fl-2017)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tal-mira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9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131</w:t>
            </w:r>
          </w:p>
        </w:tc>
        <w:tc>
          <w:tcPr>
            <w:tcW w:w="130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7,1 %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169 </w:t>
            </w:r>
          </w:p>
        </w:tc>
        <w:tc>
          <w:tcPr>
            <w:tcW w:w="96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229 %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6,1 %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157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6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-50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11,1 %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582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466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354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-228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34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-40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41 %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111 %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7,1 %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377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318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-59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490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353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-137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26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11,2 %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470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376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441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-29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0,8 %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1,5 %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1,2 %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77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14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123 %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0,0%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-32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3,0%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127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5,2%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91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172%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27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0,7%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112%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3,9%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164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-82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2,6%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2,0 %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108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1,5%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-43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8,2%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344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275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462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11,0%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118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134%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-68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47%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4,5%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190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263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238%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1,2%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123%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107%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0,7 %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-45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40%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2,7%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2,2 %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0,9%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-80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31%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</w:tbl>
    <w:p w:rsidR="00253BD3" w:rsidRDefault="00253BD3">
      <w:pPr>
        <w:rPr>
          <w:noProof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</w:rPr>
        <w:t xml:space="preserve">Anness 7b: Distribuzzjoni tal-persunal mhux maniġerjali AD9-AD12 assenjat għal </w:t>
      </w:r>
      <w:r>
        <w:rPr>
          <w:rFonts w:ascii="Times New Roman" w:hAnsi="Times New Roman"/>
          <w:b/>
          <w:noProof/>
          <w:sz w:val="24"/>
        </w:rPr>
        <w:t>servizzi minbarra d-DĠT jew l-SCIC fl-1 ta’ Jannar 2017</w:t>
      </w:r>
    </w:p>
    <w:tbl>
      <w:tblPr>
        <w:tblW w:w="11869" w:type="dxa"/>
        <w:tblInd w:w="-176" w:type="dxa"/>
        <w:tblLook w:val="04A0" w:firstRow="1" w:lastRow="0" w:firstColumn="1" w:lastColumn="0" w:noHBand="0" w:noVBand="1"/>
      </w:tblPr>
      <w:tblGrid>
        <w:gridCol w:w="1918"/>
        <w:gridCol w:w="987"/>
        <w:gridCol w:w="1137"/>
        <w:gridCol w:w="1060"/>
        <w:gridCol w:w="1300"/>
        <w:gridCol w:w="1080"/>
        <w:gridCol w:w="1100"/>
        <w:gridCol w:w="1120"/>
        <w:gridCol w:w="960"/>
        <w:gridCol w:w="1207"/>
      </w:tblGrid>
      <w:tr w:rsidR="00253BD3">
        <w:trPr>
          <w:trHeight w:val="75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Pop 2015 u MPE u Voti fil-Kunsill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Rata ta’ gwida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Miri fl-Għadd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 xml:space="preserve">(fl-2017)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Sitwazzjoni attwali fl-1.1.2017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Eċċess jew Defiċit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vs il-mira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Osservat?</w:t>
            </w:r>
          </w:p>
        </w:tc>
      </w:tr>
      <w:tr w:rsidR="00253BD3">
        <w:trPr>
          <w:trHeight w:val="72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t xml:space="preserve">AD9-AD12 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 xml:space="preserve">mhux maniġerjali 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barra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mid-DĠT u l-SCIC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jekk taħt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Assoluti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Żbilanċ sinifikanti jekk taħt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Għadd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(fl-2017)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tal-mira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9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2,5 %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123</w:t>
            </w:r>
          </w:p>
        </w:tc>
        <w:tc>
          <w:tcPr>
            <w:tcW w:w="130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571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14,4 %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464 %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-87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-53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101 %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11,1 %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546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437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-43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92 %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64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1,9 %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10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98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164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42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7,1 %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353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282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376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9,5%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23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107 %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9,3 %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505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12,8 %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46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1,3 %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-59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11,2 %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8,9 %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441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353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481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12,2 %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40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1,5 %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1,2 %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0.6 %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119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-37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17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0,4 %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68%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3,9 %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154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160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4,0 %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6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104 %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2,6 %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2,0 %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121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8,2 %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6,5 %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322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258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162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4,1 %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-160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50 %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3,1 %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121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107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-14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89 %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4,5 %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3,6 %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178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0,6 %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-155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1,0 %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0,8 %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0,7 %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76 %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1,8 %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36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0,9%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-34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IVA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1,8%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1,4 %</w:t>
            </w: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70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129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3,3%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59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184%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  <w:tr w:rsidR="00253BD3">
        <w:trPr>
          <w:trHeight w:val="240"/>
        </w:trPr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2,7%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2,2 %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109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87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137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3,5%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28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126%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 xml:space="preserve"> </w:t>
            </w:r>
          </w:p>
        </w:tc>
      </w:tr>
    </w:tbl>
    <w:p w:rsidR="00253BD3" w:rsidRDefault="00253BD3">
      <w:pPr>
        <w:rPr>
          <w:noProof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Anness 7c: Persunal Brittaniku mhux maniġerjali AD fl-1 ta’ Jannar 2017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Distribuzzjoni skont il-grad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657"/>
        <w:gridCol w:w="2658"/>
        <w:gridCol w:w="2658"/>
        <w:gridCol w:w="2658"/>
      </w:tblGrid>
      <w:tr w:rsidR="00253BD3">
        <w:tc>
          <w:tcPr>
            <w:tcW w:w="3369" w:type="dxa"/>
            <w:tcBorders>
              <w:bottom w:val="single" w:sz="4" w:space="0" w:color="auto"/>
            </w:tcBorders>
            <w:shd w:val="clear" w:color="auto" w:fill="99CCFF"/>
          </w:tcPr>
          <w:p w:rsidR="00253BD3" w:rsidRDefault="00F62E46">
            <w:pPr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Ċittadini Brittaniċi assenjati għal </w:t>
            </w:r>
            <w:r>
              <w:rPr>
                <w:b/>
                <w:noProof/>
                <w:sz w:val="24"/>
              </w:rPr>
              <w:br/>
              <w:t>kompiti mhux maniġerjali...</w:t>
            </w:r>
          </w:p>
        </w:tc>
        <w:tc>
          <w:tcPr>
            <w:tcW w:w="2657" w:type="dxa"/>
            <w:shd w:val="clear" w:color="auto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AD5-AD8</w:t>
            </w:r>
          </w:p>
        </w:tc>
        <w:tc>
          <w:tcPr>
            <w:tcW w:w="2658" w:type="dxa"/>
            <w:shd w:val="clear" w:color="auto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AD9-AD12</w:t>
            </w:r>
          </w:p>
        </w:tc>
        <w:tc>
          <w:tcPr>
            <w:tcW w:w="2658" w:type="dxa"/>
            <w:shd w:val="clear" w:color="auto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AD13-AD14</w:t>
            </w:r>
          </w:p>
        </w:tc>
        <w:tc>
          <w:tcPr>
            <w:tcW w:w="2658" w:type="dxa"/>
            <w:shd w:val="clear" w:color="auto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Total</w:t>
            </w:r>
          </w:p>
        </w:tc>
      </w:tr>
      <w:tr w:rsidR="00253BD3">
        <w:tc>
          <w:tcPr>
            <w:tcW w:w="3369" w:type="dxa"/>
            <w:shd w:val="clear" w:color="auto" w:fill="99CCFF"/>
          </w:tcPr>
          <w:p w:rsidR="00253BD3" w:rsidRDefault="00F62E46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... barra mid-DĠT u l-SCIC</w:t>
            </w:r>
          </w:p>
        </w:tc>
        <w:tc>
          <w:tcPr>
            <w:tcW w:w="265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81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110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361</w:t>
            </w:r>
          </w:p>
        </w:tc>
      </w:tr>
      <w:tr w:rsidR="00253BD3">
        <w:tc>
          <w:tcPr>
            <w:tcW w:w="3369" w:type="dxa"/>
            <w:shd w:val="clear" w:color="auto" w:fill="99CCFF"/>
          </w:tcPr>
          <w:p w:rsidR="00253BD3" w:rsidRDefault="00F62E46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... fid-DĠT jew fl-SCIC</w:t>
            </w:r>
          </w:p>
        </w:tc>
        <w:tc>
          <w:tcPr>
            <w:tcW w:w="265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147</w:t>
            </w:r>
          </w:p>
        </w:tc>
      </w:tr>
      <w:tr w:rsidR="00253BD3">
        <w:tc>
          <w:tcPr>
            <w:tcW w:w="3369" w:type="dxa"/>
            <w:shd w:val="clear" w:color="auto" w:fill="99CCFF"/>
          </w:tcPr>
          <w:p w:rsidR="00253BD3" w:rsidRDefault="00F62E46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Total</w:t>
            </w:r>
          </w:p>
        </w:tc>
        <w:tc>
          <w:tcPr>
            <w:tcW w:w="265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131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226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151</w:t>
            </w:r>
          </w:p>
        </w:tc>
        <w:tc>
          <w:tcPr>
            <w:tcW w:w="26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508</w:t>
            </w:r>
          </w:p>
        </w:tc>
      </w:tr>
    </w:tbl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Distribuzzjoni skont </w:t>
      </w:r>
      <w:r>
        <w:rPr>
          <w:rFonts w:ascii="Times New Roman" w:hAnsi="Times New Roman"/>
          <w:b/>
          <w:noProof/>
          <w:sz w:val="24"/>
        </w:rPr>
        <w:t>l-età</w:t>
      </w:r>
    </w:p>
    <w:p w:rsidR="00253BD3" w:rsidRDefault="00F62E46">
      <w:pPr>
        <w:rPr>
          <w:noProof/>
        </w:rPr>
      </w:pPr>
      <w:r>
        <w:rPr>
          <w:noProof/>
          <w:lang w:val="en-GB" w:bidi="ar-SA"/>
        </w:rPr>
        <w:drawing>
          <wp:inline distT="0" distB="0" distL="0" distR="0" wp14:anchorId="5A6B20C1" wp14:editId="5AD4643A">
            <wp:extent cx="3927945" cy="2743200"/>
            <wp:effectExtent l="0" t="0" r="1587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val="en-GB" w:bidi="ar-SA"/>
        </w:rPr>
        <w:drawing>
          <wp:inline distT="0" distB="0" distL="0" distR="0" wp14:anchorId="2115F64A" wp14:editId="629639F7">
            <wp:extent cx="3967701" cy="2743200"/>
            <wp:effectExtent l="0" t="0" r="1397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53BD3" w:rsidRDefault="00253BD3">
      <w:pPr>
        <w:rPr>
          <w:noProof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Anness 7d: Nazzjonalitajiet doppji fl-1 ta’ Jannar 2018 fost l-Uffiċjali u l-Persunal Temporanju fil-Kummissjoni </w:t>
      </w:r>
    </w:p>
    <w:tbl>
      <w:tblPr>
        <w:tblW w:w="14130" w:type="dxa"/>
        <w:tblInd w:w="-459" w:type="dxa"/>
        <w:tblLook w:val="04A0" w:firstRow="1" w:lastRow="0" w:firstColumn="1" w:lastColumn="0" w:noHBand="0" w:noVBand="1"/>
      </w:tblPr>
      <w:tblGrid>
        <w:gridCol w:w="411"/>
        <w:gridCol w:w="70"/>
        <w:gridCol w:w="530"/>
        <w:gridCol w:w="439"/>
        <w:gridCol w:w="483"/>
        <w:gridCol w:w="474"/>
        <w:gridCol w:w="441"/>
        <w:gridCol w:w="429"/>
        <w:gridCol w:w="452"/>
        <w:gridCol w:w="463"/>
        <w:gridCol w:w="431"/>
        <w:gridCol w:w="419"/>
        <w:gridCol w:w="411"/>
        <w:gridCol w:w="483"/>
        <w:gridCol w:w="483"/>
        <w:gridCol w:w="475"/>
        <w:gridCol w:w="453"/>
        <w:gridCol w:w="464"/>
        <w:gridCol w:w="411"/>
        <w:gridCol w:w="411"/>
        <w:gridCol w:w="419"/>
        <w:gridCol w:w="430"/>
        <w:gridCol w:w="430"/>
        <w:gridCol w:w="441"/>
        <w:gridCol w:w="442"/>
        <w:gridCol w:w="442"/>
        <w:gridCol w:w="430"/>
        <w:gridCol w:w="475"/>
        <w:gridCol w:w="442"/>
        <w:gridCol w:w="442"/>
        <w:gridCol w:w="486"/>
        <w:gridCol w:w="618"/>
      </w:tblGrid>
      <w:tr w:rsidR="00253BD3">
        <w:trPr>
          <w:trHeight w:val="60"/>
        </w:trPr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D3" w:rsidRDefault="00253BD3">
            <w:pPr>
              <w:spacing w:after="0" w:line="240" w:lineRule="auto"/>
              <w:ind w:left="-377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It-Tieni Nazzjonalità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253BD3">
        <w:trPr>
          <w:cantSplit/>
          <w:trHeight w:val="850"/>
        </w:trPr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AUT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BEL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BGR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CYP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CZE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DEU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DNK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ESP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EST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FIN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FRA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GBR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GRC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HRV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HUN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IRL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ITA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LTU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LUX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LVA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MLT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NLD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POL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PRT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ROU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SVK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SVN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SWE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Total</w:t>
            </w:r>
          </w:p>
        </w:tc>
      </w:tr>
      <w:tr w:rsidR="00253BD3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L-Ewwel Nazzjonalità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AUT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7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BEL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114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BGR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46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CYP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24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CZE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15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DEU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59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DNK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9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ESP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34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EST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FIN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FRA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128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GBR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111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GRC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48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HRV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14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HUN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34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IRL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68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ITA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67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5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LUX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6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LVA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MLT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NLD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10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POL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71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PRT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17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ROU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108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SVK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20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SVN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8</w:t>
            </w:r>
          </w:p>
        </w:tc>
      </w:tr>
      <w:tr w:rsidR="00253BD3">
        <w:trPr>
          <w:trHeight w:val="25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SWE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13</w:t>
            </w:r>
          </w:p>
        </w:tc>
      </w:tr>
      <w:tr w:rsidR="00253BD3">
        <w:trPr>
          <w:trHeight w:val="283"/>
        </w:trPr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Total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83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173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72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16"/>
              </w:rPr>
              <w:t>1041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 8a Statistiki tal-kompetizzjonijiet tal-EPSO AD5 (minbarra lingwisti) fil-perjodu 2010-nofs l</w:t>
      </w:r>
      <w:r>
        <w:rPr>
          <w:rFonts w:ascii="Times New Roman" w:hAnsi="Times New Roman"/>
          <w:b/>
          <w:noProof/>
          <w:sz w:val="24"/>
        </w:rPr>
        <w:t>-2017</w:t>
      </w:r>
    </w:p>
    <w:tbl>
      <w:tblPr>
        <w:tblW w:w="13882" w:type="dxa"/>
        <w:tblInd w:w="93" w:type="dxa"/>
        <w:tblLook w:val="04A0" w:firstRow="1" w:lastRow="0" w:firstColumn="1" w:lastColumn="0" w:noHBand="0" w:noVBand="1"/>
      </w:tblPr>
      <w:tblGrid>
        <w:gridCol w:w="1532"/>
        <w:gridCol w:w="1470"/>
        <w:gridCol w:w="1147"/>
        <w:gridCol w:w="1194"/>
        <w:gridCol w:w="1060"/>
        <w:gridCol w:w="1396"/>
        <w:gridCol w:w="1661"/>
        <w:gridCol w:w="1226"/>
        <w:gridCol w:w="1235"/>
        <w:gridCol w:w="1247"/>
        <w:gridCol w:w="1037"/>
      </w:tblGrid>
      <w:tr w:rsidR="00253BD3">
        <w:trPr>
          <w:trHeight w:val="72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Kompetizzjonijiet tal-EPSO AD5 2010- nofs l-2017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Applikazzjonijiet Kumulati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Lawreati Akkumulati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Popolazzjoni (Miljuni)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Rati ta’ gwida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Distribuzzjoni tal-lawreati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Eċċess jew Defiċit vs Rata ta’ gwida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Lawreati bħala % tar-Rata ta’ gwida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Żbilanċ </w:t>
            </w:r>
            <w:r>
              <w:rPr>
                <w:rFonts w:ascii="Arial" w:hAnsi="Arial"/>
                <w:b/>
                <w:noProof/>
                <w:sz w:val="16"/>
              </w:rPr>
              <w:t>sinifikanti fil-listi tal-EPSO*?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Parteċipanti 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noProof/>
                <w:sz w:val="16"/>
              </w:rPr>
              <w:t>/Mn ab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Rata ta’ suċċess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19795</w:t>
            </w:r>
          </w:p>
        </w:tc>
        <w:tc>
          <w:tcPr>
            <w:tcW w:w="1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171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11,2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3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11,1 %</w:t>
            </w:r>
          </w:p>
        </w:tc>
        <w:tc>
          <w:tcPr>
            <w:tcW w:w="1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8,0 %</w:t>
            </w:r>
          </w:p>
        </w:tc>
        <w:tc>
          <w:tcPr>
            <w:tcW w:w="12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357%</w:t>
            </w: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1766</w:t>
            </w:r>
          </w:p>
        </w:tc>
        <w:tc>
          <w:tcPr>
            <w:tcW w:w="10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0,9%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Il-Bulgarija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11275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2,4%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2,5 %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0,1 %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103%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1565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0,3 %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Ir-Repubblika Ċeka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3452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-2,1 %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328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Id-Danimarka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1966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1.8%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0,7%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-1,1 %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347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Il-Ġermanja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17583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205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81,2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13,3 %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97%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217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1,2 %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L-Estonja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1789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0,1 %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-0,7 %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1362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0,1%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L-Irlanda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2028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0,7 %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-0,9 %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438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Il-Greċja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18787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49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3,2%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0,1%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103%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1730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27569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177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46,4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8,9%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11,5%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2,6%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129%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594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19208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163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66,4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11,6%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-1,0 %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91%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289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0,8 %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Il-Kroazja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4239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1,7 %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0,1 %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109%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1003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L-Italja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49325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261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60,8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11,2%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5,8 %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152%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811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ipru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1077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-0,8 %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1272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0,0%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Il-Latvja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2172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48%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1094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Il-Litwanja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4339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1,5%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-0,9%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39%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1485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0,2%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Il-Lussemburgu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526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-0,8 %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934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0,0%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L-Ungerija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6435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3,0%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121%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653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0,9%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930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-0,3 %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51%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2166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4532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71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3,9%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0,7 %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119%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268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L-Awstrija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3779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2,6%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2,5 %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-0,1 %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96%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Il-Polonja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11452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38,0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8,2%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-6,2 %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Il-Portugall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10322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3,1 %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-1,0 %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68%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995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0,3%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Ir-Rumanija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25933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91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4,5%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1,4 %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131%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1305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0,4 %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Is-Slovenja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2475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-0,6 %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41%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1200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0,2%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Is-Slovakkja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4144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1,1 %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-0,7 %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63%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764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Il-Finlandja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3208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1,5 %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-0,3%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84 %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586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0,7%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3132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9,7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2,7%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-1,2 %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57%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</w:tr>
      <w:tr w:rsidR="00253BD3">
        <w:trPr>
          <w:trHeight w:val="24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EU27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261472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1537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443,5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100,0%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100,0%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0,0 %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0,6 %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Arial" w:eastAsia="Times New Roman" w:hAnsi="Arial" w:cs="Arial"/>
          <w:b/>
          <w:bCs/>
          <w:noProof/>
          <w:sz w:val="16"/>
          <w:szCs w:val="16"/>
        </w:rPr>
      </w:pPr>
      <w:r>
        <w:rPr>
          <w:rFonts w:ascii="Arial" w:hAnsi="Arial"/>
          <w:b/>
          <w:noProof/>
          <w:sz w:val="16"/>
        </w:rPr>
        <w:t xml:space="preserve">NB: Iċ-ċifri tal-Kroazja huma kkoreġuti biex iqisu l-kompetizzjonijiet tat-“tkabbir” organizzati matul il-perjodu 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6"/>
          <w:szCs w:val="16"/>
        </w:rPr>
        <w:br/>
      </w:r>
      <w:r>
        <w:rPr>
          <w:rFonts w:ascii="Arial" w:hAnsi="Arial"/>
          <w:b/>
          <w:noProof/>
          <w:sz w:val="16"/>
        </w:rPr>
        <w:t>*: Is-sehem fost il-lawreati huwa inqas minn 50 % tar-Rata ta’ gwida</w:t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noProof/>
        </w:rPr>
        <w:br w:type="page"/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8b: Statistiki tal-kompetizzjonijiet tal-EPSO AD (minbarra </w:t>
      </w:r>
      <w:r>
        <w:rPr>
          <w:rFonts w:ascii="Times New Roman" w:hAnsi="Times New Roman"/>
          <w:b/>
          <w:noProof/>
          <w:sz w:val="24"/>
        </w:rPr>
        <w:t>lingwisti) fil-perjodu 2010-2016</w:t>
      </w:r>
    </w:p>
    <w:tbl>
      <w:tblPr>
        <w:tblW w:w="13802" w:type="dxa"/>
        <w:tblInd w:w="-34" w:type="dxa"/>
        <w:tblLook w:val="04A0" w:firstRow="1" w:lastRow="0" w:firstColumn="1" w:lastColumn="0" w:noHBand="0" w:noVBand="1"/>
      </w:tblPr>
      <w:tblGrid>
        <w:gridCol w:w="1532"/>
        <w:gridCol w:w="1470"/>
        <w:gridCol w:w="1079"/>
        <w:gridCol w:w="1194"/>
        <w:gridCol w:w="1060"/>
        <w:gridCol w:w="1265"/>
        <w:gridCol w:w="1661"/>
        <w:gridCol w:w="1215"/>
        <w:gridCol w:w="1246"/>
        <w:gridCol w:w="1171"/>
        <w:gridCol w:w="1037"/>
      </w:tblGrid>
      <w:tr w:rsidR="00253BD3">
        <w:trPr>
          <w:trHeight w:val="439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Kompetizzjonijiet speċjalizzati tal-EPSO AD 2010-16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Applikazzjonijiet Kumulati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Lawreati Akkumulati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Popolazzjoni (Miljuni)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Rati ta’ gwida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Distribuzzjoni tal-lawreati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Eċċess jew Defiċit vs Rata ta’ gwida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Lawreati bħala % tar-</w:t>
            </w:r>
            <w:r>
              <w:rPr>
                <w:rFonts w:ascii="Arial" w:hAnsi="Arial"/>
                <w:b/>
                <w:noProof/>
                <w:sz w:val="16"/>
              </w:rPr>
              <w:t>Rata ta’ gwida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Żbilanċ sinifikanti fil-listi tal-EPSO*?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Parteċipanti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Rata ta’ suċċess</w:t>
            </w:r>
          </w:p>
        </w:tc>
      </w:tr>
      <w:tr w:rsidR="00253BD3">
        <w:trPr>
          <w:trHeight w:val="240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/Mn ab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4862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122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11,2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10,0 %</w:t>
            </w:r>
          </w:p>
        </w:tc>
        <w:tc>
          <w:tcPr>
            <w:tcW w:w="16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6,9 %</w:t>
            </w:r>
          </w:p>
        </w:tc>
        <w:tc>
          <w:tcPr>
            <w:tcW w:w="12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322%</w:t>
            </w:r>
          </w:p>
        </w:tc>
        <w:tc>
          <w:tcPr>
            <w:tcW w:w="12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434</w:t>
            </w:r>
          </w:p>
        </w:tc>
        <w:tc>
          <w:tcPr>
            <w:tcW w:w="103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2,5 %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Il-Bulgarija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2172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2,4%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1,7 %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-0,7 %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72%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Ir-Repubblika Ċeka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451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0,7 %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-2,4 %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Id-Danimarka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46%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39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4,6%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Il-Ġermanja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2886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81,2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-3,0 %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79%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4,6%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L-Estonja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1.3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-0,3 %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61%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238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1,9 %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L-Irlanda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571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-0,7 %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1,9 %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Il-Greċja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3955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6,4 %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3,3 %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208%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2,0%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7493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46,4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8,9%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145%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5324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66,4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11,6%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8,7 %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-2,9 %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75%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80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2,0 %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Il-Kroazja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875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100%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207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2,2%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L-Italja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10420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60.8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11,2%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181%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2,4 %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ipru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1,3%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Il-Latvja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0,5 %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52%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Il-Litwanja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767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1,5%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1,1 %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-0,4 %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72%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1,7 %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Il-Lussemburgu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33%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208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2,6%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L-Ungerija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1019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3,0%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-0,4 %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87%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103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0,6%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1,4%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954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3,9%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-1,0 %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3,7%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L-Awstrija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636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2,6%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-0,3 %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87%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4,2 %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Il-Polonja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2093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38,0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8,2%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3,6 %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-4,5 %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Il-Portugall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2515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3,1%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2,8 %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-0,3 %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92%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1,4 %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Ir-Rumanija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424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19,9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4,5%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-0,6 %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86%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11,1 %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Is-Slovenja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526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0,9 %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-0,1 %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94%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255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2,1 %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Is-Slovakkja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1,3 %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137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2,2 %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Il-Finlandja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501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5,5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1,8%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1,0 %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-0,8 %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92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2,4 %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476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9,7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2,7%</w:t>
            </w:r>
          </w:p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1,2 %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-1,5 %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45%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16"/>
              </w:rPr>
              <w:t>IVA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49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3,2%</w:t>
            </w:r>
          </w:p>
        </w:tc>
      </w:tr>
      <w:tr w:rsidR="00253BD3">
        <w:trPr>
          <w:trHeight w:val="240"/>
        </w:trPr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51025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443,5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100,0%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100,0%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0,0 %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2,4 %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Arial" w:hAnsi="Arial"/>
          <w:b/>
          <w:noProof/>
          <w:sz w:val="16"/>
        </w:rPr>
        <w:t xml:space="preserve">NB: Iċ-ċifri tal-Kroazja huma kkoreġuti biex iqisu </w:t>
      </w:r>
      <w:r>
        <w:rPr>
          <w:rFonts w:ascii="Arial" w:hAnsi="Arial"/>
          <w:b/>
          <w:noProof/>
          <w:sz w:val="16"/>
        </w:rPr>
        <w:t>l-kompetizzjonijiet tat-“tkabbir” organizzati matul il-perjodu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6"/>
          <w:szCs w:val="16"/>
        </w:rPr>
        <w:br/>
      </w:r>
      <w:r>
        <w:rPr>
          <w:rFonts w:ascii="Arial" w:hAnsi="Arial"/>
          <w:b/>
          <w:noProof/>
          <w:sz w:val="16"/>
        </w:rPr>
        <w:t>*: Is-sehem fost il-lawreati huwa inqas minn 50 % tar-Rata ta’ gwida</w:t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4" w:right="1021" w:bottom="1134" w:left="1021" w:header="0" w:footer="567" w:gutter="0"/>
          <w:cols w:space="720"/>
          <w:docGrid w:linePitch="326"/>
        </w:sectPr>
      </w:pPr>
      <w:r>
        <w:rPr>
          <w:noProof/>
        </w:rPr>
        <w:br w:type="page"/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Anness 8c Applikazzjonijiet </w:t>
      </w:r>
      <w:r>
        <w:rPr>
          <w:rFonts w:ascii="Times New Roman" w:hAnsi="Times New Roman"/>
          <w:b/>
          <w:noProof/>
          <w:sz w:val="24"/>
        </w:rPr>
        <w:t>validati fl-aħħar kompetizzjoni AD (għaddejja)</w:t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418"/>
        <w:gridCol w:w="1417"/>
        <w:gridCol w:w="1701"/>
      </w:tblGrid>
      <w:tr w:rsidR="00253BD3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EPSO AD/338/17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Programmi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Popolazzjoni (Miljuni)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Parteċipanti </w:t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noProof/>
                <w:sz w:val="18"/>
              </w:rPr>
              <w:t>/Mn ab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Bħala % tal-medja tal-UE</w:t>
            </w:r>
          </w:p>
        </w:tc>
      </w:tr>
      <w:tr w:rsidR="00253BD3">
        <w:trPr>
          <w:trHeight w:val="31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BD3" w:rsidRDefault="00253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Il-Belġju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2073</w:t>
            </w:r>
          </w:p>
        </w:tc>
        <w:tc>
          <w:tcPr>
            <w:tcW w:w="141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274 %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Il-Bulgarija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913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7,2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127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188 %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Ir-Repubblika Ċeka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264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37 %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Id-Danimarka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197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52 %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Il-Ġermanja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1867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81,2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34 %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L-Estonja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152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1,3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171 %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L-Irlanda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245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78 %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Il-Greċja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3306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304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451 %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Spanja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3731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46,4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119 %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Franza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2184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66,4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49 %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Il-Kroazja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525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124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184 %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L-Italja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6341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60,8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155 %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Ċ</w:t>
            </w:r>
            <w:r>
              <w:rPr>
                <w:rFonts w:ascii="Arial" w:hAnsi="Arial"/>
                <w:b/>
                <w:noProof/>
                <w:sz w:val="18"/>
              </w:rPr>
              <w:t>ipru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163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0,8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192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285 %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Il-Latvja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156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79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116 %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Il-Litwanja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370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127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188 %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Il-Lussemburgu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71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0,6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126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187 %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L-Ungerija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533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80 %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Malta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0,4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240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355 %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In-Netherlands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1072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16,9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63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94 %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L-Awstrija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507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88 %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Il-Polonja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1025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40 %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Il-Portugall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1028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147 %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Ir-Rumanija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1875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19 9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140 %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Is-Slovenja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248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120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178 %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Is-Slovakkja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297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81 %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Il-Finlandja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399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5,5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73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108 %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L-Iżvezja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288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9,7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30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44 %</w:t>
            </w:r>
          </w:p>
        </w:tc>
      </w:tr>
      <w:tr w:rsidR="00253BD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EU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29933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443,5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100 %</w:t>
            </w:r>
          </w:p>
        </w:tc>
      </w:tr>
    </w:tbl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18"/>
        </w:rPr>
        <w:t xml:space="preserve">*: Mhux komparabbli mat-tabella </w:t>
      </w:r>
      <w:r>
        <w:rPr>
          <w:rFonts w:ascii="Arial" w:hAnsi="Arial"/>
          <w:b/>
          <w:noProof/>
          <w:sz w:val="18"/>
        </w:rPr>
        <w:t>2010-17 li tkopri bosta kompetizzjonijiet</w:t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  <w:sectPr w:rsidR="00253BD3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1021" w:right="1134" w:bottom="1021" w:left="1588" w:header="601" w:footer="1077" w:gutter="0"/>
          <w:cols w:space="720"/>
          <w:docGrid w:linePitch="326"/>
        </w:sectPr>
      </w:pPr>
      <w:r>
        <w:rPr>
          <w:noProof/>
        </w:rPr>
        <w:br w:type="page"/>
      </w:r>
    </w:p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Anness 9: 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Sommarju tal-Kontribuzzjonijiet magħmula minn istituzzjonijiet oħra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NB: Id-Dikjarazzjonijiet u l-kliem kollu</w:t>
      </w:r>
      <w:r>
        <w:rPr>
          <w:rFonts w:ascii="Times New Roman" w:hAnsi="Times New Roman"/>
          <w:noProof/>
          <w:sz w:val="24"/>
        </w:rPr>
        <w:t xml:space="preserve"> jirriflettu d-dikjarazzjonijiet tal-istituzzjoni rilevanti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14032" w:type="dxa"/>
        <w:tblLayout w:type="fixed"/>
        <w:tblLook w:val="04A0" w:firstRow="1" w:lastRow="0" w:firstColumn="1" w:lastColumn="0" w:noHBand="0" w:noVBand="1"/>
      </w:tblPr>
      <w:tblGrid>
        <w:gridCol w:w="817"/>
        <w:gridCol w:w="3284"/>
        <w:gridCol w:w="2409"/>
        <w:gridCol w:w="2127"/>
        <w:gridCol w:w="3969"/>
        <w:gridCol w:w="708"/>
        <w:gridCol w:w="718"/>
      </w:tblGrid>
      <w:tr w:rsidR="00253BD3">
        <w:trPr>
          <w:cantSplit/>
          <w:trHeight w:val="2155"/>
          <w:tblHeader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Istituzzjoni</w:t>
            </w:r>
          </w:p>
        </w:tc>
        <w:tc>
          <w:tcPr>
            <w:tcW w:w="3284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Metodoloġija u kriterji għall-valutazzjoni tal-bilanċ ġeografiku</w:t>
            </w:r>
          </w:p>
        </w:tc>
        <w:tc>
          <w:tcPr>
            <w:tcW w:w="240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Indikatur(i) ta’ żbilanċ (sinifikanti)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Żbilanċ (sinifikanti) osservat minn Stat Membru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Ġustifikazzjoni oġġettiva tal-</w:t>
            </w:r>
            <w:r>
              <w:rPr>
                <w:b/>
                <w:noProof/>
              </w:rPr>
              <w:t>iżbilanċ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Żbilanċ futur mistenni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Miżura xierqa taħt l-Art.27 meħuda/maħsuba</w:t>
            </w:r>
          </w:p>
        </w:tc>
      </w:tr>
      <w:tr w:rsidR="00253BD3">
        <w:trPr>
          <w:cantSplit/>
          <w:trHeight w:val="1719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Il-Parlament Ewropew</w:t>
            </w:r>
          </w:p>
        </w:tc>
        <w:tc>
          <w:tcPr>
            <w:tcW w:w="5693" w:type="dxa"/>
            <w:gridSpan w:val="2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Il-Parlament Ewropew għadu ma kellux dibattitu jew diskussjoni dwar il-kwistjoni. Il-kolonni fuq il-lemin huma għalhekk mibnija taħt is-suppożizzjonijiet li:</w:t>
            </w:r>
          </w:p>
          <w:p w:rsidR="00253BD3" w:rsidRDefault="00F62E4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jista’ jiġi vvalutat fuq livell aggregat (il-gruppi ta’ funzjoni kollha flimkien).</w:t>
            </w:r>
          </w:p>
          <w:p w:rsidR="00253BD3" w:rsidRDefault="00F62E4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Is-sehem ta’ kull koorti nazzjonali fis-Segretarjat tal-PE jista’ jitqabbel mas-sehem tal-Istati Membri rispettivi tal-popolazzjoni totali tal-UE.</w:t>
            </w:r>
          </w:p>
          <w:p w:rsidR="00253BD3" w:rsidRDefault="00253BD3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</w:t>
            </w:r>
            <w:r>
              <w:rPr>
                <w:noProof/>
                <w:sz w:val="18"/>
              </w:rPr>
              <w:t xml:space="preserve"> rappreżentati biżżejjed: UK u sa ċertu punt DE 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Rappreżentati żżejjed: BE, EE, FI, HR, LT, LU, LV, MT, SL u SK</w:t>
            </w:r>
          </w:p>
          <w:p w:rsidR="00253BD3" w:rsidRDefault="00253BD3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iġġustifikati bi</w:t>
            </w:r>
          </w:p>
          <w:p w:rsidR="00253BD3" w:rsidRDefault="00F62E46">
            <w:pPr>
              <w:pStyle w:val="ListParagraph"/>
              <w:numPr>
                <w:ilvl w:val="0"/>
                <w:numId w:val="31"/>
              </w:numPr>
              <w:tabs>
                <w:tab w:val="num" w:pos="283"/>
              </w:tabs>
              <w:spacing w:after="0" w:line="240" w:lineRule="auto"/>
              <w:ind w:left="294" w:hanging="284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UK, DE: attraenza limitata tal-istituzzjonijiet tal-UE u / jew karriera fl-UE; l-għadd </w:t>
            </w:r>
            <w:r>
              <w:rPr>
                <w:noProof/>
                <w:sz w:val="18"/>
              </w:rPr>
              <w:t>ta’ lawreati fuq il-listi ta’ riżerva tal-EPSO</w:t>
            </w:r>
          </w:p>
          <w:p w:rsidR="00253BD3" w:rsidRDefault="00F62E46">
            <w:pPr>
              <w:pStyle w:val="ListParagraph"/>
              <w:numPr>
                <w:ilvl w:val="0"/>
                <w:numId w:val="31"/>
              </w:numPr>
              <w:tabs>
                <w:tab w:val="num" w:pos="283"/>
              </w:tabs>
              <w:spacing w:after="0" w:line="240" w:lineRule="auto"/>
              <w:ind w:left="294" w:hanging="284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BE, LU: effett tal-postijiet tax-xogħol u effett ta’ vvjaġġar transfruntier</w:t>
            </w:r>
          </w:p>
          <w:p w:rsidR="00253BD3" w:rsidRDefault="00F62E46">
            <w:pPr>
              <w:pStyle w:val="ListParagraph"/>
              <w:numPr>
                <w:ilvl w:val="0"/>
                <w:numId w:val="31"/>
              </w:numPr>
              <w:tabs>
                <w:tab w:val="num" w:pos="283"/>
              </w:tabs>
              <w:spacing w:after="0" w:line="240" w:lineRule="auto"/>
              <w:ind w:left="294" w:hanging="284"/>
              <w:jc w:val="both"/>
              <w:rPr>
                <w:noProof/>
                <w:sz w:val="24"/>
              </w:rPr>
            </w:pPr>
            <w:r>
              <w:rPr>
                <w:noProof/>
                <w:sz w:val="18"/>
              </w:rPr>
              <w:t>EE, FI, HR, LT, LV, MT, SL u SK: servizzi lingwistiċi (traduzzjoni, interpretazzjoni, ġuristi lingwisti) ipprovduti fil-lingwi uffiċj</w:t>
            </w:r>
            <w:r>
              <w:rPr>
                <w:noProof/>
                <w:sz w:val="18"/>
              </w:rPr>
              <w:t>ali kollha; il-massa kritika minima tal-persunal lingwistiku meħtieġ għandha impatt ikbar għall-Istati Membri iżgħar.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719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Is-SĠ tal-Kunsill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jista’ jiġi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</w:t>
            </w:r>
            <w:r>
              <w:rPr>
                <w:noProof/>
                <w:sz w:val="18"/>
              </w:rPr>
              <w:t>a’ referenza: il-medja bejn is-sehem tal-Istat Membru rilevanti fi</w:t>
            </w:r>
          </w:p>
          <w:p w:rsidR="00253BD3" w:rsidRDefault="00F62E46">
            <w:pPr>
              <w:pStyle w:val="ListParagraph"/>
              <w:numPr>
                <w:ilvl w:val="0"/>
                <w:numId w:val="33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Popolazzjoni tal-UE</w:t>
            </w:r>
          </w:p>
          <w:p w:rsidR="00253BD3" w:rsidRDefault="00F62E46">
            <w:pPr>
              <w:pStyle w:val="ListParagraph"/>
              <w:numPr>
                <w:ilvl w:val="0"/>
                <w:numId w:val="33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MPE</w:t>
            </w:r>
          </w:p>
          <w:p w:rsidR="00253BD3" w:rsidRDefault="00F62E46">
            <w:pPr>
              <w:pStyle w:val="ListParagraph"/>
              <w:numPr>
                <w:ilvl w:val="0"/>
                <w:numId w:val="33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Voti tal-Kunsill qabel ir-Regoli ta’ Lisbona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meta s-sehem attwali taċ-ċittadini jitbiegħed mill-punt ta’ referenza b’aktar minn +/-20 %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huwa osservat meta sehem ta’ ċittadinanza partikolari huwa inqas minn 40 % jew aktar minn 400 % ta’ dak il-punt ta’ referenza.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Mhux rappreżentati biżżejjed b’mod sinifikanti: CY, DE u UK 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Rappreżentati żżejjed b’mod sinifikanti: BE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</w:t>
            </w:r>
            <w:r>
              <w:rPr>
                <w:noProof/>
                <w:sz w:val="18"/>
              </w:rPr>
              <w:t xml:space="preserve">bilanċi kollha huma oġġettivament iġġustifikati bi... 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CY, DE, UK: għadd żgħir ta’ lawreati fuq il-listi ta’ riżerva tal-EPSO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BE: effett tas-sede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huwa influwenzat ukoll mil-livell relattivament għoli tas-servizzi lingwistiċi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Diffiċli ħafna li wi</w:t>
            </w:r>
            <w:r>
              <w:rPr>
                <w:noProof/>
                <w:sz w:val="18"/>
              </w:rPr>
              <w:t>eħed ibassar minħabba livell għoli ta’ inċertezza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401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Il-Qorti tal-Ġustizzja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jista’ jiġi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is-sehem tal-popolazzjoni tal-Istat Membru rilevanti</w:t>
            </w:r>
            <w:r>
              <w:rPr>
                <w:noProof/>
                <w:sz w:val="18"/>
              </w:rPr>
              <w:t xml:space="preserve"> fil-popolazzjoni tal-UE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L-iżbilanċ huwa osservat fil-każ ta’ rappreżentanza jew rappreżentanza żejda sfaċċata.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L-iżbilanċ sinifikanti mhuwiex definit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biżżejjed: UK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Rappreżentati żżejjed: FR, BE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</w:t>
            </w:r>
            <w:r>
              <w:rPr>
                <w:noProof/>
                <w:sz w:val="18"/>
              </w:rPr>
              <w:t>ġustifikati bi...</w:t>
            </w:r>
          </w:p>
          <w:p w:rsidR="00253BD3" w:rsidRDefault="00F62E4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4" w:hanging="284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FR, BE: il-Qorti taħdem bil-Franċiż (mitigat bi programm estensiv ta’ korsijiet tal-lingwa).</w:t>
            </w:r>
          </w:p>
          <w:p w:rsidR="00253BD3" w:rsidRDefault="00F62E4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4" w:hanging="284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UK: Diffikultà biex jiġu reklutati ċittadini tar-Renju Unit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 (anke fid-dawl ta’ Brexit)</w:t>
            </w:r>
          </w:p>
        </w:tc>
      </w:tr>
      <w:tr w:rsidR="00253BD3">
        <w:trPr>
          <w:cantSplit/>
          <w:trHeight w:val="1719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Il-Qorti tal-Awdituri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Il-bilanċ ġeografiku </w:t>
            </w:r>
            <w:r>
              <w:rPr>
                <w:noProof/>
                <w:sz w:val="18"/>
              </w:rPr>
              <w:t>jista’ jiġi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is-sehem tal-popolazzjoni tal-Istat Membru rilevanti fil-popolazzjoni tal-UE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meta s-sehem attwali taċ-ċittadini jitbiegħed mill-</w:t>
            </w:r>
            <w:r>
              <w:rPr>
                <w:noProof/>
                <w:sz w:val="18"/>
              </w:rPr>
              <w:t>punt ta’ referenza b’aktar minn +/-20 %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huwa osservat meta tali devjazzjoni taqbeż +/-50 %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biżżejjed: UK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Rappreżentati żżejjed: BE, PT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iġġustifikati bi...</w:t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il-partikolaritajiet </w:t>
            </w:r>
            <w:r>
              <w:rPr>
                <w:noProof/>
                <w:sz w:val="18"/>
              </w:rPr>
              <w:t>tal-Lussemburgu f’termini ta’ daqs, attraenza, għadd kbir ta’ ħaddiema transfruntiera u għadd kbir ta’ residenti tal-PT.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 ħlief possibilment fil-grupp ta’ funzjoni AST-SC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719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Is-Servizz Ewropew għall-Azzjoni Esterna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evalwat f</w:t>
            </w:r>
            <w:r>
              <w:rPr>
                <w:noProof/>
                <w:sz w:val="18"/>
              </w:rPr>
              <w:t>il-livell tal-gruppi tal-funzjonijiet, b’enfasi fuq ADs).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is-sehem tal-popolazzjoni tal-Istat Membru rilevanti fil-popolazzjoni tal-UE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huwa osservat meta ċ-ċittadini ta’ Stat Membru mhumiex preżenti fil-livelli kollh</w:t>
            </w:r>
            <w:r>
              <w:rPr>
                <w:noProof/>
                <w:sz w:val="18"/>
              </w:rPr>
              <w:t>a (jew mhumiex rappreżentati biżżejjed b’mod sinifikanti).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Ebda żbilanċ osservat 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639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Il-Kumitat Ekonomiku u Soċjali Ewropew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Minħabba n-nuqqas ta’ definizzjoni formali, il-KESE ma jevalwax il-bilanċ ġeografiku permezz ta’ metodoloġija speċifika </w:t>
            </w:r>
          </w:p>
          <w:p w:rsidR="00253BD3" w:rsidRDefault="00253BD3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In-nuqqas ta’ ċittadini minn Stat Membru wieħed jew aktar jista’ jkun sinjal ta’ żbilanċ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biżżejjed: CY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i/>
                <w:noProof/>
                <w:sz w:val="16"/>
              </w:rPr>
              <w:t>NB: madankol</w:t>
            </w:r>
            <w:r>
              <w:rPr>
                <w:i/>
                <w:noProof/>
                <w:sz w:val="16"/>
              </w:rPr>
              <w:t>lu, il-KESE rnexxielu jirrekluta ċittadin wara d-data ta’ skadenza</w:t>
            </w:r>
            <w:r>
              <w:rPr>
                <w:i/>
                <w:noProof/>
                <w:sz w:val="16"/>
                <w:szCs w:val="16"/>
              </w:rPr>
              <w:br/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Għadd kbir ta’ BE, IT, EE, LV, SL eċċ.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iġġustifikati bi...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l-għadd żgħir ta’ ċittadini tas-CY fuq il-listi tal-EPSO;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l-għadd żgħir ta’ postijiet batta</w:t>
            </w:r>
            <w:r>
              <w:rPr>
                <w:noProof/>
                <w:sz w:val="18"/>
              </w:rPr>
              <w:t>la minħabba tnaqqis fl-għadd tal-impjegati;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l-effett tas-sede u  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raġunijiet storiċi oħra (IT)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Il-piż relattiv tas-servizzi lingwistiċi jinfluwenza wkoll il-bilanċ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 ħlief possibilment fil-grupp ta’ funzjoni AST-SC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2251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Il-Kumitat tar-Reġjuni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</w:t>
            </w:r>
            <w:r>
              <w:rPr>
                <w:noProof/>
                <w:sz w:val="18"/>
              </w:rPr>
              <w:t xml:space="preserve"> ġeografiku jista’ jiġi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il-medja bejn is-sehem tal-Istat Membru rilevanti fi</w:t>
            </w:r>
          </w:p>
          <w:p w:rsidR="00253BD3" w:rsidRDefault="00F62E46">
            <w:pPr>
              <w:pStyle w:val="ListParagraph"/>
              <w:numPr>
                <w:ilvl w:val="0"/>
                <w:numId w:val="34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Popolazzjoni tal-UE</w:t>
            </w:r>
          </w:p>
          <w:p w:rsidR="00253BD3" w:rsidRDefault="00F62E46">
            <w:pPr>
              <w:pStyle w:val="ListParagraph"/>
              <w:numPr>
                <w:ilvl w:val="0"/>
                <w:numId w:val="34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MPE</w:t>
            </w:r>
          </w:p>
          <w:p w:rsidR="00253BD3" w:rsidRDefault="00F62E46">
            <w:pPr>
              <w:pStyle w:val="ListParagraph"/>
              <w:numPr>
                <w:ilvl w:val="0"/>
                <w:numId w:val="34"/>
              </w:numPr>
              <w:tabs>
                <w:tab w:val="num" w:pos="283"/>
              </w:tabs>
              <w:spacing w:after="0" w:line="240" w:lineRule="auto"/>
              <w:ind w:left="317" w:hanging="31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Voti tal-Kunsill qabel ir-Regoli ta’ Lisbona</w:t>
            </w:r>
          </w:p>
          <w:p w:rsidR="00253BD3" w:rsidRDefault="00253BD3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L-iżbilanċ jiġi </w:t>
            </w:r>
            <w:r>
              <w:rPr>
                <w:noProof/>
                <w:sz w:val="18"/>
              </w:rPr>
              <w:t>osservat meta s-sehem attwali ta’ ċittadini devjanti huwa inqas minn 50 % jew ogħla minn 200 % tal-punt ta’ referenza.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Żbilanċ sinifikanti huwa osservat meta s-sehem jiddevja b’mod sinifikanti minn din il-kategorija 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 b’mod sini</w:t>
            </w:r>
            <w:r>
              <w:rPr>
                <w:noProof/>
                <w:sz w:val="18"/>
              </w:rPr>
              <w:t xml:space="preserve">fikanti: LU u UK </w:t>
            </w:r>
            <w:r>
              <w:rPr>
                <w:noProof/>
                <w:sz w:val="18"/>
                <w:szCs w:val="18"/>
              </w:rPr>
              <w:br/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Rappreżentati żżejjed b’mod sinifikanti: BE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iġġustifikati bi...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Id-daqs tal-istituzzjoni 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tal-Kwartieri Ġenerali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Attraenza limitata tal-istituzzjonijiet tal-UE għal ċittadini ta’ xi Stati memb</w:t>
            </w:r>
            <w:r>
              <w:rPr>
                <w:noProof/>
                <w:sz w:val="18"/>
              </w:rPr>
              <w:t>ri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Daqs żgħir ta’ ċerti Stati membri</w:t>
            </w:r>
          </w:p>
          <w:p w:rsidR="00253BD3" w:rsidRDefault="00253BD3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Minħabba d-daqs żgħir tal-KtR, hija meħtieġa prekawzjoni fl-interpretazzjoni taċ-ċifri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Madankollu, BREXIT jew deterjorament tal-kondizzjonijiet jista’ jkollhom influwenza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861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L-Ombudsman Ewropew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Minħabba d-daqs tal-istituzzjoni, qatt ma ddefinixxa l-(iż)bilanċ ġeografiku. </w:t>
            </w:r>
          </w:p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Il-preżenza ta’ ċittadini mill-Istati Membri kollha mkejla bid-daqs tal-popolazzjoni tista’ tkun indikatur 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L-iżbilanċ jiġi osservat f’każ ta’ rappreżentanza nieqsa jew żejda </w:t>
            </w:r>
            <w:r>
              <w:rPr>
                <w:noProof/>
                <w:sz w:val="18"/>
              </w:rPr>
              <w:t>mingħajr ġustifikazzjoni oġġettiva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Rappreżentanza żejda sinifikanti: FR, fil-grupp tal-funzjoni AST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L-iżbilanċi kollha huma oġġettivament iġġustifikati bi...</w:t>
            </w:r>
          </w:p>
          <w:p w:rsidR="00253BD3" w:rsidRDefault="00F62E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L-effett tas-sede fi Franza,</w:t>
            </w:r>
          </w:p>
          <w:p w:rsidR="00253BD3" w:rsidRDefault="00F62E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id-diffikultajiet biex jirreklutaw fi Strasburgu</w:t>
            </w:r>
          </w:p>
          <w:p w:rsidR="00253BD3" w:rsidRDefault="00F62E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raġunijiet storiċi </w:t>
            </w:r>
            <w:r>
              <w:rPr>
                <w:noProof/>
                <w:sz w:val="18"/>
              </w:rPr>
              <w:t>(għadd kbir ta’ postijiet temporanji)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2110"/>
        </w:trPr>
        <w:tc>
          <w:tcPr>
            <w:tcW w:w="817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Il-Kontrollur Ewropew għall-Protezzjoni tad-Dejta</w:t>
            </w:r>
          </w:p>
        </w:tc>
        <w:tc>
          <w:tcPr>
            <w:tcW w:w="3284" w:type="dxa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Il-KEPD hija istituzzjoni żgħira li tittratta suġġett speċifiku ħafna. Ir-reklutaġġi għalhekk isiru fuq il-bażi ta’profili speċifiċi u listi ta’ riżerva tal-E</w:t>
            </w:r>
            <w:r>
              <w:rPr>
                <w:noProof/>
                <w:sz w:val="18"/>
              </w:rPr>
              <w:t xml:space="preserve">PSO fil-protezzjoni tad-dejta kif ukoll fuq il-ġabra żgħira ta’ applikanti. Il-kwistjoni tar-rappreżentanza bbilanċjata sa issa ma ġietx ikkunsidrata minħabba l-ispeċifiċità tal-profili u d-diffikultajiet fir-reklutaġġ. </w:t>
            </w:r>
          </w:p>
        </w:tc>
        <w:tc>
          <w:tcPr>
            <w:tcW w:w="2409" w:type="dxa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2127" w:type="dxa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</w:t>
            </w:r>
            <w:r>
              <w:rPr>
                <w:noProof/>
                <w:sz w:val="18"/>
              </w:rPr>
              <w:t>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</w:tbl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sectPr w:rsidR="00253BD3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1588" w:right="1021" w:bottom="1134" w:left="1021" w:header="601" w:footer="1077" w:gutter="0"/>
          <w:cols w:space="720"/>
          <w:docGrid w:linePitch="326"/>
        </w:sectPr>
      </w:pPr>
      <w:r>
        <w:rPr>
          <w:noProof/>
        </w:rPr>
        <w:br w:type="page"/>
      </w:r>
    </w:p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</w:pP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 10: Distribuzzjoni tal-persunal AD skont in-nazzjonalità fl-Istituzzjonijiet tal-UE (Għadd tal-persunal)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Arial" w:hAnsi="Arial"/>
          <w:b/>
          <w:noProof/>
          <w:sz w:val="18"/>
        </w:rPr>
        <w:t>Uffiċjali AD u AT, sitwazzjoni fl-1 ta’</w:t>
      </w:r>
      <w:r>
        <w:rPr>
          <w:rFonts w:ascii="Arial" w:hAnsi="Arial"/>
          <w:b/>
          <w:noProof/>
          <w:sz w:val="18"/>
        </w:rPr>
        <w:t xml:space="preserve"> Jannar 2017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8"/>
          <w:szCs w:val="18"/>
        </w:rPr>
        <w:br/>
      </w:r>
      <w:r>
        <w:rPr>
          <w:rFonts w:ascii="Arial" w:hAnsi="Arial"/>
          <w:b/>
          <w:noProof/>
          <w:sz w:val="18"/>
        </w:rPr>
        <w:t>Sors: Kontribuzzjoni mill-Istituzzjonijiet</w:t>
      </w:r>
    </w:p>
    <w:tbl>
      <w:tblPr>
        <w:tblW w:w="10179" w:type="dxa"/>
        <w:tblInd w:w="93" w:type="dxa"/>
        <w:tblLook w:val="04A0" w:firstRow="1" w:lastRow="0" w:firstColumn="1" w:lastColumn="0" w:noHBand="0" w:noVBand="1"/>
      </w:tblPr>
      <w:tblGrid>
        <w:gridCol w:w="1623"/>
        <w:gridCol w:w="805"/>
        <w:gridCol w:w="1147"/>
        <w:gridCol w:w="805"/>
        <w:gridCol w:w="803"/>
        <w:gridCol w:w="803"/>
        <w:gridCol w:w="803"/>
        <w:gridCol w:w="951"/>
        <w:gridCol w:w="711"/>
        <w:gridCol w:w="804"/>
        <w:gridCol w:w="924"/>
      </w:tblGrid>
      <w:tr w:rsidR="00253BD3">
        <w:trPr>
          <w:trHeight w:val="4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</w:rPr>
            </w:pPr>
            <w:r>
              <w:rPr>
                <w:rFonts w:ascii="Arial" w:hAnsi="Arial"/>
                <w:b/>
                <w:noProof/>
                <w:sz w:val="14"/>
                <w:szCs w:val="14"/>
              </w:rPr>
              <w:t>Uffiċjali tal-AD u Persunal Temporanju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SĠ tal-Kunsill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QtĠ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  <w:t>QtA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SEAE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KESE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KtR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EO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KEPD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182</w:t>
            </w:r>
          </w:p>
        </w:tc>
        <w:tc>
          <w:tcPr>
            <w:tcW w:w="1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116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108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42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72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572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Il-Bulgarija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41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200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Ir-Repubblika Ċeka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21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210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Id-Danimarka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60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44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35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8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199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Il-Ġermanja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91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46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571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L-Estonja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41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171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L-Irlanda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118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Il-Greċja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100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293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86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490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217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185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52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692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Il-Kroazja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157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L-Italja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201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77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78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105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559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ipru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16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Il-Latvja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35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155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Il-Litwanja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176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Il-Lussemburgu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36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L-Ungerija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89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229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45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8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63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181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L-Awstrija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110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Il-Polonja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111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61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332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Il-Portugall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84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62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38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265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Ir-Rumanija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97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57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33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279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Is-Slovenja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167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Is-Slovakkja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64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37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11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168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Il-Finlandja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91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58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18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239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70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11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34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209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Ir-Renju Unit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118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27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72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343</w:t>
            </w:r>
          </w:p>
        </w:tc>
      </w:tr>
      <w:tr w:rsidR="00253BD3">
        <w:trPr>
          <w:trHeight w:val="2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</w:t>
            </w:r>
            <w:r>
              <w:rPr>
                <w:rFonts w:ascii="Arial" w:hAnsi="Arial"/>
                <w:b/>
                <w:noProof/>
                <w:sz w:val="16"/>
              </w:rPr>
              <w:t xml:space="preserve"> 499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1 351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1 205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  <w:t>596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7 266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>Anness 11: Distribuzzjoni tal-persunal AD skont in-nazzjonalità fl-Istituzzjonijiet tal-UE (persentaġġ tal-persunal AD)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</w:pPr>
      <w:r>
        <w:rPr>
          <w:rFonts w:ascii="Arial" w:hAnsi="Arial"/>
          <w:b/>
          <w:noProof/>
          <w:sz w:val="18"/>
        </w:rPr>
        <w:t xml:space="preserve">Uffiċjali AD u AT, sitwazzjoni fl-1 ta’ Jannar 2017 - Distribuzzjoni 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8"/>
          <w:szCs w:val="18"/>
        </w:rPr>
        <w:br/>
      </w:r>
      <w:r>
        <w:rPr>
          <w:rFonts w:ascii="Arial" w:hAnsi="Arial"/>
          <w:b/>
          <w:noProof/>
          <w:sz w:val="18"/>
        </w:rPr>
        <w:t xml:space="preserve">Sors: </w:t>
      </w:r>
      <w:r>
        <w:rPr>
          <w:rFonts w:ascii="Arial" w:hAnsi="Arial"/>
          <w:b/>
          <w:noProof/>
          <w:sz w:val="18"/>
        </w:rPr>
        <w:t>Kontribuzzjoni mill-Istituzzjonijiet</w:t>
      </w:r>
    </w:p>
    <w:tbl>
      <w:tblPr>
        <w:tblW w:w="10179" w:type="dxa"/>
        <w:tblInd w:w="93" w:type="dxa"/>
        <w:tblLook w:val="04A0" w:firstRow="1" w:lastRow="0" w:firstColumn="1" w:lastColumn="0" w:noHBand="0" w:noVBand="1"/>
      </w:tblPr>
      <w:tblGrid>
        <w:gridCol w:w="1622"/>
        <w:gridCol w:w="805"/>
        <w:gridCol w:w="1147"/>
        <w:gridCol w:w="804"/>
        <w:gridCol w:w="803"/>
        <w:gridCol w:w="803"/>
        <w:gridCol w:w="803"/>
        <w:gridCol w:w="950"/>
        <w:gridCol w:w="714"/>
        <w:gridCol w:w="804"/>
        <w:gridCol w:w="924"/>
      </w:tblGrid>
      <w:tr w:rsidR="00253BD3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</w:rPr>
            </w:pPr>
            <w:r>
              <w:rPr>
                <w:rFonts w:ascii="Arial" w:hAnsi="Arial"/>
                <w:b/>
                <w:noProof/>
                <w:sz w:val="14"/>
                <w:szCs w:val="14"/>
              </w:rPr>
              <w:t xml:space="preserve">Uffiċjali tal-AD u Persunal Temporanju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SĠ tal-Kunsill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QtĠ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  <w:t>QtA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SEAE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KESE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KtR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EO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KEPD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1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7 %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19 %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Il-Bulgarija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5"/>
                <w:szCs w:val="15"/>
              </w:rPr>
            </w:pPr>
            <w:r>
              <w:rPr>
                <w:rFonts w:ascii="Arial" w:hAnsi="Arial"/>
                <w:b/>
                <w:noProof/>
                <w:sz w:val="15"/>
                <w:szCs w:val="15"/>
              </w:rPr>
              <w:t>Ir-Repubblika Ċeka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Id-Danimarka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Il-Ġermanja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8 %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L-Estonja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L-Irlanda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Il-Greċja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5 %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7 %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9 %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Il-Kroazja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L-Italja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7 %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ipru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0 %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Il-Latvja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Il-Litwanja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Il-Lussemburgu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L-Ungerija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</w:t>
            </w:r>
            <w:r>
              <w:rPr>
                <w:rFonts w:ascii="Arial" w:hAnsi="Arial"/>
                <w:b/>
                <w:noProof/>
                <w:sz w:val="16"/>
              </w:rPr>
              <w:t xml:space="preserve">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L-Awstrija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Il-Polonja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7 %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Il-Portugall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5 %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Ir-Rumanija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6 %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Is-Slovenja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Is-Slovakkja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Il-Finlandja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2 %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Ir-Renju Unit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bidi="ar-SA"/>
              </w:rPr>
              <w:t>5 %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5 %</w:t>
            </w:r>
          </w:p>
        </w:tc>
      </w:tr>
      <w:tr w:rsidR="00253BD3">
        <w:trPr>
          <w:trHeight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bidi="ar-SA"/>
              </w:rPr>
              <w:t>100 %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</w:tr>
    </w:tbl>
    <w:p w:rsidR="00253BD3" w:rsidRDefault="00253BD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sectPr w:rsidR="00253BD3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021" w:right="1021" w:bottom="1134" w:left="1021" w:header="601" w:footer="1077" w:gutter="0"/>
          <w:cols w:space="720"/>
          <w:docGrid w:linePitch="326"/>
        </w:sectPr>
      </w:pPr>
    </w:p>
    <w:p w:rsidR="00253BD3" w:rsidRDefault="00F62E4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Anness 12: Sommarju </w:t>
      </w:r>
      <w:r>
        <w:rPr>
          <w:rFonts w:ascii="Times New Roman" w:hAnsi="Times New Roman"/>
          <w:b/>
          <w:noProof/>
          <w:sz w:val="24"/>
        </w:rPr>
        <w:t>tal-Kontribuzzjonijiet magħmula minn Aġenziji</w:t>
      </w:r>
      <w:r>
        <w:rPr>
          <w:noProof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</w:rPr>
        <w:t>NB: Id-Dikjarazzjonijiet u l-kliem kollu jirriflettu d-dikjarazzjonijiet tal-aġenzija rilevanti</w:t>
      </w:r>
    </w:p>
    <w:p w:rsidR="00253BD3" w:rsidRDefault="00253BD3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14032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858"/>
        <w:gridCol w:w="2127"/>
        <w:gridCol w:w="3969"/>
        <w:gridCol w:w="708"/>
        <w:gridCol w:w="718"/>
      </w:tblGrid>
      <w:tr w:rsidR="00253BD3">
        <w:trPr>
          <w:cantSplit/>
          <w:trHeight w:val="2085"/>
          <w:tblHeader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L-AĠENZIJA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Metodoloġija u kriterji għall-valutazzjoni tal-bilanċ ġeografiku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Indikatur(i) ta’ żbilanċ </w:t>
            </w:r>
            <w:r>
              <w:rPr>
                <w:b/>
                <w:noProof/>
              </w:rPr>
              <w:t>(sinifikanti)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b/>
                <w:noProof/>
              </w:rPr>
              <w:t>Żbilanċ (sinifikanti) osservat minn Stat Membru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Ġustifikazzjoni oġġettiva tal-iżbilanċ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Żbilanċ futur mistenni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Miżura xierqa taħt l-Art.27 meħuda/maħsuba</w:t>
            </w:r>
          </w:p>
        </w:tc>
      </w:tr>
      <w:tr w:rsidR="00253BD3">
        <w:trPr>
          <w:cantSplit/>
          <w:trHeight w:val="1574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ACER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Il-bilanċ ġeografiku huwa vvalutat b’referenza għar-rappreżentanza ta’ kull </w:t>
            </w:r>
            <w:r>
              <w:rPr>
                <w:noProof/>
                <w:sz w:val="18"/>
              </w:rPr>
              <w:t>nazzjonalità fost il-persunal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jekk inqas minn 50 % tal-Istati Membri huma rappreżentati fost il-persunal jew jekk persunal minn ċittadinanza waħda jirrappreżenta aktar minn 50 % tal-persunal totali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Le, iżda l-ko</w:t>
            </w:r>
            <w:r>
              <w:rPr>
                <w:noProof/>
                <w:sz w:val="18"/>
              </w:rPr>
              <w:t>effiċjent tal-korrezzjoni huwa problema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055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CEDEFOP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vvalutat b’referenza għar-rappreżentanza ta’ kull nazzjonalità fost il-persunal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Żbilanċ sinifikanti jiġi osservat meta ċittadinanza waħda taqbeż l-40 % tal-pjan ta’ </w:t>
            </w:r>
            <w:r>
              <w:rPr>
                <w:noProof/>
                <w:sz w:val="18"/>
              </w:rPr>
              <w:t>stabbiliment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975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CEPOL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CEPOL ma għandux definizzjoni ta’ x’jikkostitwixxi “rappreżentanza bbilanċjata” ta’ kull nazzjonalità fost il-persunal tiegħu. Il-bilanċ ġeografiku huwa inkluż f’rappurtar intern kull xahar kif ukoll </w:t>
            </w:r>
            <w:r>
              <w:rPr>
                <w:noProof/>
                <w:sz w:val="18"/>
              </w:rPr>
              <w:t>fil-kont annwali.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Is-CEPOL jikkunsidra li hemm “żbilanċ sinifikanti” fejn ċittadinanza waħda tikkonsisti f’aktar minn 50 % tal-persunal kollu (TA, CA u SNEs).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Fil-perjodu 2014 – 2016, wara r-rilokazzjoni tal-aġenzija mir-Renju Unit sal-Ungerija, żieda fl-g</w:t>
            </w:r>
            <w:r>
              <w:rPr>
                <w:noProof/>
                <w:sz w:val="18"/>
              </w:rPr>
              <w:t>ħadd ta’ ċittadini Ungeriżi kienet osservata. Madanakollu, għadu ma ntlaħaqx żbilanċ sinifikanti.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Iva (ibbażat fuq ix-xejriet attwali)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Le/qed tkun ikkunsidrata</w:t>
            </w:r>
          </w:p>
        </w:tc>
      </w:tr>
      <w:tr w:rsidR="00253BD3">
        <w:trPr>
          <w:cantSplit/>
          <w:trHeight w:val="975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CPVO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Ma ġiet stabbilita l-ebda metodoloġija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Persunal amministrattiv ġenerali </w:t>
            </w:r>
            <w:r>
              <w:rPr>
                <w:noProof/>
                <w:sz w:val="18"/>
              </w:rPr>
              <w:t>barra mill-kamp ta’ applikazzjoni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jekk aktar minn żewġ maniġers jew aktar minn 40 % tal-persunal AD għandhom l-istess nazzjonalità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846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EASA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Il-bilanċ ġeografiku huwa mmonitorjat u mqabbel mal-popolazzjoni </w:t>
            </w:r>
            <w:r>
              <w:rPr>
                <w:noProof/>
                <w:sz w:val="18"/>
              </w:rPr>
              <w:t>tal-Istati Membri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Le, b’kont meħud tal-ispeċifiċità tal-aġenzija (ara l-ġustifikazzjoni)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Id-distribuzzjoni tal-persunal hija konsistenti mal-fehim tal-Aġenzija dwar id-distribuzzjoni tal-esperti tal-avjazzjoni fost l-Istati Membri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846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ECDC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l-Istati Membri kollha għandhom ikunu rappreżentati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It-tieni valutazzjoni ssir b’referenza għall-popolazzjoni u s-siġġijiet fil-Parl</w:t>
            </w:r>
            <w:r>
              <w:rPr>
                <w:noProof/>
                <w:sz w:val="18"/>
              </w:rPr>
              <w:t>ament Ewropew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jekk għadd kbir ta’ Stati Membri jew mhumiex rappreżentati biżżejjed/rappreżentati żżejjed jew b’mod sinifikanti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L-Iżvezja hija rrappreżentata żżejjed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tas-Sede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846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EIOPA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Għadd ta’ nazzjonalitajiet </w:t>
            </w:r>
            <w:r>
              <w:rPr>
                <w:noProof/>
                <w:sz w:val="18"/>
              </w:rPr>
              <w:t>rappreżentati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Ikun hemm żbilanċ sinifikanti jekk l-aġenzija ma setgħetx tattira persunal minn diversi nazzjonalitajiet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L-EIOPA wirtet persunal mis-CEIOPS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tas-Sede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846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ŻEE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L-akbar Stati Membri u l-aktar anzjani huma mistennija li jkollhom ra</w:t>
            </w:r>
            <w:r>
              <w:rPr>
                <w:noProof/>
                <w:sz w:val="18"/>
              </w:rPr>
              <w:t>ppreżentanza akbar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huwa osservat meta s-sehem ta’ nazzjonalitajiet akbar/aktar anzjani fl-Istati Membri jonqos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349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EFSA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Ebda metodoloġija jew kriterji mhuma stabbiliti. Metodoloġija (jekk adottata), għandha tqis </w:t>
            </w:r>
            <w:r>
              <w:rPr>
                <w:noProof/>
                <w:sz w:val="18"/>
              </w:rPr>
              <w:t>elementi bħall-effett tas-siġġijiet tal-konsegwenza ta’ post deċentralizzat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Nazzjonalità waħda tirrappreżenta 40 % tal-persunal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 (miżuri soċjali previsti)</w:t>
            </w:r>
          </w:p>
        </w:tc>
      </w:tr>
      <w:tr w:rsidR="00253BD3">
        <w:trPr>
          <w:cantSplit/>
          <w:trHeight w:val="1099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Bilanċ ġeografiku huwa vvalutat f’livell aggregat </w:t>
            </w:r>
            <w:r>
              <w:rPr>
                <w:noProof/>
                <w:sz w:val="18"/>
              </w:rPr>
              <w:t>(il-gruppi ta’ funzjoni kollha flimkien, Persunal Temporanju u Kuntrattwali).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Punt ta’ referenza: is-sehem tal-popolazzjoni tal-Istat Membru rilevanti fil-popolazzjoni tal-UE/ŻEE 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Jiġi osservat żbilanċ meta s-sehem attwali taċ-ċittadini jitbiegħed mill-pun</w:t>
            </w:r>
            <w:r>
              <w:rPr>
                <w:noProof/>
                <w:sz w:val="18"/>
              </w:rPr>
              <w:t>t ta’ referenza b’aktar minn + 100 % jew – 50 %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biżżejjed: NL, DE, LU (u n-Norveġja)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Irrappreżentati żżejjed:  EE, GR, IE, LV, LT, PT u SK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Il-gradazzjoni tal-impjiegi fl-EMA (inqas minn aġenziji oħra) tagħmel l-aġenzija inqas attraenti g</w:t>
            </w:r>
            <w:r>
              <w:rPr>
                <w:noProof/>
                <w:sz w:val="18"/>
              </w:rPr>
              <w:t>ħal xi nazzjonalitajiet. Is-segwitu tal-eżerċizzju tal-immappjar tax-xogħol jista’ jtejjeb is-sitwazzjoni.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Qed jistenna rilokazzjoni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099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EMCDDA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L-Istati Membri kollha għandhom ikunu rappreżentati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Żbilanċ sinifikanti huwa osservat jekk il-persunal minn </w:t>
            </w:r>
            <w:r>
              <w:rPr>
                <w:noProof/>
                <w:sz w:val="18"/>
              </w:rPr>
              <w:t>ċittadinanza waħda jirrappreżenta iktar minn 30 % tal-persunal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412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EMSA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is-sehem tal-popolazzjoni tal-Istat Membr</w:t>
            </w:r>
            <w:r>
              <w:rPr>
                <w:noProof/>
                <w:sz w:val="18"/>
              </w:rPr>
              <w:t>u rilevanti fil-popolazzjoni tal-UE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Jiġi osservat żbilanċ sinifikanti meta s-sehem attwali taċ-ċittadini jitbiegħed mill-punt ta’ referenza b’aktar minn + 100 % jew – 50 %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 b’mod sinifikanti: FR, IT, UK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Rappreżentati żżejjed </w:t>
            </w:r>
            <w:r>
              <w:rPr>
                <w:noProof/>
                <w:sz w:val="18"/>
              </w:rPr>
              <w:t>b’mod sinifikanti: PT, GR, BE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Koeffiċjent ta’ korrezzjoni li qed jonqos b’mod kostanti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Diffikultajiet fl-impjieg għall-konjuġi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Iva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LE/IVA: miżura soċjali)</w:t>
            </w:r>
          </w:p>
        </w:tc>
      </w:tr>
      <w:tr w:rsidR="00253BD3">
        <w:trPr>
          <w:cantSplit/>
          <w:trHeight w:val="1412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ENISA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Il-bilanċ ġeografiku huwa mmonitorjat u mqabbel mal-popolazzjoni tal-Istati Membri 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</w:t>
            </w:r>
            <w:r>
              <w:rPr>
                <w:noProof/>
                <w:sz w:val="18"/>
              </w:rPr>
              <w:t xml:space="preserve"> jiġi osservat jekk Persunal minn ċittadinanza speċifika jirrappreżenta aktar minn 50 % tal-persunal totali.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 iżda l-kriżi ekonomika fil-Greċja u t-tnaqqis fil-/il-koeffiċjent tal-korrezzjoni baxxa twassal għall-maġġoranza tal-applikanti</w:t>
            </w:r>
            <w:r>
              <w:rPr>
                <w:noProof/>
                <w:sz w:val="18"/>
              </w:rPr>
              <w:t xml:space="preserve"> li joriġinaw mill-Istati Membri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100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ETF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Għodd l-għadd ta’ nazzjonalitajiet rappreżentati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jekk inqas minn 60 % tan-nazzjonalitajiet huma rappreżentati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jekk ċittadinanza waħda tirrappreżenta aktar minn 40 %</w:t>
            </w:r>
            <w:r>
              <w:rPr>
                <w:noProof/>
                <w:sz w:val="18"/>
              </w:rPr>
              <w:t xml:space="preserve"> tal-persunal kollu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190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EUIPO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L-Istati Membri kollha għandhom ikunu rappreżentati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L-iżbilanċ jiġi osservat jekk Stat Membru huwa rrap</w:t>
            </w:r>
            <w:r>
              <w:rPr>
                <w:noProof/>
                <w:sz w:val="18"/>
              </w:rPr>
              <w:t>preżentat iżżejjed meta mqabbel ma’ oħrajn, filwaqt li madanakollu jitqies id-daqs tiegħu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Spanja hija rrappreżentata żżejjed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tas-Sede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190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EU-Lisa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huwa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is-sehem tal-popolazzjoni tal-Istat Membru rilevanti fil-popolazzjoni tal-UE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iddefinit fit-tweġiba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rappreżentati biżżejjed: DE, UK, SWE, DK, MT, SL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Ebda nuqqas ta’ rappreżentanza sinifikanti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tas-sede: preżenza sa 30 % t</w:t>
            </w:r>
            <w:r>
              <w:rPr>
                <w:noProof/>
                <w:sz w:val="18"/>
              </w:rPr>
              <w:t>al-persunal b’nazzjonalità tas-sede ta’ assenjazzjoni hija tollerabbli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Post imbiegħed tal-Kwartieri Ġenerali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Koeffiċjent ta’ korrezzjoni baxx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Diffikultajiet fl-impjieg għall-konjuġi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253BD3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253BD3" w:rsidRDefault="00253BD3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</w:p>
        </w:tc>
      </w:tr>
      <w:tr w:rsidR="00253BD3">
        <w:trPr>
          <w:cantSplit/>
          <w:trHeight w:val="1190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Eurofound</w:t>
            </w:r>
          </w:p>
          <w:p w:rsidR="00253BD3" w:rsidRDefault="00253BD3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Għadd ta’ Stati Membri rappreżentati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definit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Mhux </w:t>
            </w:r>
            <w:r>
              <w:rPr>
                <w:noProof/>
                <w:sz w:val="18"/>
              </w:rPr>
              <w:t>Applikabbli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975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Eurojust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Mhux Applikabbli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L-ebda żbilanċ osservat iżda l-grupp NL huwa l-akbar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Effett tas-Sede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</w:t>
            </w:r>
          </w:p>
        </w:tc>
      </w:tr>
      <w:tr w:rsidR="00253BD3">
        <w:trPr>
          <w:cantSplit/>
          <w:trHeight w:val="1401"/>
        </w:trPr>
        <w:tc>
          <w:tcPr>
            <w:tcW w:w="392" w:type="dxa"/>
            <w:textDirection w:val="btL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Frontex</w:t>
            </w:r>
          </w:p>
        </w:tc>
        <w:tc>
          <w:tcPr>
            <w:tcW w:w="3260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Il-bilanċ ġeografiku jista’ jiġi vvalutat fuq livell aggregat (il-gruppi ta’ funzjoni kollha flimkien).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Punt ta’ referenza: taħlita ta’ “distribuzzjoni ugwali” (l-Istati Membri kollha b’piż ugwali) u s-sehem tal-popolazzjoni tal-Istat Membru rilevanti fil-popolazzjoni tal-UE</w:t>
            </w:r>
          </w:p>
        </w:tc>
        <w:tc>
          <w:tcPr>
            <w:tcW w:w="2858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Żbilanċ sinifikanti jiġi osservat meta</w:t>
            </w:r>
          </w:p>
          <w:p w:rsidR="00253BD3" w:rsidRDefault="00F62E46">
            <w:pPr>
              <w:pStyle w:val="ListParagraph"/>
              <w:numPr>
                <w:ilvl w:val="0"/>
                <w:numId w:val="35"/>
              </w:numPr>
              <w:tabs>
                <w:tab w:val="num" w:pos="283"/>
              </w:tabs>
              <w:spacing w:after="0" w:line="240" w:lineRule="auto"/>
              <w:ind w:left="317" w:hanging="283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nazzjonalità mhijiex rappreżentata fost </w:t>
            </w:r>
            <w:r>
              <w:rPr>
                <w:noProof/>
                <w:sz w:val="18"/>
              </w:rPr>
              <w:t>il-persunal</w:t>
            </w:r>
          </w:p>
          <w:p w:rsidR="00253BD3" w:rsidRDefault="00F62E46">
            <w:pPr>
              <w:pStyle w:val="ListParagraph"/>
              <w:numPr>
                <w:ilvl w:val="0"/>
                <w:numId w:val="35"/>
              </w:numPr>
              <w:tabs>
                <w:tab w:val="num" w:pos="283"/>
              </w:tabs>
              <w:spacing w:after="0" w:line="240" w:lineRule="auto"/>
              <w:ind w:left="317" w:hanging="283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is-sehem attwali taċ-ċittadini jiddevja mis-sehem tal-popolazzjoni b’iktar minn +/- 50 %</w:t>
            </w:r>
          </w:p>
        </w:tc>
        <w:tc>
          <w:tcPr>
            <w:tcW w:w="2127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Iva (kemm nuqqas ta’ rappreżentanza kif ukoll rappreżentanza żejda</w:t>
            </w:r>
          </w:p>
        </w:tc>
        <w:tc>
          <w:tcPr>
            <w:tcW w:w="3969" w:type="dxa"/>
            <w:vAlign w:val="center"/>
          </w:tcPr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L-ebda ġustifikazzjoni oġġettiva.</w:t>
            </w:r>
          </w:p>
          <w:p w:rsidR="00253BD3" w:rsidRDefault="00F62E46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Madankollu, il-koeffiċjent ta’ korrezzjoni baxx applik</w:t>
            </w:r>
            <w:r>
              <w:rPr>
                <w:noProof/>
                <w:sz w:val="18"/>
              </w:rPr>
              <w:t>abbli għall-Polonja jagħmel l-aġenzija inqas attraenti</w:t>
            </w:r>
          </w:p>
        </w:tc>
        <w:tc>
          <w:tcPr>
            <w:tcW w:w="70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Iva (marbuta mal-koeffiċjent tal-korrezzjoni)</w:t>
            </w:r>
          </w:p>
        </w:tc>
        <w:tc>
          <w:tcPr>
            <w:tcW w:w="718" w:type="dxa"/>
            <w:textDirection w:val="btLr"/>
            <w:vAlign w:val="center"/>
          </w:tcPr>
          <w:p w:rsidR="00253BD3" w:rsidRDefault="00F62E46">
            <w:pPr>
              <w:spacing w:after="0" w:line="240" w:lineRule="auto"/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LE/LE (jistenna l-inizjattiva tal-Kummissjoni)</w:t>
            </w:r>
          </w:p>
        </w:tc>
      </w:tr>
    </w:tbl>
    <w:p w:rsidR="00253BD3" w:rsidRDefault="00F62E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  <w:sectPr w:rsidR="00253BD3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588" w:right="1021" w:bottom="1134" w:left="1021" w:header="601" w:footer="1077" w:gutter="0"/>
          <w:cols w:space="720"/>
          <w:docGrid w:linePitch="326"/>
        </w:sectPr>
      </w:pPr>
      <w:r>
        <w:rPr>
          <w:noProof/>
        </w:rPr>
        <w:br w:type="page"/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13: </w:t>
      </w:r>
      <w:r>
        <w:rPr>
          <w:rFonts w:ascii="Times New Roman" w:hAnsi="Times New Roman"/>
          <w:b/>
          <w:noProof/>
          <w:sz w:val="24"/>
        </w:rPr>
        <w:t>Distribuzzjoni tal-persunal AD skont in-nazzjonalità fl-Istituzzjonijiet deċentralizzati tal-UE (Għadd tal-persunal)</w:t>
      </w:r>
    </w:p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Arial" w:hAnsi="Arial"/>
          <w:b/>
          <w:noProof/>
          <w:sz w:val="18"/>
        </w:rPr>
        <w:t xml:space="preserve">Uffiċjali u AT, sitwazzjoni fl-1 ta’ Jannar 2017 (ċittadini tal-UE biss) 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8"/>
          <w:szCs w:val="18"/>
        </w:rPr>
        <w:br/>
      </w:r>
      <w:r>
        <w:rPr>
          <w:rFonts w:ascii="Arial" w:hAnsi="Arial"/>
          <w:b/>
          <w:noProof/>
          <w:sz w:val="18"/>
        </w:rPr>
        <w:t>Sors: Il-kontribuzzjoni tal-Aġenziji</w:t>
      </w:r>
    </w:p>
    <w:tbl>
      <w:tblPr>
        <w:tblW w:w="13528" w:type="dxa"/>
        <w:tblInd w:w="93" w:type="dxa"/>
        <w:tblLook w:val="04A0" w:firstRow="1" w:lastRow="0" w:firstColumn="1" w:lastColumn="0" w:noHBand="0" w:noVBand="1"/>
      </w:tblPr>
      <w:tblGrid>
        <w:gridCol w:w="1660"/>
        <w:gridCol w:w="700"/>
        <w:gridCol w:w="620"/>
        <w:gridCol w:w="580"/>
        <w:gridCol w:w="580"/>
        <w:gridCol w:w="580"/>
        <w:gridCol w:w="560"/>
        <w:gridCol w:w="560"/>
        <w:gridCol w:w="560"/>
        <w:gridCol w:w="560"/>
        <w:gridCol w:w="560"/>
        <w:gridCol w:w="560"/>
        <w:gridCol w:w="580"/>
        <w:gridCol w:w="580"/>
        <w:gridCol w:w="580"/>
        <w:gridCol w:w="580"/>
        <w:gridCol w:w="580"/>
        <w:gridCol w:w="580"/>
        <w:gridCol w:w="648"/>
        <w:gridCol w:w="580"/>
        <w:gridCol w:w="740"/>
      </w:tblGrid>
      <w:tr w:rsidR="00253BD3">
        <w:trPr>
          <w:trHeight w:val="94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Uffiċjali tal-AD u Persunal</w:t>
            </w:r>
            <w:r>
              <w:rPr>
                <w:rFonts w:ascii="Arial" w:hAnsi="Arial"/>
                <w:b/>
                <w:noProof/>
                <w:sz w:val="16"/>
              </w:rPr>
              <w:t xml:space="preserve"> Temporanju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ACER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CEDEFOP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CEPOL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CPVO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ECDC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EASA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ŻEE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EIOPA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EFSA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EMCDDA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EMSA (**)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ENISA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ETF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UE-IPO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EU-Lisa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Eurofound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Eurojust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noProof/>
                <w:sz w:val="16"/>
              </w:rPr>
              <w:t>(*)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Frontex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Il-Bulgarija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42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Ir-Repubblika Ċeka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25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Id-Danimarka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29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Il-Ġermanja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262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L-Estonja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L-Irlanda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52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Il-Greċja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126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228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314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Il-Kroazja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253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L-Italja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295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ipru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Il-Latvja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18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Il-Litwanja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17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Il-Lussemburgu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L-Ungerija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49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L-Awstrija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52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Il-Polonja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72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Il-Portugall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121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Ir-Rumanija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76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Is-Slovenja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Is-Slovakkja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23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Il-Finlandja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38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Ir-Renju Unit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36</w:t>
            </w: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164</w:t>
            </w:r>
          </w:p>
        </w:tc>
      </w:tr>
      <w:tr w:rsidR="00253BD3">
        <w:trPr>
          <w:trHeight w:val="22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2 304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Arial" w:eastAsia="Times New Roman" w:hAnsi="Arial" w:cs="Arial"/>
          <w:b/>
          <w:bCs/>
          <w:noProof/>
          <w:sz w:val="16"/>
          <w:szCs w:val="16"/>
        </w:rPr>
      </w:pPr>
      <w:r>
        <w:rPr>
          <w:rFonts w:ascii="Arial" w:hAnsi="Arial"/>
          <w:b/>
          <w:noProof/>
          <w:sz w:val="16"/>
        </w:rPr>
        <w:t>*: 0,5 FTE konvertit għal 1     **:  TA biss</w:t>
      </w:r>
      <w:r>
        <w:rPr>
          <w:noProof/>
        </w:rPr>
        <w:br w:type="page"/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 w:val="24"/>
        </w:rPr>
        <w:t xml:space="preserve">Anness 14: Distribuzzjoni tal-persunal AD skont in-nazzjonalità fl-aġenziji deċentralizzati tal-UE (persentaġġ </w:t>
      </w:r>
      <w:r>
        <w:rPr>
          <w:rFonts w:ascii="Times New Roman" w:hAnsi="Times New Roman"/>
          <w:b/>
          <w:noProof/>
          <w:sz w:val="24"/>
        </w:rPr>
        <w:t>tal-persunal AD)</w:t>
      </w:r>
    </w:p>
    <w:p w:rsidR="00253BD3" w:rsidRDefault="00F62E4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Arial" w:hAnsi="Arial"/>
          <w:b/>
          <w:noProof/>
          <w:sz w:val="18"/>
        </w:rPr>
        <w:t>Uffiċjali u AT, sitwazzjoni fl-1 ta’ Jannar 2017 - Distribuzzjoni (ċittadini tal-UE biss)</w:t>
      </w:r>
      <w:r>
        <w:rPr>
          <w:noProof/>
        </w:rPr>
        <w:tab/>
      </w:r>
      <w:r>
        <w:rPr>
          <w:rFonts w:ascii="Arial" w:eastAsia="Times New Roman" w:hAnsi="Arial" w:cs="Arial"/>
          <w:b/>
          <w:bCs/>
          <w:noProof/>
          <w:sz w:val="18"/>
          <w:szCs w:val="18"/>
        </w:rPr>
        <w:br/>
      </w:r>
      <w:r>
        <w:rPr>
          <w:rFonts w:ascii="Arial" w:hAnsi="Arial"/>
          <w:b/>
          <w:noProof/>
          <w:sz w:val="18"/>
        </w:rPr>
        <w:t>Sors: Il-kontribuzzjoni tal-Aġenziji</w:t>
      </w: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1612"/>
        <w:gridCol w:w="684"/>
        <w:gridCol w:w="662"/>
        <w:gridCol w:w="662"/>
        <w:gridCol w:w="66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722"/>
      </w:tblGrid>
      <w:tr w:rsidR="00253BD3">
        <w:trPr>
          <w:trHeight w:val="99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Uffiċjali tal-AD u Persunal Temporanju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ACER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CEDEFOP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CEPOL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CPVO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ECDC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EASA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ŻEE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EIOPA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EFSA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EMCDDA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EMSA (*)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ENI</w:t>
            </w:r>
            <w:r>
              <w:rPr>
                <w:rFonts w:ascii="Arial" w:hAnsi="Arial"/>
                <w:b/>
                <w:noProof/>
                <w:sz w:val="16"/>
              </w:rPr>
              <w:t>SA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ETF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EU-IPO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EU-Lisa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Eurofound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Eurojust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Frontex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Il-Belġju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Bulgarija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</w:t>
            </w:r>
            <w:r>
              <w:rPr>
                <w:rFonts w:ascii="Arial" w:hAnsi="Arial"/>
                <w:b/>
                <w:noProof/>
                <w:sz w:val="16"/>
              </w:rPr>
              <w:t>Repubblika Ċeka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Id-</w:t>
            </w:r>
            <w:r>
              <w:rPr>
                <w:rFonts w:ascii="Arial" w:hAnsi="Arial"/>
                <w:b/>
                <w:noProof/>
                <w:sz w:val="16"/>
              </w:rPr>
              <w:t>Danimarka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Ġ</w:t>
            </w:r>
            <w:r>
              <w:rPr>
                <w:rFonts w:ascii="Arial" w:hAnsi="Arial"/>
                <w:b/>
                <w:noProof/>
                <w:sz w:val="16"/>
              </w:rPr>
              <w:t>ermanja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L-E</w:t>
            </w:r>
            <w:r>
              <w:rPr>
                <w:rFonts w:ascii="Arial" w:hAnsi="Arial"/>
                <w:b/>
                <w:noProof/>
                <w:sz w:val="16"/>
              </w:rPr>
              <w:t>stonja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</w:t>
            </w:r>
            <w:r>
              <w:rPr>
                <w:rFonts w:ascii="Arial" w:hAnsi="Arial"/>
                <w:b/>
                <w:noProof/>
                <w:sz w:val="16"/>
              </w:rPr>
              <w:t>rlanda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Greċja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Spanja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Franza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Kroazja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</w:t>
            </w:r>
            <w:r>
              <w:rPr>
                <w:rFonts w:ascii="Arial" w:hAnsi="Arial"/>
                <w:b/>
                <w:noProof/>
                <w:sz w:val="16"/>
              </w:rPr>
              <w:t>talja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Ċ</w:t>
            </w:r>
            <w:r>
              <w:rPr>
                <w:rFonts w:ascii="Arial" w:hAnsi="Arial"/>
                <w:b/>
                <w:noProof/>
                <w:sz w:val="16"/>
              </w:rPr>
              <w:t>ip</w:t>
            </w:r>
            <w:r>
              <w:rPr>
                <w:rFonts w:ascii="Arial" w:hAnsi="Arial"/>
                <w:b/>
                <w:noProof/>
                <w:sz w:val="16"/>
              </w:rPr>
              <w:t>ru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Latvja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Litwanja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Lussemburgu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L-U</w:t>
            </w:r>
            <w:r>
              <w:rPr>
                <w:rFonts w:ascii="Arial" w:hAnsi="Arial"/>
                <w:b/>
                <w:noProof/>
                <w:sz w:val="16"/>
              </w:rPr>
              <w:t>ngerija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18 %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Malta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In-Netherlands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L-A</w:t>
            </w:r>
            <w:r>
              <w:rPr>
                <w:rFonts w:ascii="Arial" w:hAnsi="Arial"/>
                <w:b/>
                <w:noProof/>
                <w:sz w:val="16"/>
              </w:rPr>
              <w:t>wstrija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9 %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Polonja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Portugall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</w:t>
            </w:r>
            <w:r>
              <w:rPr>
                <w:rFonts w:ascii="Arial" w:hAnsi="Arial"/>
                <w:b/>
                <w:noProof/>
                <w:sz w:val="16"/>
              </w:rPr>
              <w:t>Rumanija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</w:t>
            </w:r>
            <w:r>
              <w:rPr>
                <w:rFonts w:ascii="Arial" w:hAnsi="Arial"/>
                <w:b/>
                <w:noProof/>
                <w:sz w:val="16"/>
              </w:rPr>
              <w:t>Slovenja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Is-</w:t>
            </w:r>
            <w:r>
              <w:rPr>
                <w:rFonts w:ascii="Arial" w:hAnsi="Arial"/>
                <w:b/>
                <w:noProof/>
                <w:sz w:val="16"/>
              </w:rPr>
              <w:t>Slovakkja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Il-</w:t>
            </w:r>
            <w:r>
              <w:rPr>
                <w:rFonts w:ascii="Arial" w:hAnsi="Arial"/>
                <w:b/>
                <w:noProof/>
                <w:sz w:val="16"/>
              </w:rPr>
              <w:t>Finlandja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L-Iżvezja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2 %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Ir-Renju Unit</w:t>
            </w:r>
          </w:p>
        </w:tc>
        <w:tc>
          <w:tcPr>
            <w:tcW w:w="6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3 %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11 %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13 %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5 %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0 %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6 %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8 %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4 %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7 %</w:t>
            </w:r>
          </w:p>
        </w:tc>
      </w:tr>
      <w:tr w:rsidR="00253BD3">
        <w:trPr>
          <w:trHeight w:val="24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BD3" w:rsidRDefault="00F62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Total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100 </w:t>
            </w:r>
            <w:r>
              <w:rPr>
                <w:rFonts w:ascii="Arial" w:hAnsi="Arial"/>
                <w:b/>
                <w:noProof/>
                <w:sz w:val="16"/>
              </w:rPr>
              <w:t>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3BD3" w:rsidRDefault="00F62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100 %</w:t>
            </w:r>
          </w:p>
        </w:tc>
      </w:tr>
    </w:tbl>
    <w:p w:rsidR="00253BD3" w:rsidRDefault="00F6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Arial" w:hAnsi="Arial"/>
          <w:b/>
          <w:noProof/>
          <w:sz w:val="16"/>
        </w:rPr>
        <w:t>*: TA biss</w:t>
      </w:r>
    </w:p>
    <w:sectPr w:rsidR="00253BD3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6838" w:h="11906" w:orient="landscape"/>
      <w:pgMar w:top="907" w:right="1021" w:bottom="1134" w:left="1021" w:header="60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D3" w:rsidRDefault="00F62E46">
      <w:pPr>
        <w:spacing w:after="0" w:line="240" w:lineRule="auto"/>
      </w:pPr>
      <w:r>
        <w:separator/>
      </w:r>
    </w:p>
  </w:endnote>
  <w:endnote w:type="continuationSeparator" w:id="0">
    <w:p w:rsidR="00253BD3" w:rsidRDefault="00F6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406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183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68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17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004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713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515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FooterCoverPage"/>
      <w:rPr>
        <w:rFonts w:ascii="Arial" w:hAnsi="Arial" w:cs="Arial"/>
        <w:b/>
        <w:sz w:val="48"/>
      </w:rPr>
    </w:pPr>
    <w:r w:rsidRPr="00F62E46">
      <w:rPr>
        <w:rFonts w:ascii="Arial" w:hAnsi="Arial" w:cs="Arial"/>
        <w:b/>
        <w:sz w:val="48"/>
      </w:rPr>
      <w:t>MT</w:t>
    </w:r>
    <w:r w:rsidRPr="00F62E46">
      <w:rPr>
        <w:rFonts w:ascii="Arial" w:hAnsi="Arial" w:cs="Arial"/>
        <w:b/>
        <w:sz w:val="48"/>
      </w:rPr>
      <w:tab/>
    </w:r>
    <w:r w:rsidRPr="00F62E46">
      <w:rPr>
        <w:rFonts w:ascii="Arial" w:hAnsi="Arial" w:cs="Arial"/>
        <w:b/>
        <w:sz w:val="48"/>
      </w:rPr>
      <w:tab/>
    </w:r>
    <w:r w:rsidRPr="00F62E46">
      <w:tab/>
    </w:r>
    <w:r w:rsidRPr="00F62E46">
      <w:rPr>
        <w:rFonts w:ascii="Arial" w:hAnsi="Arial" w:cs="Arial"/>
        <w:b/>
        <w:sz w:val="48"/>
      </w:rPr>
      <w:t>MT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051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0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74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273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802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52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63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FooterCoverPage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462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08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495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39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Landscape"/>
      <w:spacing w:before="240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2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484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85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BD3" w:rsidRDefault="00253BD3">
    <w:pPr>
      <w:ind w:right="2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282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20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90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D3" w:rsidRDefault="00F62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53BD3" w:rsidRDefault="00253BD3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F62E4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D3" w:rsidRDefault="00F62E46">
      <w:pPr>
        <w:spacing w:after="0" w:line="240" w:lineRule="auto"/>
      </w:pPr>
      <w:r>
        <w:separator/>
      </w:r>
    </w:p>
  </w:footnote>
  <w:footnote w:type="continuationSeparator" w:id="0">
    <w:p w:rsidR="00253BD3" w:rsidRDefault="00F62E46">
      <w:pPr>
        <w:spacing w:after="0" w:line="240" w:lineRule="auto"/>
      </w:pPr>
      <w:r>
        <w:continuationSeparator/>
      </w:r>
    </w:p>
  </w:footnote>
  <w:footnote w:id="1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L-Artikolu 9 tat-Trattat dwar l-Unjoni Ewropea </w:t>
      </w:r>
      <w:r>
        <w:t>jirrikjedi li “fl-attivitajiet kollha tagħha, l-Unjoni għandha tosserva l-prinċipju tal-ugwaljanza taċ-ċittadini tagħha”. Bl-istess mod, l-Artikolu 1d SR jipprojbixxi “kull diskriminazzjoni bbażata fuq kull raġuni”.  Barra minn hekk, l-Artikolu 27 SR jippr</w:t>
      </w:r>
      <w:r>
        <w:t>ojbixxi r-riżervar ta’ karigi individwali għal ċittadini ta’ kwalunkwe Stat Membru.  Ara l-Anness 1 għal deskrizzjoni aktar dettaljata tal-qafas legali.</w:t>
      </w:r>
    </w:p>
  </w:footnote>
  <w:footnote w:id="2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F’dan il-kuntest, il-leġiżlatur adotta fir-regolamenti speċifiċi fil-passat li għandhom l-għan li ji</w:t>
      </w:r>
      <w:r>
        <w:t>llimitaw ir-reklutaġġ u jippermettu li postijiet ikunu riżervati għaċ-ċittadini ta’ Stat Membru wieħed jew aktar; dan kien tipikament il-każ fil-kuntest tat-tkabbir.</w:t>
      </w:r>
    </w:p>
  </w:footnote>
  <w:footnote w:id="3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Ara pereżempju s-Sentenza tal-Qorti ta’ 30.6.1983 fil-Kawża 85/82 Schloh vs Il-Kunsill,</w:t>
      </w:r>
      <w:r>
        <w:t xml:space="preserve"> il-punt 26.</w:t>
      </w:r>
    </w:p>
  </w:footnote>
  <w:footnote w:id="4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Ara l-Komunikazzjoni tal-Kummissjoni tas-Sur Van Miert SEC(1994)844 tas-17 ta’ Mejju 1994 fl-okkażjoni tal-adeżjoni tal-Awstrija, il-Finlandja u l-Iżvezja. </w:t>
      </w:r>
    </w:p>
  </w:footnote>
  <w:footnote w:id="5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Ara l-Komunikazzjoni tas-Sur Kinnock dwar ir-reklutaġġ ta’ uffiċjali tal-Kummiss</w:t>
      </w:r>
      <w:r>
        <w:t>joni mill-Istati Membri l-ġodda tal-14 ta’ Frar 2003 C(2003)436/5, adottata fid-19 ta’ Frar 2003; il-Komunikazzjoni tas-Sur Kallas C(2006)5778 dwar ir-reklutaġġ ta’ uffiċjali tal-Kummissjoni u aġenti temporanji mill-Bulgarija u r-Rumanija tal-24 ta’ Novemb</w:t>
      </w:r>
      <w:r>
        <w:t xml:space="preserve">ru 2006, adottati b’Proċedura bil-Miktub fl-1 ta’ Diċembru 2006 (SEC(2006)1574/5); il-Komunikazzjoni tal-Viċi President </w:t>
      </w:r>
      <w:r>
        <w:rPr>
          <w:color w:val="222222"/>
        </w:rPr>
        <w:t>Šefčovič</w:t>
      </w:r>
      <w:r>
        <w:t xml:space="preserve"> dwar ir-reklutaġġ ta’ uffiċjali tal-Kummissjoni u aġenti temporanji mill-Kroazja tat-12 ta’ Lulju 2012, (SEC(2012)436 final).</w:t>
      </w:r>
    </w:p>
  </w:footnote>
  <w:footnote w:id="6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Madankollu, membri tal-persunal għandhom jiddikjaraw jekk humiex jew kinux ċittadini tal-Istat li fit-territorju tiegħu jinsab il-post fejn huma impjegati. </w:t>
      </w:r>
    </w:p>
    <w:p w:rsidR="00253BD3" w:rsidRDefault="00253BD3">
      <w:pPr>
        <w:pStyle w:val="FootnoteText"/>
      </w:pPr>
    </w:p>
  </w:footnote>
  <w:footnote w:id="7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Sakemm ma jipprovdux evidenza li b’mod irrevokabbli abbandunaw in-nazzjonalità tar-Renju Unit</w:t>
      </w:r>
      <w:r>
        <w:t>.</w:t>
      </w:r>
    </w:p>
  </w:footnote>
  <w:footnote w:id="8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Dan l-approċċ jitbiegħed mill-approċċ preċedenti ta’ ppeżar ugwali tal-akbar tliet Stati Membri fundaturi (il-Ġermanja, Franza, l-Italja) u ma joffrix il-garanzija ta’ stabbiltà maż-żmien. Tabilħaqq, minn tliet kriterji oġġettivi, wieħed huwa volatili</w:t>
      </w:r>
      <w:r>
        <w:t xml:space="preserve"> (il-popolazzjoni, kif muri fl-Anness 4) u t-tieni, għalkemm għadu msemmi fit-Trattat, ma għadux japplika aktar minn April 2017 (l-ippeżar tal-voti fil-Kunsill). Madankollu, il-vantaġġi ta’ din is-soluzzjoni fil-biċċa l-kbira jegħlbu l-iżvantaġġi.</w:t>
      </w:r>
    </w:p>
  </w:footnote>
  <w:footnote w:id="9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Pereż</w:t>
      </w:r>
      <w:r>
        <w:t>empju, fir-rigward tal-Maniġers Anzjani, il-Kummissjoni ddefinixxiet bħala “objettiv mixtieq li kull nazzjonalità għandu jkollha mill-inqas funzjoni waħda li tikkorrispondi mal-kariga bażika ta’ Direttur Ġenerali. Darbtejn fis-sena, il-Kummissarju għall-Pe</w:t>
      </w:r>
      <w:r>
        <w:t>rsunal u Amministrazzjoni (...) jinforma lill-Kulleġġ (...) dwar il-bilanċ ġeografiku ta’ uffiċjali anzjani” (Dokument ta’ Kumpilazzjoni dwar Politika ta’ Uffiċjali Anzjani SEC(2004)1352/2 approvat 26.10.2004, PV 1676)</w:t>
      </w:r>
    </w:p>
  </w:footnote>
  <w:footnote w:id="10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Il-promozzjoni minn AD5 (il-grad </w:t>
      </w:r>
      <w:r>
        <w:t>ta’ reklutaġġ l-aktar komuni) sa AD9 tieħu medja ta’ 12-il sena filwaqt li l-iktar żmien mgħaġġel possibbli ammissibbli mir-regolamenti tal-persunal huwa ta’ tmien snin.</w:t>
      </w:r>
    </w:p>
  </w:footnote>
  <w:footnote w:id="11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jiġifieri l-Istati Membri kollha li saru membri tal-Unjoni Ewropea qabel l-2004.</w:t>
      </w:r>
    </w:p>
  </w:footnote>
  <w:footnote w:id="12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jiġifieri l-Istati Membri kollha ta’ qabel l-2004, ir-Renju Unit eskluż.</w:t>
      </w:r>
    </w:p>
  </w:footnote>
  <w:footnote w:id="13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Barra minn hekk, il-kompetizzjonijiet ġenerali AD5 jidhru li għandhom preġudizzju simili, biż-żieda tan-Netherlandiżi, l-Ungeriżi u r-Rumeni fost in-nazzjonalitajiet li huma rappr</w:t>
      </w:r>
      <w:r>
        <w:t>eżentati biżżejjed.</w:t>
      </w:r>
    </w:p>
  </w:footnote>
  <w:footnote w:id="14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Meta jittieħed kont tar-rekwiżit tar-Regolament tal-Persunal li l-listi tal-lawreati għandu jkun fihom mill-inqas id-doppju tal-ismijiet tal-għadd tal-postijiet li għandhom jimtlew</w:t>
      </w:r>
      <w:r>
        <w:rPr>
          <w:rStyle w:val="FootnoteReference"/>
        </w:rPr>
        <w:footnoteRef/>
      </w:r>
      <w:r>
        <w:t xml:space="preserve"> ċittadini minn kwalunkwe Stat Membru għandhom ideal</w:t>
      </w:r>
      <w:r>
        <w:t>ment jirrappreżentaw mill-inqas 50 % tar-rata ta’ gwida rilevanti.</w:t>
      </w:r>
    </w:p>
  </w:footnote>
  <w:footnote w:id="15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Imma l-ebda istituzzjoni ma tat definizzjoni ddettaljata tagħha</w:t>
      </w:r>
    </w:p>
  </w:footnote>
  <w:footnote w:id="16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Fil-verżjoni tal-1962 tar-Regolamenti tal-Persunal, ġiet ipprovduta projbizzjoni ta’ diskriminazzjoni fl-Artikolu dwar </w:t>
      </w:r>
      <w:r>
        <w:t>ir-reklutaġġ (l-Artikolu 27) u kienet limitata għal “razza, reliġjon jew sess”.  Fil-verżjoni tal-1998, ir-Regolamenti tal-Persunal ipprovdew projbizzjoni ġenerali ta’ diskriminazzjoni bbażata fuq “razza, twemmin politiku, filosofiku jew reliġjuż, sess jew</w:t>
      </w:r>
      <w:r>
        <w:t xml:space="preserve"> orjentazzjoni sesswali”.</w:t>
      </w:r>
    </w:p>
  </w:footnote>
  <w:footnote w:id="17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Ara pereżempju s-Sentenza tat-30.6.1983, fil-Kawża 85/82 Schloch vs il-Kunsill, pt 26 jew is-Sentenza tas-6 ta’ Lulju 1999 fil-kawżi magħquda T-112/96 u T-115/96 Séché vs il-Kummissjoni</w:t>
      </w:r>
    </w:p>
  </w:footnote>
  <w:footnote w:id="18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Ir-Regolament (UE, EURATOM) Nru 1023/2</w:t>
      </w:r>
      <w:r>
        <w:t>013 tal-Parlament Ewropew u tal-Kunsill tat-22 ta’ Ottubru 2013 li jemenda r-Regolamenti tal-Persunal għall-Uffiċjali tal-Unjoni Ewropea u l-Kondizzjonijiet tal-Impjieg ta’ Aġenti Oħra tal-Unjoni Ewropea</w:t>
      </w:r>
    </w:p>
  </w:footnote>
  <w:footnote w:id="19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L-Anness 2 tar-rapport preżenti huwa estratt mill</w:t>
      </w:r>
      <w:r>
        <w:t>-Komunikazzjoni C(2003)436 tat-28 ta’ Jannar 2003. B’mod aktar preċiż, jikkorrispondi għall-Annessi 1, 1a u 1b ta’ dik il-Komunikazzjoni</w:t>
      </w:r>
    </w:p>
  </w:footnote>
  <w:footnote w:id="20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Il-Komunikazzjoni tas-Sur Kinnock dwar ir-reklutaġġ ta’ uffiċjali tal-Kummissjoni mill-Istati Membri l-ġodda tal-14 </w:t>
      </w:r>
      <w:r>
        <w:t>ta’ Frar 2003 C(2003)436/5, adottata fid-19 ta’ Frar 2003</w:t>
      </w:r>
    </w:p>
  </w:footnote>
  <w:footnote w:id="21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B’mod aktar speċifiku, il-komunikazzjoni ddikjarat: “L-approċċ propost huwa applikat għal 10 Stati Membri ġodda li ser jissieħbu fl-Unjoni mill-1 ta’ Mejju, 2004. Madankollu, jista’ jiġi applikat</w:t>
      </w:r>
      <w:r>
        <w:t xml:space="preserve"> għal kwalunkwe għadd ta’ Stati Membri ġodda”.</w:t>
      </w:r>
    </w:p>
  </w:footnote>
  <w:footnote w:id="22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C(2003)436/5 tal-14 ta’ Frar 2003, laqgħa tal-Kummissjoni 1601</w:t>
      </w:r>
    </w:p>
  </w:footnote>
  <w:footnote w:id="23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C(2006)5778, proċedura bil-miktub tal-24 ta’ Novembru 2006</w:t>
      </w:r>
    </w:p>
  </w:footnote>
  <w:footnote w:id="24">
    <w:p w:rsidR="00253BD3" w:rsidRDefault="00F6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SEC(2012)436 final, Procédure écrite de finalisation tal-11 ta’ Lulju 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6" w:rsidRPr="00F62E46" w:rsidRDefault="00F62E46" w:rsidP="00F62E46">
    <w:pPr>
      <w:pStyle w:val="HeaderCoverPag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D3" w:rsidRDefault="00253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89E0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4F02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69A6963"/>
    <w:multiLevelType w:val="hybridMultilevel"/>
    <w:tmpl w:val="9B86D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20AE8"/>
    <w:multiLevelType w:val="hybridMultilevel"/>
    <w:tmpl w:val="5434C71E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B34562C"/>
    <w:multiLevelType w:val="hybridMultilevel"/>
    <w:tmpl w:val="26DC4A84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0456B9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C9561E"/>
    <w:multiLevelType w:val="multilevel"/>
    <w:tmpl w:val="1AAA49CA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EEA7B8A"/>
    <w:multiLevelType w:val="hybridMultilevel"/>
    <w:tmpl w:val="44DC0BD0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73347"/>
    <w:multiLevelType w:val="hybridMultilevel"/>
    <w:tmpl w:val="F21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>
    <w:nsid w:val="4321140B"/>
    <w:multiLevelType w:val="singleLevel"/>
    <w:tmpl w:val="A5309298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2">
    <w:nsid w:val="45CF4AEC"/>
    <w:multiLevelType w:val="singleLevel"/>
    <w:tmpl w:val="7ED8A5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483558C9"/>
    <w:multiLevelType w:val="hybridMultilevel"/>
    <w:tmpl w:val="A28442A4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54620"/>
    <w:multiLevelType w:val="hybridMultilevel"/>
    <w:tmpl w:val="109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A0362"/>
    <w:multiLevelType w:val="hybridMultilevel"/>
    <w:tmpl w:val="EF7E69C6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>
    <w:nsid w:val="6D9C423C"/>
    <w:multiLevelType w:val="hybridMultilevel"/>
    <w:tmpl w:val="5DD049A8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C1A70"/>
    <w:multiLevelType w:val="hybridMultilevel"/>
    <w:tmpl w:val="E168E8A4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36">
    <w:nsid w:val="7CCB47E9"/>
    <w:multiLevelType w:val="hybridMultilevel"/>
    <w:tmpl w:val="EE72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B5455"/>
    <w:multiLevelType w:val="hybridMultilevel"/>
    <w:tmpl w:val="1D2C8296"/>
    <w:lvl w:ilvl="0" w:tplc="D4846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14527"/>
    <w:multiLevelType w:val="hybridMultilevel"/>
    <w:tmpl w:val="421A2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0"/>
  </w:num>
  <w:num w:numId="5">
    <w:abstractNumId w:val="30"/>
  </w:num>
  <w:num w:numId="6">
    <w:abstractNumId w:val="33"/>
  </w:num>
  <w:num w:numId="7">
    <w:abstractNumId w:val="18"/>
  </w:num>
  <w:num w:numId="8">
    <w:abstractNumId w:val="29"/>
  </w:num>
  <w:num w:numId="9">
    <w:abstractNumId w:val="28"/>
  </w:num>
  <w:num w:numId="10">
    <w:abstractNumId w:val="23"/>
  </w:num>
  <w:num w:numId="11">
    <w:abstractNumId w:val="27"/>
  </w:num>
  <w:num w:numId="12">
    <w:abstractNumId w:val="11"/>
  </w:num>
  <w:num w:numId="13">
    <w:abstractNumId w:val="19"/>
  </w:num>
  <w:num w:numId="14">
    <w:abstractNumId w:val="8"/>
  </w:num>
  <w:num w:numId="15">
    <w:abstractNumId w:val="13"/>
  </w:num>
  <w:num w:numId="16">
    <w:abstractNumId w:val="34"/>
  </w:num>
  <w:num w:numId="17">
    <w:abstractNumId w:val="15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3">
    <w:abstractNumId w:val="21"/>
  </w:num>
  <w:num w:numId="24">
    <w:abstractNumId w:val="22"/>
  </w:num>
  <w:num w:numId="25">
    <w:abstractNumId w:val="36"/>
  </w:num>
  <w:num w:numId="26">
    <w:abstractNumId w:val="38"/>
  </w:num>
  <w:num w:numId="27">
    <w:abstractNumId w:val="3"/>
  </w:num>
  <w:num w:numId="28">
    <w:abstractNumId w:val="2"/>
  </w:num>
  <w:num w:numId="29">
    <w:abstractNumId w:val="5"/>
  </w:num>
  <w:num w:numId="30">
    <w:abstractNumId w:val="9"/>
  </w:num>
  <w:num w:numId="31">
    <w:abstractNumId w:val="25"/>
  </w:num>
  <w:num w:numId="32">
    <w:abstractNumId w:val="17"/>
  </w:num>
  <w:num w:numId="33">
    <w:abstractNumId w:val="7"/>
  </w:num>
  <w:num w:numId="34">
    <w:abstractNumId w:val="16"/>
  </w:num>
  <w:num w:numId="35">
    <w:abstractNumId w:val="24"/>
  </w:num>
  <w:num w:numId="36">
    <w:abstractNumId w:val="26"/>
  </w:num>
  <w:num w:numId="37">
    <w:abstractNumId w:val="37"/>
  </w:num>
  <w:num w:numId="38">
    <w:abstractNumId w:val="32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CORRIGENDUM_x000b__x000b_This document corrects document COM (2018) 377 final of 15 June 2018._x000b__x000b_Concerns all language versions._x000b__x000b_Updates in the tables of some of the annexes._x000b__x000b_The text shall read as follows:_x000b_"/>
    <w:docVar w:name="LW_COVERPAGE_EXISTS" w:val="True"/>
    <w:docVar w:name="LW_COVERPAGE_GUID" w:val="5CBF271B-FF81-45A0-9730-E387442E3B64"/>
    <w:docVar w:name="LW_COVERPAGE_TYPE" w:val="1"/>
    <w:docVar w:name="LW_CROSSREFERENCE" w:val="&lt;UNUSED&gt;"/>
    <w:docVar w:name="LW_DocType" w:val="NORMAL"/>
    <w:docVar w:name="LW_EMISSION" w:val="24.8.2018"/>
    <w:docVar w:name="LW_EMISSION_ISODATE" w:val="2018-08-24"/>
    <w:docVar w:name="LW_EMISSION_LOCATION" w:val="BRX"/>
    <w:docVar w:name="LW_EMISSION_PREFIX" w:val="Brussell, "/>
    <w:docVar w:name="LW_EMISSION_SUFFIX" w:val=" "/>
    <w:docVar w:name="LW_ID_DOCTYPE_NONLW" w:val="CP-006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/2"/>
    <w:docVar w:name="LW_REF.INST.NEW_TEXT" w:val="(2018) 3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skont l-Artikolu 27 tar-Regolamenti tal-Persunal g\u295?all-Uffi\u267?jali u l-Artikolu 12 tal-Kondizzjonijiet tal-Impjieg ta' A\u289?enti O\u295?ra tal-Unjoni Ewropea (Bilan\u267? \u289?eografiku)"/>
    <w:docVar w:name="LW_TYPE.DOC.CP" w:val="RAPPORT TAL-KUMMISSJONI LILL-PARLAMENT EWROPEW U LILL-KUNSILL"/>
  </w:docVars>
  <w:rsids>
    <w:rsidRoot w:val="00253BD3"/>
    <w:rsid w:val="00253BD3"/>
    <w:rsid w:val="00F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200" w:line="276" w:lineRule="auto"/>
    </w:pPr>
    <w:rPr>
      <w:lang w:val="mt-MT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480"/>
      </w:tabs>
      <w:spacing w:before="240" w:after="240" w:line="240" w:lineRule="auto"/>
      <w:ind w:left="480" w:hanging="48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 w:line="240" w:lineRule="auto"/>
      <w:ind w:left="720" w:hanging="36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US" w:bidi="ar-SA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rPr>
      <w:rFonts w:eastAsiaTheme="majorEastAsia" w:cstheme="majorBidi"/>
      <w:b/>
      <w:bCs/>
      <w:iCs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1">
    <w:name w:val="toc 1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OCHeading">
    <w:name w:val="TOC Heading"/>
    <w:basedOn w:val="Normal"/>
    <w:next w:val="Normal"/>
    <w:link w:val="TOCHeadingChar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character" w:customStyle="1" w:styleId="text-big-bold">
    <w:name w:val="text-big-bold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OCHeadingChar">
    <w:name w:val="TOC Heading Char"/>
    <w:basedOn w:val="DefaultParagraphFont"/>
    <w:link w:val="TOCHeading"/>
    <w:uiPriority w:val="3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FooterCoverPageChar">
    <w:name w:val="Footer Cover Page Char"/>
    <w:basedOn w:val="TOCHeadingChar"/>
    <w:link w:val="FooterCoverPage"/>
    <w:rPr>
      <w:rFonts w:ascii="Times New Roman" w:eastAsia="Times New Roman" w:hAnsi="Times New Roman" w:cs="Times New Roman"/>
      <w:b w:val="0"/>
      <w:sz w:val="24"/>
      <w:szCs w:val="24"/>
      <w:lang w:val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OCHeadingChar"/>
    <w:link w:val="HeaderCoverPage"/>
    <w:rPr>
      <w:rFonts w:ascii="Times New Roman" w:eastAsia="Times New Roman" w:hAnsi="Times New Roman" w:cs="Times New Roman"/>
      <w:b w:val="0"/>
      <w:sz w:val="24"/>
      <w:szCs w:val="24"/>
      <w:lang w:val="mt-MT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OCHeadingChar"/>
    <w:link w:val="FooterSensitivity"/>
    <w:rPr>
      <w:rFonts w:ascii="Times New Roman" w:eastAsia="Times New Roman" w:hAnsi="Times New Roman" w:cs="Times New Roman"/>
      <w:b/>
      <w:sz w:val="32"/>
      <w:szCs w:val="24"/>
      <w:lang w:val="mt-MT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OCHeadingChar"/>
    <w:link w:val="HeaderSensitivity"/>
    <w:rPr>
      <w:rFonts w:ascii="Times New Roman" w:eastAsia="Times New Roman" w:hAnsi="Times New Roman" w:cs="Times New Roman"/>
      <w:b/>
      <w:sz w:val="32"/>
      <w:szCs w:val="24"/>
      <w:lang w:val="mt-MT"/>
    </w:rPr>
  </w:style>
  <w:style w:type="paragraph" w:styleId="Revision">
    <w:name w:val="Revision"/>
    <w:hidden/>
    <w:uiPriority w:val="99"/>
    <w:semiHidden/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teHead">
    <w:name w:val="NoteHead"/>
    <w:basedOn w:val="Normal"/>
    <w:next w:val="Normal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US" w:bidi="ar-SA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Text2">
    <w:name w:val="Text 2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Text4">
    <w:name w:val="Text 4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">
    <w:name w:val="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customStyle="1" w:styleId="ChapterTitle">
    <w:name w:val="ChapterTitle"/>
    <w:basedOn w:val="Normal"/>
    <w:next w:val="SectionTitle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 w:bidi="ar-SA"/>
    </w:rPr>
  </w:style>
  <w:style w:type="paragraph" w:customStyle="1" w:styleId="SectionTitle">
    <w:name w:val="SectionTitle"/>
    <w:basedOn w:val="Normal"/>
    <w:next w:val="Heading1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en-US" w:bidi="ar-SA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4"/>
      <w:szCs w:val="20"/>
      <w:shd w:val="clear" w:color="auto" w:fill="000080"/>
      <w:lang w:eastAsia="en-US" w:bidi="ar-S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EndnoteText">
    <w:name w:val="endnote text"/>
    <w:basedOn w:val="Normal"/>
    <w:link w:val="Endnote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US" w:bidi="ar-SA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27"/>
      </w:numPr>
      <w:tabs>
        <w:tab w:val="clear" w:pos="360"/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2">
    <w:name w:val="List Bullet 2"/>
    <w:basedOn w:val="Text2"/>
    <w:pPr>
      <w:numPr>
        <w:numId w:val="4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5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6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28"/>
      </w:numPr>
      <w:tabs>
        <w:tab w:val="clear" w:pos="360"/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2">
    <w:name w:val="List Number 2"/>
    <w:basedOn w:val="Text2"/>
    <w:pPr>
      <w:numPr>
        <w:numId w:val="14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5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6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en-US" w:bidi="ar-SA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eastAsia="en-US" w:bidi="ar-SA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bCs/>
    </w:rPr>
  </w:style>
  <w:style w:type="paragraph" w:customStyle="1" w:styleId="NumPar2">
    <w:name w:val="NumPar 2"/>
    <w:basedOn w:val="Heading2"/>
    <w:next w:val="Text2"/>
    <w:pPr>
      <w:keepNext w:val="0"/>
      <w:numPr>
        <w:ilvl w:val="1"/>
      </w:numPr>
      <w:tabs>
        <w:tab w:val="num" w:pos="567"/>
      </w:tabs>
      <w:spacing w:before="0" w:after="240"/>
      <w:ind w:left="567" w:hanging="567"/>
      <w:jc w:val="both"/>
      <w:outlineLvl w:val="9"/>
    </w:pPr>
    <w:rPr>
      <w:rFonts w:ascii="Times New Roman" w:eastAsia="Times New Roman" w:hAnsi="Times New Roman" w:cs="Times New Roman"/>
      <w:b w:val="0"/>
      <w:bCs w:val="0"/>
      <w:iCs w:val="0"/>
      <w:sz w:val="24"/>
      <w:szCs w:val="20"/>
      <w:lang w:eastAsia="en-US" w:bidi="ar-SA"/>
    </w:rPr>
  </w:style>
  <w:style w:type="paragraph" w:customStyle="1" w:styleId="NumPar3">
    <w:name w:val="NumPar 3"/>
    <w:basedOn w:val="Heading3"/>
    <w:next w:val="Text3"/>
    <w:pPr>
      <w:keepNext w:val="0"/>
      <w:keepLines w:val="0"/>
      <w:numPr>
        <w:ilvl w:val="2"/>
      </w:numPr>
      <w:tabs>
        <w:tab w:val="num" w:pos="709"/>
      </w:tabs>
      <w:spacing w:before="0" w:after="240" w:line="240" w:lineRule="auto"/>
      <w:ind w:left="709" w:hanging="709"/>
      <w:jc w:val="both"/>
      <w:outlineLvl w:val="9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customStyle="1" w:styleId="NumPar4">
    <w:name w:val="NumPar 4"/>
    <w:basedOn w:val="Heading4"/>
    <w:next w:val="Text4"/>
    <w:pPr>
      <w:keepNext w:val="0"/>
      <w:keepLines w:val="0"/>
      <w:numPr>
        <w:ilvl w:val="3"/>
      </w:numPr>
      <w:tabs>
        <w:tab w:val="num" w:pos="851"/>
      </w:tabs>
      <w:spacing w:before="0" w:after="240" w:line="240" w:lineRule="auto"/>
      <w:ind w:left="851" w:hanging="851"/>
      <w:jc w:val="both"/>
      <w:outlineLvl w:val="9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eastAsia="en-US" w:bidi="ar-SA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 w:bidi="ar-SA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eastAsia="en-US" w:bidi="ar-SA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US" w:bidi="ar-SA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 w:bidi="ar-SA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itle">
    <w:name w:val="Title"/>
    <w:basedOn w:val="Normal"/>
    <w:next w:val="SubTitle1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eastAsia="en-US" w:bidi="ar-SA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US" w:bidi="ar-SA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eastAsia="en-US" w:bidi="ar-SA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Text1"/>
    <w:pPr>
      <w:numPr>
        <w:numId w:val="3"/>
      </w:numPr>
      <w:spacing w:before="0" w:after="240"/>
    </w:pPr>
    <w:rPr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1">
    <w:name w:val="List Dash 1"/>
    <w:basedOn w:val="Text1"/>
    <w:pPr>
      <w:numPr>
        <w:numId w:val="8"/>
      </w:numPr>
      <w:spacing w:before="0" w:after="240"/>
    </w:pPr>
    <w:rPr>
      <w:szCs w:val="20"/>
      <w:lang w:eastAsia="en-US" w:bidi="ar-SA"/>
    </w:rPr>
  </w:style>
  <w:style w:type="paragraph" w:customStyle="1" w:styleId="ListDash2">
    <w:name w:val="List Dash 2"/>
    <w:basedOn w:val="Text2"/>
    <w:pPr>
      <w:numPr>
        <w:numId w:val="9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0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1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Text1"/>
    <w:pPr>
      <w:numPr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14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4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4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5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5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5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6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6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6"/>
      </w:numPr>
      <w:tabs>
        <w:tab w:val="clear" w:pos="2302"/>
      </w:tabs>
    </w:p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Designator">
    <w:name w:val="Designator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en-US" w:bidi="ar-SA"/>
    </w:rPr>
  </w:style>
  <w:style w:type="paragraph" w:customStyle="1" w:styleId="Releasable">
    <w:name w:val="Releasab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 w:eastAsia="en-US" w:bidi="ar-SA"/>
    </w:rPr>
  </w:style>
  <w:style w:type="paragraph" w:customStyle="1" w:styleId="RUE">
    <w:name w:val="R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 w:eastAsia="en-US" w:bidi="ar-SA"/>
    </w:rPr>
  </w:style>
  <w:style w:type="paragraph" w:customStyle="1" w:styleId="ConfidentialUE">
    <w:name w:val="Confidential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eastAsia="en-US" w:bidi="ar-SA"/>
    </w:rPr>
  </w:style>
  <w:style w:type="paragraph" w:customStyle="1" w:styleId="SecretUE">
    <w:name w:val="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  <w:lang w:eastAsia="en-US" w:bidi="ar-SA"/>
    </w:rPr>
  </w:style>
  <w:style w:type="paragraph" w:customStyle="1" w:styleId="TrsSecretUE">
    <w:name w:val="Très 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  <w:lang w:eastAsia="en-US" w:bidi="ar-SA"/>
    </w:rPr>
  </w:style>
  <w:style w:type="paragraph" w:customStyle="1" w:styleId="LegalNumPar">
    <w:name w:val="LegalNumPar"/>
    <w:basedOn w:val="Normal"/>
    <w:pPr>
      <w:numPr>
        <w:numId w:val="17"/>
      </w:numPr>
      <w:spacing w:after="24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egalNumPar2">
    <w:name w:val="LegalNumPar2"/>
    <w:basedOn w:val="Normal"/>
    <w:pPr>
      <w:numPr>
        <w:ilvl w:val="1"/>
        <w:numId w:val="17"/>
      </w:numPr>
      <w:spacing w:after="240" w:line="360" w:lineRule="auto"/>
      <w:ind w:left="952" w:hanging="476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egalNumPar3">
    <w:name w:val="LegalNumPar3"/>
    <w:basedOn w:val="Normal"/>
    <w:pPr>
      <w:numPr>
        <w:ilvl w:val="2"/>
        <w:numId w:val="17"/>
      </w:numPr>
      <w:spacing w:after="24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bidi="ar-SA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bidi="ar-SA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ret2">
    <w:name w:val="Tiret 2"/>
    <w:basedOn w:val="Normal"/>
    <w:pPr>
      <w:spacing w:before="120" w:after="120" w:line="240" w:lineRule="auto"/>
      <w:ind w:left="1985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idrant">
    <w:name w:val="Considérant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200" w:line="276" w:lineRule="auto"/>
    </w:pPr>
    <w:rPr>
      <w:lang w:val="mt-MT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480"/>
      </w:tabs>
      <w:spacing w:before="240" w:after="240" w:line="240" w:lineRule="auto"/>
      <w:ind w:left="480" w:hanging="48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 w:line="240" w:lineRule="auto"/>
      <w:ind w:left="720" w:hanging="36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US" w:bidi="ar-SA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rPr>
      <w:rFonts w:eastAsiaTheme="majorEastAsia" w:cstheme="majorBidi"/>
      <w:b/>
      <w:bCs/>
      <w:iCs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1">
    <w:name w:val="toc 1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OCHeading">
    <w:name w:val="TOC Heading"/>
    <w:basedOn w:val="Normal"/>
    <w:next w:val="Normal"/>
    <w:link w:val="TOCHeadingChar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character" w:customStyle="1" w:styleId="text-big-bold">
    <w:name w:val="text-big-bold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OCHeadingChar">
    <w:name w:val="TOC Heading Char"/>
    <w:basedOn w:val="DefaultParagraphFont"/>
    <w:link w:val="TOCHeading"/>
    <w:uiPriority w:val="3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FooterCoverPageChar">
    <w:name w:val="Footer Cover Page Char"/>
    <w:basedOn w:val="TOCHeadingChar"/>
    <w:link w:val="FooterCoverPage"/>
    <w:rPr>
      <w:rFonts w:ascii="Times New Roman" w:eastAsia="Times New Roman" w:hAnsi="Times New Roman" w:cs="Times New Roman"/>
      <w:b w:val="0"/>
      <w:sz w:val="24"/>
      <w:szCs w:val="24"/>
      <w:lang w:val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OCHeadingChar"/>
    <w:link w:val="HeaderCoverPage"/>
    <w:rPr>
      <w:rFonts w:ascii="Times New Roman" w:eastAsia="Times New Roman" w:hAnsi="Times New Roman" w:cs="Times New Roman"/>
      <w:b w:val="0"/>
      <w:sz w:val="24"/>
      <w:szCs w:val="24"/>
      <w:lang w:val="mt-MT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OCHeadingChar"/>
    <w:link w:val="FooterSensitivity"/>
    <w:rPr>
      <w:rFonts w:ascii="Times New Roman" w:eastAsia="Times New Roman" w:hAnsi="Times New Roman" w:cs="Times New Roman"/>
      <w:b/>
      <w:sz w:val="32"/>
      <w:szCs w:val="24"/>
      <w:lang w:val="mt-MT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OCHeadingChar"/>
    <w:link w:val="HeaderSensitivity"/>
    <w:rPr>
      <w:rFonts w:ascii="Times New Roman" w:eastAsia="Times New Roman" w:hAnsi="Times New Roman" w:cs="Times New Roman"/>
      <w:b/>
      <w:sz w:val="32"/>
      <w:szCs w:val="24"/>
      <w:lang w:val="mt-MT"/>
    </w:rPr>
  </w:style>
  <w:style w:type="paragraph" w:styleId="Revision">
    <w:name w:val="Revision"/>
    <w:hidden/>
    <w:uiPriority w:val="99"/>
    <w:semiHidden/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teHead">
    <w:name w:val="NoteHead"/>
    <w:basedOn w:val="Normal"/>
    <w:next w:val="Normal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US" w:bidi="ar-SA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Text2">
    <w:name w:val="Text 2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Text4">
    <w:name w:val="Text 4"/>
    <w:basedOn w:val="Normal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">
    <w:name w:val="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eastAsia="en-US" w:bidi="ar-SA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customStyle="1" w:styleId="ChapterTitle">
    <w:name w:val="ChapterTitle"/>
    <w:basedOn w:val="Normal"/>
    <w:next w:val="SectionTitle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 w:bidi="ar-SA"/>
    </w:rPr>
  </w:style>
  <w:style w:type="paragraph" w:customStyle="1" w:styleId="SectionTitle">
    <w:name w:val="SectionTitle"/>
    <w:basedOn w:val="Normal"/>
    <w:next w:val="Heading1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en-US" w:bidi="ar-SA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4"/>
      <w:szCs w:val="20"/>
      <w:shd w:val="clear" w:color="auto" w:fill="000080"/>
      <w:lang w:eastAsia="en-US" w:bidi="ar-S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EndnoteText">
    <w:name w:val="endnote text"/>
    <w:basedOn w:val="Normal"/>
    <w:link w:val="EndnoteTextChar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US" w:bidi="ar-SA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27"/>
      </w:numPr>
      <w:tabs>
        <w:tab w:val="clear" w:pos="360"/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2">
    <w:name w:val="List Bullet 2"/>
    <w:basedOn w:val="Text2"/>
    <w:pPr>
      <w:numPr>
        <w:numId w:val="4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5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6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28"/>
      </w:numPr>
      <w:tabs>
        <w:tab w:val="clear" w:pos="360"/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2">
    <w:name w:val="List Number 2"/>
    <w:basedOn w:val="Text2"/>
    <w:pPr>
      <w:numPr>
        <w:numId w:val="14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5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6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en-US" w:bidi="ar-SA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eastAsia="en-US" w:bidi="ar-SA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SA"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bCs/>
    </w:rPr>
  </w:style>
  <w:style w:type="paragraph" w:customStyle="1" w:styleId="NumPar2">
    <w:name w:val="NumPar 2"/>
    <w:basedOn w:val="Heading2"/>
    <w:next w:val="Text2"/>
    <w:pPr>
      <w:keepNext w:val="0"/>
      <w:numPr>
        <w:ilvl w:val="1"/>
      </w:numPr>
      <w:tabs>
        <w:tab w:val="num" w:pos="567"/>
      </w:tabs>
      <w:spacing w:before="0" w:after="240"/>
      <w:ind w:left="567" w:hanging="567"/>
      <w:jc w:val="both"/>
      <w:outlineLvl w:val="9"/>
    </w:pPr>
    <w:rPr>
      <w:rFonts w:ascii="Times New Roman" w:eastAsia="Times New Roman" w:hAnsi="Times New Roman" w:cs="Times New Roman"/>
      <w:b w:val="0"/>
      <w:bCs w:val="0"/>
      <w:iCs w:val="0"/>
      <w:sz w:val="24"/>
      <w:szCs w:val="20"/>
      <w:lang w:eastAsia="en-US" w:bidi="ar-SA"/>
    </w:rPr>
  </w:style>
  <w:style w:type="paragraph" w:customStyle="1" w:styleId="NumPar3">
    <w:name w:val="NumPar 3"/>
    <w:basedOn w:val="Heading3"/>
    <w:next w:val="Text3"/>
    <w:pPr>
      <w:keepNext w:val="0"/>
      <w:keepLines w:val="0"/>
      <w:numPr>
        <w:ilvl w:val="2"/>
      </w:numPr>
      <w:tabs>
        <w:tab w:val="num" w:pos="709"/>
      </w:tabs>
      <w:spacing w:before="0" w:after="240" w:line="240" w:lineRule="auto"/>
      <w:ind w:left="709" w:hanging="709"/>
      <w:jc w:val="both"/>
      <w:outlineLvl w:val="9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customStyle="1" w:styleId="NumPar4">
    <w:name w:val="NumPar 4"/>
    <w:basedOn w:val="Heading4"/>
    <w:next w:val="Text4"/>
    <w:pPr>
      <w:keepNext w:val="0"/>
      <w:keepLines w:val="0"/>
      <w:numPr>
        <w:ilvl w:val="3"/>
      </w:numPr>
      <w:tabs>
        <w:tab w:val="num" w:pos="851"/>
      </w:tabs>
      <w:spacing w:before="0" w:after="240" w:line="240" w:lineRule="auto"/>
      <w:ind w:left="851" w:hanging="851"/>
      <w:jc w:val="both"/>
      <w:outlineLvl w:val="9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eastAsia="en-US" w:bidi="ar-SA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 w:bidi="ar-SA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eastAsia="en-US" w:bidi="ar-SA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US" w:bidi="ar-SA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 w:bidi="ar-SA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itle">
    <w:name w:val="Title"/>
    <w:basedOn w:val="Normal"/>
    <w:next w:val="SubTitle1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eastAsia="en-US" w:bidi="ar-SA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US" w:bidi="ar-SA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eastAsia="en-US" w:bidi="ar-SA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Text1"/>
    <w:pPr>
      <w:numPr>
        <w:numId w:val="3"/>
      </w:numPr>
      <w:spacing w:before="0" w:after="240"/>
    </w:pPr>
    <w:rPr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1">
    <w:name w:val="List Dash 1"/>
    <w:basedOn w:val="Text1"/>
    <w:pPr>
      <w:numPr>
        <w:numId w:val="8"/>
      </w:numPr>
      <w:spacing w:before="0" w:after="240"/>
    </w:pPr>
    <w:rPr>
      <w:szCs w:val="20"/>
      <w:lang w:eastAsia="en-US" w:bidi="ar-SA"/>
    </w:rPr>
  </w:style>
  <w:style w:type="paragraph" w:customStyle="1" w:styleId="ListDash2">
    <w:name w:val="List Dash 2"/>
    <w:basedOn w:val="Text2"/>
    <w:pPr>
      <w:numPr>
        <w:numId w:val="9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0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1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Text1"/>
    <w:pPr>
      <w:numPr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13"/>
      </w:numPr>
      <w:spacing w:before="0" w:after="240"/>
    </w:pPr>
    <w:rPr>
      <w:szCs w:val="20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14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4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4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5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5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5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6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6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6"/>
      </w:numPr>
      <w:tabs>
        <w:tab w:val="clear" w:pos="2302"/>
      </w:tabs>
    </w:p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Designator">
    <w:name w:val="Designator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en-US" w:bidi="ar-SA"/>
    </w:rPr>
  </w:style>
  <w:style w:type="paragraph" w:customStyle="1" w:styleId="Releasable">
    <w:name w:val="Releasab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 w:eastAsia="en-US" w:bidi="ar-SA"/>
    </w:rPr>
  </w:style>
  <w:style w:type="paragraph" w:customStyle="1" w:styleId="RUE">
    <w:name w:val="R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 w:eastAsia="en-US" w:bidi="ar-SA"/>
    </w:rPr>
  </w:style>
  <w:style w:type="paragraph" w:customStyle="1" w:styleId="ConfidentialUE">
    <w:name w:val="Confidential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eastAsia="en-US" w:bidi="ar-SA"/>
    </w:rPr>
  </w:style>
  <w:style w:type="paragraph" w:customStyle="1" w:styleId="SecretUE">
    <w:name w:val="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  <w:lang w:eastAsia="en-US" w:bidi="ar-SA"/>
    </w:rPr>
  </w:style>
  <w:style w:type="paragraph" w:customStyle="1" w:styleId="TrsSecretUE">
    <w:name w:val="Très 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  <w:lang w:eastAsia="en-US" w:bidi="ar-SA"/>
    </w:rPr>
  </w:style>
  <w:style w:type="paragraph" w:customStyle="1" w:styleId="LegalNumPar">
    <w:name w:val="LegalNumPar"/>
    <w:basedOn w:val="Normal"/>
    <w:pPr>
      <w:numPr>
        <w:numId w:val="17"/>
      </w:numPr>
      <w:spacing w:after="24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egalNumPar2">
    <w:name w:val="LegalNumPar2"/>
    <w:basedOn w:val="Normal"/>
    <w:pPr>
      <w:numPr>
        <w:ilvl w:val="1"/>
        <w:numId w:val="17"/>
      </w:numPr>
      <w:spacing w:after="240" w:line="360" w:lineRule="auto"/>
      <w:ind w:left="952" w:hanging="476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LegalNumPar3">
    <w:name w:val="LegalNumPar3"/>
    <w:basedOn w:val="Normal"/>
    <w:pPr>
      <w:numPr>
        <w:ilvl w:val="2"/>
        <w:numId w:val="17"/>
      </w:numPr>
      <w:spacing w:after="240" w:line="360" w:lineRule="auto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bidi="ar-SA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bidi="ar-SA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ret2">
    <w:name w:val="Tiret 2"/>
    <w:basedOn w:val="Normal"/>
    <w:pPr>
      <w:spacing w:before="120" w:after="120" w:line="240" w:lineRule="auto"/>
      <w:ind w:left="1985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idrant">
    <w:name w:val="Considérant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66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9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8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0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4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0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0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20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34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769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5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5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5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4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0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0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490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9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8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6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5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53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63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header" Target="header23.xml"/><Relationship Id="rId63" Type="http://schemas.openxmlformats.org/officeDocument/2006/relationships/footer" Target="footer26.xml"/><Relationship Id="rId68" Type="http://schemas.openxmlformats.org/officeDocument/2006/relationships/footer" Target="footer28.xml"/><Relationship Id="rId76" Type="http://schemas.openxmlformats.org/officeDocument/2006/relationships/header" Target="header33.xml"/><Relationship Id="rId84" Type="http://schemas.openxmlformats.org/officeDocument/2006/relationships/header" Target="header37.xml"/><Relationship Id="rId89" Type="http://schemas.openxmlformats.org/officeDocument/2006/relationships/footer" Target="footer39.xml"/><Relationship Id="rId7" Type="http://schemas.openxmlformats.org/officeDocument/2006/relationships/footnotes" Target="footnotes.xml"/><Relationship Id="rId71" Type="http://schemas.openxmlformats.org/officeDocument/2006/relationships/footer" Target="footer3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chart" Target="charts/chart2.xml"/><Relationship Id="rId58" Type="http://schemas.openxmlformats.org/officeDocument/2006/relationships/header" Target="header24.xml"/><Relationship Id="rId66" Type="http://schemas.openxmlformats.org/officeDocument/2006/relationships/header" Target="header28.xml"/><Relationship Id="rId74" Type="http://schemas.openxmlformats.org/officeDocument/2006/relationships/footer" Target="footer31.xml"/><Relationship Id="rId79" Type="http://schemas.openxmlformats.org/officeDocument/2006/relationships/header" Target="header35.xml"/><Relationship Id="rId87" Type="http://schemas.openxmlformats.org/officeDocument/2006/relationships/footer" Target="footer38.xml"/><Relationship Id="rId5" Type="http://schemas.openxmlformats.org/officeDocument/2006/relationships/settings" Target="settings.xml"/><Relationship Id="rId61" Type="http://schemas.openxmlformats.org/officeDocument/2006/relationships/header" Target="header26.xml"/><Relationship Id="rId82" Type="http://schemas.openxmlformats.org/officeDocument/2006/relationships/header" Target="header36.xml"/><Relationship Id="rId90" Type="http://schemas.openxmlformats.org/officeDocument/2006/relationships/fontTable" Target="fontTable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footer" Target="footer22.xml"/><Relationship Id="rId64" Type="http://schemas.openxmlformats.org/officeDocument/2006/relationships/header" Target="header27.xml"/><Relationship Id="rId69" Type="http://schemas.openxmlformats.org/officeDocument/2006/relationships/footer" Target="footer29.xml"/><Relationship Id="rId77" Type="http://schemas.openxmlformats.org/officeDocument/2006/relationships/footer" Target="footer33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header" Target="header31.xml"/><Relationship Id="rId80" Type="http://schemas.openxmlformats.org/officeDocument/2006/relationships/footer" Target="footer34.xml"/><Relationship Id="rId85" Type="http://schemas.openxmlformats.org/officeDocument/2006/relationships/header" Target="header38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4.xml"/><Relationship Id="rId67" Type="http://schemas.openxmlformats.org/officeDocument/2006/relationships/header" Target="header29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54" Type="http://schemas.openxmlformats.org/officeDocument/2006/relationships/header" Target="header22.xml"/><Relationship Id="rId62" Type="http://schemas.openxmlformats.org/officeDocument/2006/relationships/footer" Target="footer25.xml"/><Relationship Id="rId70" Type="http://schemas.openxmlformats.org/officeDocument/2006/relationships/header" Target="header30.xml"/><Relationship Id="rId75" Type="http://schemas.openxmlformats.org/officeDocument/2006/relationships/footer" Target="footer32.xml"/><Relationship Id="rId83" Type="http://schemas.openxmlformats.org/officeDocument/2006/relationships/footer" Target="footer36.xml"/><Relationship Id="rId88" Type="http://schemas.openxmlformats.org/officeDocument/2006/relationships/header" Target="header39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3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chart" Target="charts/chart1.xml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73" Type="http://schemas.openxmlformats.org/officeDocument/2006/relationships/header" Target="header32.xml"/><Relationship Id="rId78" Type="http://schemas.openxmlformats.org/officeDocument/2006/relationships/header" Target="header34.xml"/><Relationship Id="rId81" Type="http://schemas.openxmlformats.org/officeDocument/2006/relationships/footer" Target="footer35.xml"/><Relationship Id="rId86" Type="http://schemas.openxmlformats.org/officeDocument/2006/relationships/footer" Target="footer37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et1.cec.eu.int\HR\B\DIR\Adviser%20TM%20Armani\03%20Geographical%20balance\Rapport%20Art%2027\Versions%20sans%20maximum\Liste%2013%20-%20%202017%2001%2001%20tool%20simulatio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et1.cec.eu.int\HR\B\DIR\Adviser%20TM%20Armani\03%20Geographical%20balance\Rapport%20Art%2027\Versions%20sans%20maximum\Liste%2013%20-%20%202017%2001%2001%20tool%20simul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mt-MT" sz="1400" b="1" i="0" baseline="0">
                <a:effectLst/>
              </a:rPr>
              <a:t>Uffiċjali Brittaniċi mhux maniġerjali AD skont l-età fl-1 ta’ Jannar 2017 (persuni)</a:t>
            </a:r>
          </a:p>
        </c:rich>
      </c:tx>
      <c:layout>
        <c:manualLayout>
          <c:xMode val="edge"/>
          <c:yMode val="edge"/>
          <c:x val="7.8674463937621841E-2"/>
          <c:y val="4.1666666666666664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'UK worksheet'!$A$15</c:f>
              <c:strCache>
                <c:ptCount val="1"/>
                <c:pt idx="0">
                  <c:v>GBR</c:v>
                </c:pt>
              </c:strCache>
            </c:strRef>
          </c:tx>
          <c:marker>
            <c:symbol val="none"/>
          </c:marker>
          <c:cat>
            <c:numRef>
              <c:f>'UK worksheet'!$B$14:$AN$14</c:f>
              <c:numCache>
                <c:formatCode>0</c:formatCode>
                <c:ptCount val="39"/>
                <c:pt idx="0">
                  <c:v>25</c:v>
                </c:pt>
                <c:pt idx="1">
                  <c:v>27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  <c:pt idx="13">
                  <c:v>40</c:v>
                </c:pt>
                <c:pt idx="14">
                  <c:v>41</c:v>
                </c:pt>
                <c:pt idx="15">
                  <c:v>42</c:v>
                </c:pt>
                <c:pt idx="16">
                  <c:v>43</c:v>
                </c:pt>
                <c:pt idx="17">
                  <c:v>44</c:v>
                </c:pt>
                <c:pt idx="18">
                  <c:v>45</c:v>
                </c:pt>
                <c:pt idx="19">
                  <c:v>46</c:v>
                </c:pt>
                <c:pt idx="20">
                  <c:v>47</c:v>
                </c:pt>
                <c:pt idx="21">
                  <c:v>48</c:v>
                </c:pt>
                <c:pt idx="22">
                  <c:v>49</c:v>
                </c:pt>
                <c:pt idx="23">
                  <c:v>50</c:v>
                </c:pt>
                <c:pt idx="24">
                  <c:v>51</c:v>
                </c:pt>
                <c:pt idx="25">
                  <c:v>52</c:v>
                </c:pt>
                <c:pt idx="26">
                  <c:v>53</c:v>
                </c:pt>
                <c:pt idx="27">
                  <c:v>54</c:v>
                </c:pt>
                <c:pt idx="28">
                  <c:v>55</c:v>
                </c:pt>
                <c:pt idx="29">
                  <c:v>56</c:v>
                </c:pt>
                <c:pt idx="30">
                  <c:v>57</c:v>
                </c:pt>
                <c:pt idx="31">
                  <c:v>58</c:v>
                </c:pt>
                <c:pt idx="32">
                  <c:v>59</c:v>
                </c:pt>
                <c:pt idx="33">
                  <c:v>60</c:v>
                </c:pt>
                <c:pt idx="34">
                  <c:v>61</c:v>
                </c:pt>
                <c:pt idx="35">
                  <c:v>62</c:v>
                </c:pt>
                <c:pt idx="36">
                  <c:v>63</c:v>
                </c:pt>
                <c:pt idx="37">
                  <c:v>64</c:v>
                </c:pt>
                <c:pt idx="38" formatCode="General">
                  <c:v>65</c:v>
                </c:pt>
              </c:numCache>
            </c:numRef>
          </c:cat>
          <c:val>
            <c:numRef>
              <c:f>'UK worksheet'!$B$15:$AN$15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13</c:v>
                </c:pt>
                <c:pt idx="10">
                  <c:v>5</c:v>
                </c:pt>
                <c:pt idx="11">
                  <c:v>15</c:v>
                </c:pt>
                <c:pt idx="12">
                  <c:v>7</c:v>
                </c:pt>
                <c:pt idx="13">
                  <c:v>16</c:v>
                </c:pt>
                <c:pt idx="14">
                  <c:v>8</c:v>
                </c:pt>
                <c:pt idx="15">
                  <c:v>11</c:v>
                </c:pt>
                <c:pt idx="16">
                  <c:v>12</c:v>
                </c:pt>
                <c:pt idx="17">
                  <c:v>13</c:v>
                </c:pt>
                <c:pt idx="18">
                  <c:v>21</c:v>
                </c:pt>
                <c:pt idx="19">
                  <c:v>13</c:v>
                </c:pt>
                <c:pt idx="20">
                  <c:v>19</c:v>
                </c:pt>
                <c:pt idx="21">
                  <c:v>16</c:v>
                </c:pt>
                <c:pt idx="22">
                  <c:v>25</c:v>
                </c:pt>
                <c:pt idx="23">
                  <c:v>17</c:v>
                </c:pt>
                <c:pt idx="24">
                  <c:v>26</c:v>
                </c:pt>
                <c:pt idx="25">
                  <c:v>31</c:v>
                </c:pt>
                <c:pt idx="26">
                  <c:v>14</c:v>
                </c:pt>
                <c:pt idx="27">
                  <c:v>26</c:v>
                </c:pt>
                <c:pt idx="28">
                  <c:v>26</c:v>
                </c:pt>
                <c:pt idx="29">
                  <c:v>20</c:v>
                </c:pt>
                <c:pt idx="30">
                  <c:v>20</c:v>
                </c:pt>
                <c:pt idx="31">
                  <c:v>30</c:v>
                </c:pt>
                <c:pt idx="32">
                  <c:v>15</c:v>
                </c:pt>
                <c:pt idx="33">
                  <c:v>20</c:v>
                </c:pt>
                <c:pt idx="34">
                  <c:v>10</c:v>
                </c:pt>
                <c:pt idx="35">
                  <c:v>8</c:v>
                </c:pt>
                <c:pt idx="36">
                  <c:v>10</c:v>
                </c:pt>
                <c:pt idx="37">
                  <c:v>7</c:v>
                </c:pt>
                <c:pt idx="3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634560"/>
        <c:axId val="146866944"/>
      </c:lineChart>
      <c:catAx>
        <c:axId val="1416345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46866944"/>
        <c:crosses val="autoZero"/>
        <c:auto val="1"/>
        <c:lblAlgn val="ctr"/>
        <c:lblOffset val="100"/>
        <c:noMultiLvlLbl val="0"/>
      </c:catAx>
      <c:valAx>
        <c:axId val="146866944"/>
        <c:scaling>
          <c:orientation val="minMax"/>
          <c:max val="3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41634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mt-MT"/>
              <a:t>Uffiċjali Brittaniċi mhux maniġerjali AD skont l-età fl-1 ta’ Jannar 2017 (akkumulati)</a:t>
            </a:r>
          </a:p>
        </c:rich>
      </c:tx>
      <c:layout>
        <c:manualLayout>
          <c:xMode val="edge"/>
          <c:yMode val="edge"/>
          <c:x val="0.11870741954249603"/>
          <c:y val="4.1666666666666664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3"/>
          <c:order val="0"/>
          <c:tx>
            <c:strRef>
              <c:f>'UK worksheet'!$A$17</c:f>
              <c:strCache>
                <c:ptCount val="1"/>
                <c:pt idx="0">
                  <c:v>Cumulated presence %ge</c:v>
                </c:pt>
              </c:strCache>
            </c:strRef>
          </c:tx>
          <c:marker>
            <c:symbol val="none"/>
          </c:marker>
          <c:cat>
            <c:numRef>
              <c:f>'UK worksheet'!$B$14:$AN$14</c:f>
              <c:numCache>
                <c:formatCode>0</c:formatCode>
                <c:ptCount val="39"/>
                <c:pt idx="0">
                  <c:v>25</c:v>
                </c:pt>
                <c:pt idx="1">
                  <c:v>27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  <c:pt idx="13">
                  <c:v>40</c:v>
                </c:pt>
                <c:pt idx="14">
                  <c:v>41</c:v>
                </c:pt>
                <c:pt idx="15">
                  <c:v>42</c:v>
                </c:pt>
                <c:pt idx="16">
                  <c:v>43</c:v>
                </c:pt>
                <c:pt idx="17">
                  <c:v>44</c:v>
                </c:pt>
                <c:pt idx="18">
                  <c:v>45</c:v>
                </c:pt>
                <c:pt idx="19">
                  <c:v>46</c:v>
                </c:pt>
                <c:pt idx="20">
                  <c:v>47</c:v>
                </c:pt>
                <c:pt idx="21">
                  <c:v>48</c:v>
                </c:pt>
                <c:pt idx="22">
                  <c:v>49</c:v>
                </c:pt>
                <c:pt idx="23">
                  <c:v>50</c:v>
                </c:pt>
                <c:pt idx="24">
                  <c:v>51</c:v>
                </c:pt>
                <c:pt idx="25">
                  <c:v>52</c:v>
                </c:pt>
                <c:pt idx="26">
                  <c:v>53</c:v>
                </c:pt>
                <c:pt idx="27">
                  <c:v>54</c:v>
                </c:pt>
                <c:pt idx="28">
                  <c:v>55</c:v>
                </c:pt>
                <c:pt idx="29">
                  <c:v>56</c:v>
                </c:pt>
                <c:pt idx="30">
                  <c:v>57</c:v>
                </c:pt>
                <c:pt idx="31">
                  <c:v>58</c:v>
                </c:pt>
                <c:pt idx="32">
                  <c:v>59</c:v>
                </c:pt>
                <c:pt idx="33">
                  <c:v>60</c:v>
                </c:pt>
                <c:pt idx="34">
                  <c:v>61</c:v>
                </c:pt>
                <c:pt idx="35">
                  <c:v>62</c:v>
                </c:pt>
                <c:pt idx="36">
                  <c:v>63</c:v>
                </c:pt>
                <c:pt idx="37">
                  <c:v>64</c:v>
                </c:pt>
                <c:pt idx="38" formatCode="General">
                  <c:v>65</c:v>
                </c:pt>
              </c:numCache>
            </c:numRef>
          </c:cat>
          <c:val>
            <c:numRef>
              <c:f>'UK worksheet'!$B$17:$AN$17</c:f>
              <c:numCache>
                <c:formatCode>0%</c:formatCode>
                <c:ptCount val="39"/>
                <c:pt idx="0">
                  <c:v>1.968503937007874E-3</c:v>
                </c:pt>
                <c:pt idx="1">
                  <c:v>5.905511811023622E-3</c:v>
                </c:pt>
                <c:pt idx="2">
                  <c:v>1.1811023622047244E-2</c:v>
                </c:pt>
                <c:pt idx="3">
                  <c:v>1.968503937007874E-2</c:v>
                </c:pt>
                <c:pt idx="4">
                  <c:v>2.1653543307086614E-2</c:v>
                </c:pt>
                <c:pt idx="5">
                  <c:v>3.937007874015748E-2</c:v>
                </c:pt>
                <c:pt idx="6">
                  <c:v>4.7244094488188976E-2</c:v>
                </c:pt>
                <c:pt idx="7">
                  <c:v>5.5118110236220472E-2</c:v>
                </c:pt>
                <c:pt idx="8">
                  <c:v>6.4960629921259838E-2</c:v>
                </c:pt>
                <c:pt idx="9">
                  <c:v>9.055118110236221E-2</c:v>
                </c:pt>
                <c:pt idx="10">
                  <c:v>0.10039370078740158</c:v>
                </c:pt>
                <c:pt idx="11">
                  <c:v>0.12992125984251968</c:v>
                </c:pt>
                <c:pt idx="12">
                  <c:v>0.1437007874015748</c:v>
                </c:pt>
                <c:pt idx="13">
                  <c:v>0.17519685039370078</c:v>
                </c:pt>
                <c:pt idx="14">
                  <c:v>0.19094488188976377</c:v>
                </c:pt>
                <c:pt idx="15">
                  <c:v>0.2125984251968504</c:v>
                </c:pt>
                <c:pt idx="16">
                  <c:v>0.23622047244094488</c:v>
                </c:pt>
                <c:pt idx="17">
                  <c:v>0.26181102362204722</c:v>
                </c:pt>
                <c:pt idx="18">
                  <c:v>0.30314960629921262</c:v>
                </c:pt>
                <c:pt idx="19">
                  <c:v>0.32874015748031499</c:v>
                </c:pt>
                <c:pt idx="20">
                  <c:v>0.36614173228346458</c:v>
                </c:pt>
                <c:pt idx="21">
                  <c:v>0.39763779527559057</c:v>
                </c:pt>
                <c:pt idx="22">
                  <c:v>0.44685039370078738</c:v>
                </c:pt>
                <c:pt idx="23">
                  <c:v>0.48031496062992124</c:v>
                </c:pt>
                <c:pt idx="24">
                  <c:v>0.53149606299212604</c:v>
                </c:pt>
                <c:pt idx="25">
                  <c:v>0.59251968503937003</c:v>
                </c:pt>
                <c:pt idx="26">
                  <c:v>0.62007874015748032</c:v>
                </c:pt>
                <c:pt idx="27">
                  <c:v>0.67125984251968507</c:v>
                </c:pt>
                <c:pt idx="28">
                  <c:v>0.72244094488188981</c:v>
                </c:pt>
                <c:pt idx="29">
                  <c:v>0.76181102362204722</c:v>
                </c:pt>
                <c:pt idx="30">
                  <c:v>0.80118110236220474</c:v>
                </c:pt>
                <c:pt idx="31">
                  <c:v>0.86023622047244097</c:v>
                </c:pt>
                <c:pt idx="32">
                  <c:v>0.88976377952755903</c:v>
                </c:pt>
                <c:pt idx="33">
                  <c:v>0.92913385826771655</c:v>
                </c:pt>
                <c:pt idx="34">
                  <c:v>0.94881889763779526</c:v>
                </c:pt>
                <c:pt idx="35">
                  <c:v>0.96456692913385822</c:v>
                </c:pt>
                <c:pt idx="36">
                  <c:v>0.98425196850393704</c:v>
                </c:pt>
                <c:pt idx="37">
                  <c:v>0.99803149606299213</c:v>
                </c:pt>
                <c:pt idx="3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81152"/>
        <c:axId val="146895232"/>
      </c:lineChart>
      <c:catAx>
        <c:axId val="1468811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46895232"/>
        <c:crosses val="autoZero"/>
        <c:auto val="1"/>
        <c:lblAlgn val="ctr"/>
        <c:lblOffset val="100"/>
        <c:noMultiLvlLbl val="0"/>
      </c:catAx>
      <c:valAx>
        <c:axId val="14689523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46881152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3FBC-616F-45FF-B31D-0B589AC7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13918</Words>
  <Characters>69591</Characters>
  <Application>Microsoft Office Word</Application>
  <DocSecurity>0</DocSecurity>
  <Lines>7732</Lines>
  <Paragraphs>5964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WOJCIECHOWSKA Eliza (SG)</cp:lastModifiedBy>
  <cp:revision>19</cp:revision>
  <cp:lastPrinted>2018-08-01T08:40:00Z</cp:lastPrinted>
  <dcterms:created xsi:type="dcterms:W3CDTF">2018-08-13T10:09:00Z</dcterms:created>
  <dcterms:modified xsi:type="dcterms:W3CDTF">2018-08-24T12:50:00Z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