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DEF49CB2-F33A-4603-8B07-1756E1E4299F" style="width:455.25pt;height:336.75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pStyle w:val="ListParagraph"/>
        <w:numPr>
          <w:ilvl w:val="0"/>
          <w:numId w:val="1"/>
        </w:numPr>
        <w:spacing w:after="24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  <w:r>
        <w:rPr>
          <w:rFonts w:ascii="Times New Roman" w:hAnsi="Times New Roman"/>
          <w:b/>
          <w:noProof/>
          <w:sz w:val="24"/>
          <w:szCs w:val="24"/>
        </w:rPr>
        <w:lastRenderedPageBreak/>
        <w:t>INTRODUZZJONI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L-Unjoni Ewropea qed tħejji triq strateġika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biex issir l-ewwel kontinent newtrali għall</w:t>
      </w:r>
      <w:r>
        <w:rPr>
          <w:rFonts w:ascii="Times New Roman" w:hAnsi="Times New Roman"/>
          <w:noProof/>
          <w:sz w:val="24"/>
          <w:szCs w:val="24"/>
        </w:rPr>
        <w:noBreakHyphen/>
        <w:t xml:space="preserve">klima sal-2050, filwaqt li taħtaf l-opportunitajiet tal-era diġitali, tibni ekonomija għas-servizz tan-nies, tippromwovi l-istil ta’ ħajja Ewropew, issaħħaħ il-karatteristika unika tagħna ta’ tmexxija globali responsabbli, u trawwem, tipproteġi u ssaħħaħ id-demokrazija tagħna.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L-aċċess miftuħ, kif ukoll il-kooperazzjoni internazzjonali u multilaterali bbażata fuq ir-regoli, huma għażliet strateġiċi. Dawn jistimolaw il-prosperità, il-ġustizzja, l-istabbiltà, il-kompetittività u d-dinamiżmu fl-UE u lil hinn minnha.</w:t>
      </w:r>
      <w:r>
        <w:rPr>
          <w:rFonts w:ascii="Times New Roman" w:hAnsi="Times New Roman"/>
          <w:noProof/>
          <w:sz w:val="24"/>
          <w:szCs w:val="24"/>
        </w:rPr>
        <w:t xml:space="preserve"> L-istorja tal-proġett Ewropew turi l-benefiċċji ta’ </w:t>
      </w:r>
      <w:r>
        <w:rPr>
          <w:rFonts w:ascii="Times New Roman" w:hAnsi="Times New Roman"/>
          <w:b/>
          <w:noProof/>
          <w:sz w:val="24"/>
          <w:szCs w:val="24"/>
        </w:rPr>
        <w:t xml:space="preserve">interdipendenza ġestita tajjeb u ta’ awtonomija strateġika miftuħa </w:t>
      </w:r>
      <w:r>
        <w:rPr>
          <w:rFonts w:ascii="Times New Roman" w:hAnsi="Times New Roman"/>
          <w:noProof/>
          <w:sz w:val="24"/>
          <w:szCs w:val="24"/>
        </w:rPr>
        <w:t xml:space="preserve">fuq il-bażi ta’ valuri kondiviżi, ta’ koeżjoni, ta’ governanza multilaterali b’saħħitha u ta’ kooperazzjoni bbażata fuq ir-regoli. Il-pandemija serviet biss biex issaħħaħ il-każ favur il-kooperazzjoni internazzjonali biex jiġu indirizzati l-isfidi globali.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Dan ir-Rapport ta’ Prospettiva Strateġika tal-2021 jippreżenta perspettiva li tħares lejn il-futur u multidixxiplinari dwar il-kapaċità u l-libertà tal-UE li tieħu azzjoni fid-deċennji li ġejjin.</w:t>
      </w:r>
      <w:r>
        <w:rPr>
          <w:rFonts w:ascii="Times New Roman" w:hAnsi="Times New Roman"/>
          <w:noProof/>
          <w:sz w:val="24"/>
          <w:szCs w:val="24"/>
        </w:rPr>
        <w:t xml:space="preserve"> Huwa bbażat fuq proċess ta’ prospettiva transsettorjali mmexxi mill-esperti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"/>
      </w:r>
      <w:r>
        <w:rPr>
          <w:rFonts w:ascii="Times New Roman" w:hAnsi="Times New Roman"/>
          <w:noProof/>
          <w:sz w:val="24"/>
          <w:szCs w:val="24"/>
        </w:rPr>
        <w:t>, u jippreżenta xejriet, inċertezzi u għażliet globali li se jsawru l-futur tal-Ewropa. Ir-rapport jipprovdi l-kuntest għal risponsi possibbli permezz ta’ politiki. Huwa jibni fuq ir-Rapport ta’ Prospettiva Strateġika tal-2020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"/>
      </w:r>
      <w:r>
        <w:rPr>
          <w:rFonts w:ascii="Times New Roman" w:hAnsi="Times New Roman"/>
          <w:noProof/>
          <w:sz w:val="24"/>
          <w:szCs w:val="24"/>
        </w:rPr>
        <w:t>, li introduċa r-reżiljenza bħala boxxla ġdida għat-tfassil tal-politika tal-UE.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It-Taqsima II tidentifika </w:t>
      </w:r>
      <w:r>
        <w:rPr>
          <w:rFonts w:ascii="Times New Roman" w:hAnsi="Times New Roman"/>
          <w:b/>
          <w:noProof/>
          <w:sz w:val="24"/>
          <w:szCs w:val="24"/>
        </w:rPr>
        <w:t>xejriet strutturali globali importanti lejn l-2050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li se jaffettwaw il-kapaċità u l-libertà tal-UE li tieħu azzjoni</w:t>
      </w:r>
      <w:r>
        <w:rPr>
          <w:rFonts w:ascii="Times New Roman" w:hAnsi="Times New Roman"/>
          <w:noProof/>
          <w:sz w:val="24"/>
          <w:szCs w:val="24"/>
        </w:rPr>
        <w:t xml:space="preserve">: it-tibdil fil-klima u sfidi ambjentali oħra; l-iperkonnettività diġitali u t-trasformazzjonijiet teknoloġiċi; il-pressjoni fuq id-demokrazija u fuq il-valuri; il-bidliet fl-ordni globali u fid-demografija. It-Taqsima III tistabbilixxi </w:t>
      </w:r>
      <w:r>
        <w:rPr>
          <w:rFonts w:ascii="Times New Roman" w:hAnsi="Times New Roman"/>
          <w:b/>
          <w:noProof/>
          <w:sz w:val="24"/>
          <w:szCs w:val="24"/>
        </w:rPr>
        <w:t>għaxar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oqsma li fihom l-UE tista’ ssaħħaħ l-awtonomija strateġika miftuħa u t-tmexxija globali tagħha</w:t>
      </w:r>
      <w:r>
        <w:rPr>
          <w:rFonts w:ascii="Times New Roman" w:hAnsi="Times New Roman"/>
          <w:noProof/>
          <w:sz w:val="24"/>
          <w:szCs w:val="24"/>
        </w:rPr>
        <w:t xml:space="preserve">. Ir-rapport jenfasizza li l-kapaċità u l-libertà futuri tal-UE li tieħu azzjoni se jiddependu fuq jekk l-UE hijiex kapaċi tagħmel għażliet ambizzjużi llum, iggwidati mill-valuri u mill-interessi tagħha, fl-oqsma ta’ politika identifikati. </w:t>
      </w:r>
    </w:p>
    <w:p>
      <w:pPr>
        <w:pStyle w:val="ListParagraph"/>
        <w:numPr>
          <w:ilvl w:val="0"/>
          <w:numId w:val="1"/>
        </w:numPr>
        <w:spacing w:after="240" w:line="240" w:lineRule="auto"/>
        <w:ind w:left="58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XEJRIET GLOBALI EWLENIN</w:t>
      </w:r>
    </w:p>
    <w:p>
      <w:pPr>
        <w:pStyle w:val="ListParagraph"/>
        <w:spacing w:after="240" w:line="240" w:lineRule="auto"/>
        <w:ind w:left="58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25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It-tibdil fil-klima u sfidi ambjentali oħra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It-tibdil fil-klima diġà kellu impatt fuq kull reġjun fid-dinja b’modi bla preċedent u irriversibbli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"/>
      </w:r>
      <w:r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Bit-trajettorja attwali, it-tisħin globali x’aktarx li se jaqbeż il-1,5℃ fl-għoxrin </w:t>
      </w:r>
      <w:r>
        <w:rPr>
          <w:rFonts w:ascii="Times New Roman" w:hAnsi="Times New Roman"/>
          <w:noProof/>
          <w:sz w:val="24"/>
          <w:szCs w:val="24"/>
        </w:rPr>
        <w:lastRenderedPageBreak/>
        <w:t>sena li ġejjin u jersaq lejn iż-2℃ sal-2050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"/>
      </w:r>
      <w:r>
        <w:rPr>
          <w:rFonts w:ascii="Times New Roman" w:hAnsi="Times New Roman"/>
          <w:noProof/>
          <w:sz w:val="24"/>
          <w:szCs w:val="24"/>
        </w:rPr>
        <w:t>. L-ewwel sena waħda b’temperatura globali f’dan il-livell tista’ sseħħ saħansitra fil-ħames snin li ġejjin. Kull 0,5℃ addizzjonali se jżidu l-intensità u l-frekwenza ta’ eventi ta’ temp estrem, nixfiet, nirien mhux ikkontrollati jew għargħar, inkluż f’postijiet fejn dawn ma kinux komuni fil-passat. It-temperaturi dejjem jogħlew ifissru wkoll aktar tidwib tas-silġ u livelli ogħla tal-baħar. Dawn il-bidliet se jkollhom konsegwenzi sinifikanti fuq l-ambjent, fuq is-saħħa, fuq is-sigurtà tal-ikel u tal-ilma, u fuq is-sikurezza u fuq l-iżvilupp tal-bniedem. Matul l-aħħar għaxar snin, eventi relatati mat-temp wasslu għall-ispostament stmat ta’ madwar 23 miljun persuna fis-sena bħala medja, u l-pressjonijiet tal-migrazzjoni se jkomplu jiżdiedu.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Sal-2050, aktar minn 200 miljun persuna jistgħu jkunu jeħtieġu l-għajnuna umanitarja kull sena parzjalment minħabba diżastri relatati mal-klima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footnoteReference w:id="6"/>
      </w:r>
      <w:r>
        <w:rPr>
          <w:rFonts w:ascii="Times New Roman" w:hAnsi="Times New Roman"/>
          <w:noProof/>
          <w:sz w:val="24"/>
          <w:szCs w:val="24"/>
        </w:rPr>
        <w:t xml:space="preserve">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Il-pressjoni fuq is-sigurtà tal-ilma u tal-ikel se tkompli tikber.</w:t>
      </w:r>
      <w:r>
        <w:rPr>
          <w:rFonts w:ascii="Times New Roman" w:hAnsi="Times New Roman"/>
          <w:noProof/>
          <w:sz w:val="24"/>
          <w:szCs w:val="24"/>
        </w:rPr>
        <w:t xml:space="preserve"> Xi partijiet mill-Ewropa diġà jinsabu taħt livelli ta’ stress idriku minn medji sa għoljin (</w:t>
      </w:r>
      <w:r>
        <w:rPr>
          <w:rFonts w:ascii="Times New Roman" w:hAnsi="Times New Roman"/>
          <w:i/>
          <w:noProof/>
          <w:sz w:val="24"/>
          <w:szCs w:val="24"/>
        </w:rPr>
        <w:t>Illustrazzjoni 1</w:t>
      </w:r>
      <w:r>
        <w:rPr>
          <w:rFonts w:ascii="Times New Roman" w:hAnsi="Times New Roman"/>
          <w:noProof/>
          <w:sz w:val="24"/>
          <w:szCs w:val="24"/>
        </w:rPr>
        <w:t>), u dan huwa mistenni li jiżdied maż-żmien. L-iskarsezza tal-ilma se ssir partikolarment problematika fil-viċinat tan-Nofsinhar tal-UE, fejn potenzjalment tista’ taggrava l-kunflitti u l-pressjoni fuq il-migrazzjoni. Din il-kwistjoni tista’ taffettwa wkoll lill-UE b’mod indirett, permezz ta’ insigurtà tal-ikel u xokkijiet fil-prezzijiet. Aktar minn 40 % tal-importazzjonijiet agrikoli tal-UE jistgħu jsiru vulnerabbli ħafna għan-nixfiet sal-2050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footnoteReference w:id="7"/>
      </w:r>
      <w:r>
        <w:rPr>
          <w:rFonts w:ascii="Times New Roman" w:hAnsi="Times New Roman"/>
          <w:noProof/>
          <w:sz w:val="24"/>
          <w:szCs w:val="24"/>
        </w:rPr>
        <w:t>, ħaġa li se żżid il-kompetizzjoni għall-ilma u għall-art fertili. B’mod ġenerali, l-impatt tan-nixfiet fuq l-ekonomija tal-UE jista’ jilħaq aktar minn EUR 65 biljun fis-sena sal-2100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  <w:lang w:val="en-GB"/>
        </w:rPr>
        <w:footnoteReference w:id="8"/>
      </w:r>
      <w:r>
        <w:rPr>
          <w:rFonts w:ascii="Times New Roman" w:hAnsi="Times New Roman"/>
          <w:noProof/>
          <w:sz w:val="24"/>
          <w:szCs w:val="24"/>
        </w:rPr>
        <w:t xml:space="preserve">. Iż-żoni tal-attività agrikola mhux se jimxu lejn it-Tramuntana, minħabba li t-temperaturi medji ogħla fit-Tramuntana tal-Ewropa se jkunu akkumpanjati mir-riskju ta’ aktar mewġ kiesaħ ikkawżat minn Kurrent tal-Golf imdgħajjef. </w:t>
      </w:r>
    </w:p>
    <w:p>
      <w:pPr>
        <w:pStyle w:val="Caption"/>
        <w:keepNext/>
        <w:spacing w:before="120" w:after="0"/>
        <w:jc w:val="center"/>
        <w:rPr>
          <w:rFonts w:ascii="Times New Roman" w:hAnsi="Times New Roman" w:cs="Times New Roman"/>
          <w:b/>
          <w:noProof/>
          <w:color w:val="auto"/>
          <w:sz w:val="24"/>
          <w:szCs w:val="24"/>
        </w:rPr>
      </w:pPr>
      <w:r>
        <w:rPr>
          <w:rFonts w:ascii="Times New Roman" w:hAnsi="Times New Roman"/>
          <w:b/>
          <w:noProof/>
          <w:color w:val="auto"/>
          <w:sz w:val="24"/>
          <w:szCs w:val="24"/>
        </w:rPr>
        <w:t>Illustrazzjoni 1: L-istress idriku, il-kunflitti u l-migrazzjoni</w:t>
      </w:r>
      <w:r>
        <w:rPr>
          <w:rStyle w:val="FootnoteReference"/>
          <w:rFonts w:ascii="Times New Roman" w:hAnsi="Times New Roman" w:cs="Times New Roman"/>
          <w:b/>
          <w:noProof/>
          <w:color w:val="auto"/>
          <w:sz w:val="24"/>
          <w:szCs w:val="24"/>
        </w:rPr>
        <w:footnoteReference w:id="9"/>
      </w:r>
    </w:p>
    <w:p>
      <w:pPr>
        <w:spacing w:after="24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5589698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77" cy="338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L-isfidi ambjentali jmorru ferm lil hinn mit-tibdil fil-klima, b’sitwazzjoni partikolarment allarmanti rigward it-telfien tal-bijodiversità u t-tibdil fiċ-ċiklu tan-nitroġenu.</w:t>
      </w:r>
      <w:r>
        <w:rPr>
          <w:rFonts w:ascii="Times New Roman" w:hAnsi="Times New Roman"/>
          <w:noProof/>
          <w:sz w:val="24"/>
          <w:szCs w:val="24"/>
        </w:rPr>
        <w:t xml:space="preserve"> L-ekosistemi naturali tal-UE jinsabu taħt pressjonijiet kumulattivi mhux biss mit-tibdil fil-klima, iżda wkoll mit-tniġġis, mill-użu tal-art, mill-estrazzjoni tar-riżorsi, mill-ispeċijiet invażivi u mit-telfien tad-dakkara. Barra minn hekk, l-attivitajiet tal-bniedem biddlu sostanzjalment iċ-ċiklu tan-nitroġenu, prinċipalment minħabba l-użu agrikolu tiegħu. L-iskala ta’ din il-bidla hija ferm akbar mill-modifika taċ-ċiklu tal-karbonju li tirriżulta mill-emissjonijiet ta’ gassijiet serra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  <w:lang w:val="en-GB"/>
        </w:rPr>
        <w:footnoteReference w:id="10"/>
      </w:r>
      <w:r>
        <w:rPr>
          <w:rFonts w:ascii="Times New Roman" w:hAnsi="Times New Roman"/>
          <w:noProof/>
          <w:sz w:val="24"/>
          <w:szCs w:val="24"/>
        </w:rPr>
        <w:t>. Din taffettwa l-ilma ħelu, iż-żoni kostali u s-saħħa tal-bniedem. Sfidi ambjentali bħal dawn għandhom konsegwenzi ekonomikċi li spiss ma jiġux ikkunsidrati: huwa stmat li madwar EUR 3,5-18,5 triljun kull sena ntilfu globalment f’servizzi tal-ekosistema mill-1997 sal-2011 minħabba bidliet fil-kopertura tal-art, u li kien hemm telf stmat ta’ madwar EUR 5,5-10,5 triljun kull sena minħabba d-degradazzjoni tal-art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  <w:lang w:val="en-GB"/>
        </w:rPr>
        <w:footnoteReference w:id="11"/>
      </w:r>
      <w:r>
        <w:rPr>
          <w:rFonts w:ascii="Times New Roman" w:hAnsi="Times New Roman"/>
          <w:noProof/>
          <w:sz w:val="24"/>
          <w:szCs w:val="24"/>
        </w:rPr>
        <w:t xml:space="preserve">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Hemm interkonnessjoni importanti bejn it-tibdil fil-klima, it-telfien tal-bijodiversità, id-degradazzjoni ambjentali u s-saħħa pubblika.</w:t>
      </w:r>
      <w:r>
        <w:rPr>
          <w:rFonts w:ascii="Times New Roman" w:hAnsi="Times New Roman"/>
          <w:noProof/>
          <w:sz w:val="24"/>
          <w:szCs w:val="24"/>
        </w:rPr>
        <w:t xml:space="preserve"> It-telfien tal-bijodiversità, il-pressjoni fuq il-ħabitats tal-annimali, l-użu eċċessiv tal-antibijotiċi, ir-riskji relatati mar-riċerka bijoloġika ta’ mikrobi b’patoġeniċità għolja, stili ta’ ħajja mhux tajbin għas-saħħa – dawn il-fatturi kollha jżidu l-probabbiltà ta’ pandemiji jew ta’ mard fil-futur. Ir-riżultati se jaffettwaw lill-bnedmin, l-għelejjel ewlenin u s-saħħa tal-annimali. L-isfidi jinkludu mard infettiv, reżistenza avvanzata għall-antimikrobiċi, mard li ma jitteħidx (kanċer, dijabete jew obeżità), u problemi tas-saħħa mentali. Barra minn hekk, bit-tibdil fil-klima ċertu mard (il-malarja jew id-dengue) se jsir aktar prevalenti aktar fit-Tramuntana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2"/>
      </w:r>
      <w:r>
        <w:rPr>
          <w:rFonts w:ascii="Times New Roman" w:hAnsi="Times New Roman"/>
          <w:noProof/>
          <w:sz w:val="24"/>
          <w:szCs w:val="24"/>
        </w:rPr>
        <w:t xml:space="preserve">. </w:t>
      </w:r>
    </w:p>
    <w:p>
      <w:pPr>
        <w:pStyle w:val="ListParagraph"/>
        <w:numPr>
          <w:ilvl w:val="0"/>
          <w:numId w:val="25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L-iperkonnettività diġitali u t-trasformazzjonijiet teknoloġiċi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Biex tkun sovrana teknoloġikament u diġitalment, l-UE se jkollha bżonn tappoġġa l-iżvilupp u l-adozzjoni ta’ għarfien u ta’ teknoloġiji ċċentrati fuq il-bniedem. </w:t>
      </w:r>
      <w:r>
        <w:rPr>
          <w:rFonts w:ascii="Times New Roman" w:hAnsi="Times New Roman"/>
          <w:noProof/>
          <w:sz w:val="24"/>
          <w:szCs w:val="24"/>
        </w:rPr>
        <w:t>L-UE hija attur b’saħħtu f’termini tal-għarfien u tal-innovazzjoni: hija responsabbli għal kważi 20 % tal-attività totali ta’ riċerka u ta’ żvilupp, tal-pubblikazzjonijiet u tal-privattivi fid-dinja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3"/>
      </w:r>
      <w:r>
        <w:rPr>
          <w:rFonts w:ascii="Times New Roman" w:hAnsi="Times New Roman"/>
          <w:noProof/>
          <w:sz w:val="24"/>
          <w:szCs w:val="24"/>
        </w:rPr>
        <w:t>. Madankollu, għadha lura meta mqabbla mal-kompetituri globali fl-investiment privat fir-riċerka u f’indikaturi oħra. L-UE għandha diskrepanza fil-prestazzjoni meta mqabbla mal-Awstralja, mal-Kanada, mal-Ġappun, mal-Korea t’Isfel u mal-Istati Uniti.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Mill-2014 ’l hawn, il-pożizzjoni tagħha tjiebet meta mqabbla mal-Awstralja, mal-Kanada, mal-Brażil, mal-Indja, mar-Russja u mal-Afrika t’Isfel iżda marret għall-agħar meta mqabbla mal-Ġappun, mal-Korea t’Isfel, mal-Istati Uniti u maċ-Ċina.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Minkejja l-inċertezza li takkumpanja t-teknoloġiji emerġenti, huwa ċar li għadd ta’ innovazzjonijiet rivoluzzjonarji jistgħu jkunu kruċjali għat-tranżizzjonijiet doppji u għall-kompetittività</w:t>
      </w:r>
      <w:r>
        <w:rPr>
          <w:rStyle w:val="FootnoteReference"/>
          <w:rFonts w:ascii="Times New Roman" w:hAnsi="Times New Roman" w:cs="Times New Roman"/>
          <w:b/>
          <w:noProof/>
          <w:sz w:val="24"/>
          <w:szCs w:val="24"/>
        </w:rPr>
        <w:footnoteReference w:id="14"/>
      </w:r>
      <w:r>
        <w:rPr>
          <w:rFonts w:ascii="Times New Roman" w:hAnsi="Times New Roman"/>
          <w:b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</w:rPr>
        <w:t xml:space="preserve"> L-UE hija promotur tat-teknoloġija fil-manifattura avvanzata u l-materjali, bid-ditti tagħha jipprovdu ħafna abilitanti kritiċi għal-linji tal-produzzjoni globali. Għandha pożizzjoni ewlenija fil-mobbiltà intelliġenti u sostenibbli futura u fit-teknoloġiji b’livell baxx ta’ emissjonijiet tal-karbonju. Il-kapaċitajiet tal-UE fl-intelliġenza artifiċjali, fil-big data u fir-robotika huma simili għal dawk tal-Ġappun, iżda jeħtieġ li toqrob aktar lejn il-mexxejja: l-Istati Uniti u ċ-Ċina. Fit-teknoloġiji kwantistiċi ewlenin, bħalissa l-Istati Uniti, il-Ġappun u ċ-Ċina jinsabu fuq quddiem nett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5"/>
      </w:r>
      <w:r>
        <w:rPr>
          <w:rFonts w:ascii="Times New Roman" w:hAnsi="Times New Roman"/>
          <w:noProof/>
          <w:sz w:val="24"/>
          <w:szCs w:val="24"/>
        </w:rPr>
        <w:t>. Sal-2025, l-UE se jkollha l-ewwel kompjuter tagħha b’aċċellerazzjoni kwantistika u jekk dan ikun akkumpanjat minn investiment ekwivalenti, jista’ jkun fuq quddiem nett tal-kapaċitajiet kwantistiċi sal-2030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6"/>
      </w:r>
      <w:r>
        <w:rPr>
          <w:rFonts w:ascii="Times New Roman" w:hAnsi="Times New Roman"/>
          <w:noProof/>
          <w:sz w:val="24"/>
          <w:szCs w:val="24"/>
        </w:rPr>
        <w:t xml:space="preserve">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Teknoloġiji promettenti oħra jinkludu l-</w:t>
      </w:r>
      <w:r>
        <w:rPr>
          <w:rFonts w:ascii="Times New Roman" w:hAnsi="Times New Roman"/>
          <w:bCs/>
          <w:noProof/>
          <w:sz w:val="24"/>
          <w:szCs w:val="24"/>
        </w:rPr>
        <w:t>mikroelettronika,</w:t>
      </w:r>
      <w:r>
        <w:rPr>
          <w:rFonts w:ascii="Times New Roman" w:hAnsi="Times New Roman"/>
          <w:noProof/>
          <w:sz w:val="24"/>
          <w:szCs w:val="24"/>
        </w:rPr>
        <w:t xml:space="preserve"> materjali ġodda għall-elettronika bijodegradabbli, l-elettronika flessibbli u stampata, u teknoloġiji bbażati fuq materjal 2D bħall-grafen. Barra minn hekk, ħafna teknoloġiji pilota għandhom potenzjal għoli ta’ dekarbonizzazzjoni. Dawn jinkludu l-idroġenu nadif, il-fjuwils b’livell baxx ta’ emissjonijiet tal-karbonju, il-qbid u l-ħżin/l-użu tal-karbonju, il-batteriji sostenibbli tal-ġenerazzjoni li jmiss, it-teknoloġiji u l-materjali b’bażi bijoloġika, l-ikkrekkjar tal-metan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  <w:lang w:eastAsia="en-GB"/>
        </w:rPr>
        <w:footnoteReference w:id="17"/>
      </w:r>
      <w:r>
        <w:rPr>
          <w:rFonts w:ascii="Times New Roman" w:hAnsi="Times New Roman"/>
          <w:noProof/>
          <w:sz w:val="24"/>
          <w:szCs w:val="24"/>
        </w:rPr>
        <w:t>, is-superkonduttività ta’ temperatura għolja, l-enerġija ġeotermali u mill-oċeani avvanzata, il-ġenerazzjoni tal-enerġija eolika f’altitudni għolja, u r-reatturi nukleari avvanzati bbażati fuq il-fużjoni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  <w:lang w:eastAsia="en-GB"/>
        </w:rPr>
        <w:footnoteReference w:id="18"/>
      </w:r>
      <w:r>
        <w:rPr>
          <w:rFonts w:ascii="Times New Roman" w:hAnsi="Times New Roman"/>
          <w:noProof/>
          <w:sz w:val="24"/>
          <w:szCs w:val="24"/>
        </w:rPr>
        <w:t xml:space="preserve">. Diversi soluzzjonijiet ibbażati fuq in-natura, bħar-riforestazzjoni fuq skala kbira, ukoll għandhom potenzjal kbir f’dan il-kuntest. 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Lil hinn minn teknoloġiji speċifiċi, l-iperkonnettività qed tmexxi t-trasformazzjoni.</w:t>
      </w:r>
      <w:r>
        <w:rPr>
          <w:rFonts w:ascii="Times New Roman" w:hAnsi="Times New Roman"/>
          <w:noProof/>
          <w:sz w:val="24"/>
          <w:szCs w:val="24"/>
        </w:rPr>
        <w:t xml:space="preserve"> Din tirriżulta f’żieda fil-konverġenza tal-industriji, tal-prodotti, tat-teknoloġiji u tas-servizzi. L-għadd ta’ apparati konnessi globalment jista’ jiżdied minn 30,4 biljun apparat fl-2020 għal 200 biljun fl-2030. Il-konnettività akbar tal-oġġetti, tal-postijiet u tan-nies se tirriżulta fi prodotti, f’servizzi, f’mudelli tan-negozju, f’xejriet tal-ħajja u f’xejriet tax-xogħol ġodda. Fl-istess ħin, tirriżulta f’riskju akbar ta’ attakki ċibernetiċi u qtugħ tan-network, kemm fid-dinja diġitali kif ukoll f’dik fiżika, eż. infrastrutturi essenzjali bħall-gassdotti u l-isptarijiet. Tista’ żżid ukoll it-theddida tat-telf u s-serq tal-proprjetà intellettwali u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>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L-iperkonnettività kompliet taċċellera bil-pandemija u l-impatt soċjali tagħha jeħtieġ li jiġi mmonitorjat bir-reqqa.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Madankollu, it-teknoloġiji ġodda u l-iperkonnettività mhumiex mingħajr sfidi.</w:t>
      </w:r>
      <w:r>
        <w:rPr>
          <w:rFonts w:ascii="Times New Roman" w:hAnsi="Times New Roman"/>
          <w:noProof/>
          <w:sz w:val="24"/>
          <w:szCs w:val="24"/>
        </w:rPr>
        <w:t xml:space="preserve"> Ċerti impjiegi se jintilfu minħabba l-awtomatizzazzjoni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9"/>
      </w:r>
      <w:r>
        <w:rPr>
          <w:rFonts w:ascii="Times New Roman" w:hAnsi="Times New Roman"/>
          <w:noProof/>
          <w:sz w:val="24"/>
          <w:szCs w:val="24"/>
        </w:rPr>
        <w:t>. Fl-UE biss fl-2018, madwar 14 % tal-ħaddiema adulti nstabu li qed jiffaċċjaw riskji għoljin ħafna ta’ awtomatizzazzjoni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0"/>
      </w:r>
      <w:r>
        <w:rPr>
          <w:rFonts w:ascii="Times New Roman" w:hAnsi="Times New Roman"/>
          <w:noProof/>
          <w:sz w:val="24"/>
          <w:szCs w:val="24"/>
        </w:rPr>
        <w:t>. Fil-futur, 50 % tal-impjiegi attwali madwar id-dinja jistgħu jiġu awtomatizzati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1"/>
      </w:r>
      <w:r>
        <w:rPr>
          <w:rFonts w:ascii="Times New Roman" w:hAnsi="Times New Roman"/>
          <w:noProof/>
          <w:sz w:val="24"/>
          <w:szCs w:val="24"/>
        </w:rPr>
        <w:t>, b’differenzi sinifikanti bejn il-pajjiżi u s-setturi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2"/>
      </w:r>
      <w:r>
        <w:rPr>
          <w:rFonts w:ascii="Times New Roman" w:hAnsi="Times New Roman"/>
          <w:noProof/>
          <w:sz w:val="24"/>
          <w:szCs w:val="24"/>
        </w:rPr>
        <w:t>. Se jitfaċċaw impjiegi ġodda, iżda dawn se jkunu jeħtieġu ħiliet ġodda. Jekk ma jiġux indirizzati, dawn ix-xejriet jistgħu jwasslu għall-erożjoni tad-drittijiet soċjali fundamentali, u għal aktar inugwaljanzi u dipendenzi fi ħdan u bejn l-istati. Barra minn hekk, it-tranżizzjoni diġitali tista’ żżid l-iskart-e, u żżid id-domanda għall-enerġija jew għall-użu ta’ riżorsi rari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3"/>
      </w:r>
      <w:r>
        <w:rPr>
          <w:rFonts w:ascii="Times New Roman" w:hAnsi="Times New Roman"/>
          <w:noProof/>
          <w:sz w:val="24"/>
          <w:szCs w:val="24"/>
        </w:rPr>
        <w:t xml:space="preserve">. </w:t>
      </w:r>
    </w:p>
    <w:p>
      <w:pPr>
        <w:pStyle w:val="ListParagraph"/>
        <w:numPr>
          <w:ilvl w:val="0"/>
          <w:numId w:val="25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 xml:space="preserve">Il-pressjoni fuq il-mudelli demokratiċi tal-governanza u l-valuri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L-UE hija l-akbar grupp ta’ demokraziji fid-dinja, iżda l-governanza demokratika qed tonqos fil-livell globali</w:t>
      </w:r>
      <w:r>
        <w:rPr>
          <w:rFonts w:ascii="Times New Roman" w:hAnsi="Times New Roman"/>
          <w:noProof/>
          <w:sz w:val="24"/>
          <w:szCs w:val="24"/>
        </w:rPr>
        <w:t>. L-2020 kienet il-15-il sena konsekuttiva ta’ tnaqqis fid-drittijiet politiċi u fil-libertajiet ċivili fil-livell globali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4"/>
      </w:r>
      <w:r>
        <w:rPr>
          <w:rFonts w:ascii="Times New Roman" w:hAnsi="Times New Roman"/>
          <w:noProof/>
          <w:sz w:val="24"/>
          <w:szCs w:val="24"/>
        </w:rPr>
        <w:t>, aggravat mill-pandemija tal-coronavirus f’ħafna reġjuni. 34 % tal-popolazzjoni tad-dinja jgħixu f’pajjiżi fejn il-governanza demokratika qed tonqos u 4 % biss jgħixu f’pajjiżi li qed isiru aktar demokratiċi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5"/>
      </w:r>
      <w:r>
        <w:rPr>
          <w:rFonts w:ascii="Times New Roman" w:hAnsi="Times New Roman"/>
          <w:noProof/>
          <w:sz w:val="24"/>
          <w:szCs w:val="24"/>
        </w:rPr>
        <w:t>. Il-kontestazzjoni ġeopolitika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6"/>
      </w:r>
      <w:r>
        <w:rPr>
          <w:rFonts w:ascii="Times New Roman" w:hAnsi="Times New Roman"/>
          <w:noProof/>
          <w:sz w:val="24"/>
          <w:szCs w:val="24"/>
        </w:rPr>
        <w:t xml:space="preserve">, il-polarizzazzjoni u t-tensjonijiet interstatali x’aktarx li se jippersistu fid-deċennji li ġejjin. Jekk l-erożjoni tal-governanza demokratika li għaddejja bħalissa tkompli, din se taffettwa kemm lid-demokraziji stabbiliti kif ukoll lil dawk emerġenti. Il-prestazzjoni fit-tul tas-sistemi demokratiċi tiddependi fuq il-kapaċitajiet tagħhom li jadattaw għal realtajiet ġodda u li jibqgħu reżiljenti għall-isfidi interni u esterni.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Iż-żoni ta’ instabbiltà u ta’ kunflitt qrib l-UE u lil hinn minnha x’aktarx li se jippersistu u jistgħu saħansitra jiżdiedu.</w:t>
      </w:r>
      <w:r>
        <w:rPr>
          <w:rFonts w:ascii="Times New Roman" w:hAnsi="Times New Roman"/>
          <w:noProof/>
          <w:sz w:val="24"/>
          <w:szCs w:val="24"/>
        </w:rPr>
        <w:t xml:space="preserve"> Kemm l-atturi statali kif ukoll dawk mhux statali x’aktarx li jsaħħu l-għodod ibridi tagħhom, inkluż l-użu ta’ teknoloġiji fixkiela, it-tixrid tad-diżinformazzjoni u l-miżinformazzjoni, l-operazzjonijiet tal-informazzjoni u l-influwenza kemm militari kif ukoll mhux militari. Ir-repressjoni tal-libertajiet u r-riformi demokratiċi, kif ukoll l-instabbiltà kontinwa fil-pajjiżi u r-reġjuni fil-viċinat qrib u aktar ’il bogħod tal-UE, bħall-Afganistan jew is-Sirja, se jkomplu jkollhom impatt fuq il-pressjoni migratorja.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Id-diżinformazzjoni fuq skala kbira, xprunata minn għodod ġodda u pjattaformi online, se toħloq sfidi dejjem akbar għas-sistemi demokratiċi u se tixpruna tip ġdid ta’ gwerra tal-informazzjoni.</w:t>
      </w:r>
      <w:r>
        <w:rPr>
          <w:rFonts w:ascii="Times New Roman" w:hAnsi="Times New Roman"/>
          <w:noProof/>
          <w:sz w:val="24"/>
          <w:szCs w:val="24"/>
        </w:rPr>
        <w:t xml:space="preserve"> Il-pajjiżi, il-gruppi tal-kriminalità organizzata, in-negozji jew l-individwi jużaw dawn is-soluzzjonijiet biex ixerrdu d-diżinformazzjoni globalment jew jiksbu vantaġġi kompetittivi. Dan jista’ jhedded id-demokraziji tagħna, jippolarizza d-dibattiti, u jqiegħed is-saħħa, is-sigurtà u l-ambjent f’riskju.</w:t>
      </w:r>
    </w:p>
    <w:p>
      <w:pPr>
        <w:pStyle w:val="ListParagraph"/>
        <w:numPr>
          <w:ilvl w:val="0"/>
          <w:numId w:val="25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Il-bidliet fl-ordni globali u fid-demografija</w:t>
      </w:r>
    </w:p>
    <w:p>
      <w:pPr>
        <w:spacing w:after="24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Il-popolazzjoni tad-dinja se tilħaq it-8,5 biljuni fl-2030 u d-9,7 biljuni fl-2050.</w:t>
      </w:r>
      <w:r>
        <w:rPr>
          <w:rFonts w:ascii="Times New Roman" w:hAnsi="Times New Roman"/>
          <w:noProof/>
          <w:sz w:val="24"/>
          <w:szCs w:val="24"/>
        </w:rPr>
        <w:t xml:space="preserve"> It-tkabbir tal-popolazzjoni mhux se jkun uniformi. Se jistaġna f’ħafna ekonomiji avvanzati. Il-popolazzjoni tal-UE hija mistennija li tonqos għal ftit aktar minn 420 miljun, sehem ta’ 4,3 % tal-popolazzjoni globali. Fl-Asja, l-2040ijiet jistgħu jirrappreżentaw punt ta’ inflessjoni, li warajh il-popolazzjonijiet huma mistennija li l-ewwel jibbilanċjaw ruħhom u mbagħad jibdew jonqsu madwar nofs is-seklu, bl-Asja tal-Lvant tesperjenza tnaqqis demografiku rapidu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7"/>
      </w:r>
      <w:r>
        <w:rPr>
          <w:rFonts w:ascii="Times New Roman" w:hAnsi="Times New Roman"/>
          <w:noProof/>
          <w:sz w:val="24"/>
          <w:szCs w:val="24"/>
        </w:rPr>
        <w:t>. Il-popolazzjoni tal-Afrika hija mbassra li se tespandi minn 1,2 biljun għal 1,8 biljun bejn l-2017 u l-2035 – meta madwar nofs il-popolazzjoni se tkun taħt l-età ta’ 21 sena. Fl-2050, l-Indja, iċ-Ċina, in-Niġerja, l-Istati Uniti tal-Amerka u l-Pakistan se jkunu l-aktar pajjiżi popolati (</w:t>
      </w:r>
      <w:r>
        <w:rPr>
          <w:rFonts w:ascii="Times New Roman" w:hAnsi="Times New Roman"/>
          <w:i/>
          <w:noProof/>
          <w:sz w:val="24"/>
          <w:szCs w:val="24"/>
        </w:rPr>
        <w:t>Illustrazzjoni 2</w:t>
      </w:r>
      <w:r>
        <w:rPr>
          <w:rFonts w:ascii="Times New Roman" w:hAnsi="Times New Roman"/>
          <w:noProof/>
          <w:sz w:val="24"/>
          <w:szCs w:val="24"/>
        </w:rPr>
        <w:t>). It-tkabbir demografiku se jinfluwenza l-ambizzjonijiet ġeopolitiċi, iżda jista’ joħloq ukoll sfidi għas-sostenibbiltà jew għall-migrazzjoni. Sal-2050, il-popolazzjoni fl-età tax-xogħol se tonqos b’madwar 16 % fl-Ewropa u bi 17 % fiċ-Ċina, filwaqt li se tikber fl-Amerka ta’ Fuq u fl-Indja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8"/>
      </w:r>
      <w:r>
        <w:rPr>
          <w:rFonts w:ascii="Times New Roman" w:hAnsi="Times New Roman"/>
          <w:noProof/>
          <w:sz w:val="24"/>
          <w:szCs w:val="24"/>
        </w:rPr>
        <w:t>. L-età medjana mbassra tal-popolazzjoni tal-UE se tiżdied minn 43,9 fl-2020 għal 48,2 sena sal-2050. Huma mbassra żidiet qawwija fil-proporzjonijiet ta’ dipendenza totali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9"/>
      </w:r>
      <w:r>
        <w:rPr>
          <w:rFonts w:ascii="Times New Roman" w:hAnsi="Times New Roman"/>
          <w:noProof/>
          <w:sz w:val="24"/>
          <w:szCs w:val="24"/>
        </w:rPr>
        <w:t xml:space="preserve"> għal ħafna żoni tal-UE. Jekk din ix-xejra tkompli, sal-2050 jista’ jkun hemm 135 persuna dipendenti li ma taħdimx għal kull 100 ħaddiem fl-UE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0"/>
      </w:r>
      <w:r>
        <w:rPr>
          <w:rFonts w:ascii="Times New Roman" w:hAnsi="Times New Roman"/>
          <w:noProof/>
          <w:sz w:val="24"/>
          <w:szCs w:val="24"/>
        </w:rPr>
        <w:t>.</w:t>
      </w:r>
    </w:p>
    <w:p>
      <w:pPr>
        <w:pStyle w:val="Caption"/>
        <w:keepNext/>
        <w:spacing w:after="24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color w:val="auto"/>
          <w:sz w:val="24"/>
          <w:szCs w:val="24"/>
        </w:rPr>
        <w:t>Illustrazzjoni 2: L-ishma mbassra tal-popolazzjoni globali</w:t>
      </w:r>
      <w:r>
        <w:rPr>
          <w:rStyle w:val="FootnoteReference"/>
          <w:rFonts w:ascii="Times New Roman" w:hAnsi="Times New Roman" w:cs="Times New Roman"/>
          <w:b/>
          <w:noProof/>
          <w:color w:val="auto"/>
          <w:sz w:val="24"/>
          <w:szCs w:val="24"/>
        </w:rPr>
        <w:footnoteReference w:id="31"/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30116" cy="2769079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400" b="4609"/>
                    <a:stretch/>
                  </pic:blipFill>
                  <pic:spPr bwMode="auto">
                    <a:xfrm>
                      <a:off x="0" y="0"/>
                      <a:ext cx="5731510" cy="276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240" w:line="240" w:lineRule="auto"/>
        <w:jc w:val="both"/>
        <w:rPr>
          <w:noProof/>
        </w:rPr>
      </w:pPr>
      <w:r>
        <w:rPr>
          <w:rFonts w:ascii="Times New Roman" w:hAnsi="Times New Roman"/>
          <w:b/>
          <w:noProof/>
          <w:sz w:val="24"/>
          <w:szCs w:val="24"/>
        </w:rPr>
        <w:t>Id-deċennji li ġejjin se jkunu kkaratterizzati minn distribuzzjoni mill-ġdid dejjem akbar tal-qawwa globali, biċ-ċentru tal-gravità ġeoekonomiku tagħha jimxi lejn il-Lvant</w:t>
      </w:r>
      <w:r>
        <w:rPr>
          <w:rStyle w:val="FootnoteReference"/>
          <w:rFonts w:ascii="Times New Roman" w:hAnsi="Times New Roman" w:cs="Times New Roman"/>
          <w:b/>
          <w:noProof/>
          <w:sz w:val="24"/>
          <w:szCs w:val="24"/>
        </w:rPr>
        <w:footnoteReference w:id="32"/>
      </w:r>
      <w:r>
        <w:rPr>
          <w:rFonts w:ascii="Times New Roman" w:hAnsi="Times New Roman"/>
          <w:noProof/>
          <w:sz w:val="24"/>
          <w:szCs w:val="24"/>
        </w:rPr>
        <w:t>. Il-pajjiżi tal-G7 (il-Kanada, Franza, il-Ġermanja, l-Italja, il-Ġappun, ir-Renju Unit, u l-Istati Uniti tal-Amerka) bħalissa jirrappreżentaw madwar 40 % tal-PDG globali, tnaqqis minn aktar minn 60 % fl-1975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3"/>
      </w:r>
      <w:r>
        <w:rPr>
          <w:rFonts w:ascii="Times New Roman" w:hAnsi="Times New Roman"/>
          <w:noProof/>
          <w:sz w:val="24"/>
          <w:szCs w:val="24"/>
        </w:rPr>
        <w:t>. Is-sehem ekonomiku tas-“7 emerġenti” (il-Brażil, iċ-Ċina, l-Indja, l-Indoneżja, il-Messiku, ir-Russja, u t-Turkija) huwa ugwali għal madwar żewġ terzi ta’ dak tal-G7. Dan il-proporzjon se jiġi invertit fil-perjodu sal-2050. Iċ-Ċina hija mistennija ssir l-akbar ekonomija qabel tmiem dan id-deċennju, bl-Indja possibbilment taqbeż lill-UE fl-20 sena li ġejjin (</w:t>
      </w:r>
      <w:r>
        <w:rPr>
          <w:rFonts w:ascii="Times New Roman" w:hAnsi="Times New Roman"/>
          <w:i/>
          <w:noProof/>
          <w:sz w:val="24"/>
          <w:szCs w:val="24"/>
        </w:rPr>
        <w:t>Illustrazzjoni 3</w:t>
      </w:r>
      <w:r>
        <w:rPr>
          <w:rFonts w:ascii="Times New Roman" w:hAnsi="Times New Roman"/>
          <w:noProof/>
          <w:sz w:val="24"/>
          <w:szCs w:val="24"/>
        </w:rPr>
        <w:t xml:space="preserve">). Fl-istess ħin, it-tkabbir tal-PDG fil-pajjiżi emerġenti u fil-fażi tal-iżvilupp mhux neċessarjament jissarraf fi kwalità ta’ ħajja aħjar għaċ-ċittadini tagħhom, inkluż għal pajjiżi b’PDG </w:t>
      </w:r>
      <w:r>
        <w:rPr>
          <w:rFonts w:ascii="Times New Roman" w:hAnsi="Times New Roman"/>
          <w:i/>
          <w:noProof/>
          <w:sz w:val="24"/>
          <w:szCs w:val="24"/>
        </w:rPr>
        <w:t>per capita</w:t>
      </w:r>
      <w:r>
        <w:rPr>
          <w:rFonts w:ascii="Times New Roman" w:hAnsi="Times New Roman"/>
          <w:noProof/>
          <w:sz w:val="24"/>
          <w:szCs w:val="24"/>
        </w:rPr>
        <w:t xml:space="preserve"> għoli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4"/>
      </w:r>
      <w:r>
        <w:rPr>
          <w:rFonts w:ascii="Times New Roman" w:hAnsi="Times New Roman"/>
          <w:noProof/>
          <w:sz w:val="24"/>
          <w:szCs w:val="24"/>
        </w:rPr>
        <w:t>. Iż-żieda fl-inugwaljanzi u standards ambjentali u tax-xogħol aktar baxxi jibqgħu sfidi ewlenin għall-ekonomiji emerġenti</w:t>
      </w:r>
      <w:r>
        <w:rPr>
          <w:noProof/>
        </w:rPr>
        <w:t>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Ir-rivalità globali u l-fraġilità x’aktarx li se jiżdiedu.</w:t>
      </w:r>
      <w:r>
        <w:rPr>
          <w:rFonts w:ascii="Times New Roman" w:hAnsi="Times New Roman"/>
          <w:noProof/>
          <w:sz w:val="24"/>
          <w:szCs w:val="24"/>
        </w:rPr>
        <w:t xml:space="preserve"> Il-kompetizzjoni bejn l-Istati Uniti u ċ-Ċina tista’ ssir karatteristika li tiddefinixxi x-xenarju ġeopolitiku. It-tranżizzjoni enerġetika se tkompli tikkontribwixxi għar-ridistribuzzjoni tal-qawwa. L-esportaturi tal-fjuwils fossili bl-inqas ekonomiji diversifikati u/jew bl-aktar istituzzjonijiet dgħajfa se jkunu l-aktar affettwati. Min-naħa l-oħra, il-pajjiżi b’kapaċità kbira li jiġġeneraw u jesportaw l-enerġija rinnovabbli se jiggwadanjaw l-influwenza. L-UE tista’ tistenna tensjonijiet u kompetizzjoni avversa kontinwi (inkluż miċ-Ċina u r-Russja), li jeħtieġu politiki robusti għall-istabbiltà u għall-prosperità tal-proġetti, b’mod partikolari fil-viċinat tagħha. Jistgħu jinħolqu tensjonijiet ġodda mill-kompetizzjoni f’żoni kkontestati, bħall-ispazju jew l-Artiku. Iż-żieda fit-theddid mill-kriminalità organizzata, mill-korruzzjoni, mill-estremiżmu, mit-terroriżmu, u mit-theddid ibridu, inkluża l-istrumentalizzazzjoni tal-migrazzjoni għal skopijiet politiċi, għandhom dejjem aktar potenzjal li jheddu s-sigurtà tal-UE.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>
      <w:pPr>
        <w:spacing w:after="24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t>Illustrazzjoni 3: L-ishma mbassra tal-PDG globali</w:t>
      </w:r>
      <w:r>
        <w:rPr>
          <w:rStyle w:val="FootnoteReference"/>
          <w:rFonts w:ascii="Times New Roman" w:hAnsi="Times New Roman" w:cs="Times New Roman"/>
          <w:b/>
          <w:i/>
          <w:noProof/>
          <w:sz w:val="24"/>
          <w:szCs w:val="24"/>
        </w:rPr>
        <w:footnoteReference w:id="35"/>
      </w:r>
    </w:p>
    <w:p>
      <w:pPr>
        <w:spacing w:after="24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30315" cy="2760453"/>
            <wp:effectExtent l="0" t="0" r="381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754" b="3527"/>
                    <a:stretch/>
                  </pic:blipFill>
                  <pic:spPr bwMode="auto">
                    <a:xfrm>
                      <a:off x="0" y="0"/>
                      <a:ext cx="5731510" cy="276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Il-kompetizzjoni multidimensjonali u l-interdipendenzi profondi x’aktarx li se jkunu l-karatteristiċi li jiddefinixxu ordni globali dejjem aktar multipolari.</w:t>
      </w:r>
      <w:r>
        <w:rPr>
          <w:rFonts w:ascii="Times New Roman" w:hAnsi="Times New Roman"/>
          <w:noProof/>
          <w:sz w:val="24"/>
          <w:szCs w:val="24"/>
        </w:rPr>
        <w:t xml:space="preserve"> Il-governanza globali u l-infrastruttura jinsabu f’riskju ta’ frammentazzjoni minħabba r-rivalitajiet intensifikati f’firxa ta’ oqsma. X’aktarx li se jitfaċċaw atturi aktar diversi u assertivi b’kapaċitajiet u aspirazzjonijiet dejjem akbar. Dawn jinkludu atturi mhux statali u intrastatali, kif ukoll movimenti transnazzjonali. Filwaqt li l-ebda attur wieħed mhu se jkun f’pożizzjoni li jiddomina r-reġjuni u l-oqsma tal-politika kollha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6"/>
      </w:r>
      <w:r>
        <w:rPr>
          <w:rFonts w:ascii="Times New Roman" w:hAnsi="Times New Roman"/>
          <w:noProof/>
          <w:sz w:val="24"/>
          <w:szCs w:val="24"/>
        </w:rPr>
        <w:t>, se jkomplu jfeġġu u jevolvu dipendenzi u kapaċitajiet strateġiċi.</w:t>
      </w:r>
    </w:p>
    <w:p>
      <w:pPr>
        <w:pStyle w:val="ListParagraph"/>
        <w:numPr>
          <w:ilvl w:val="0"/>
          <w:numId w:val="1"/>
        </w:numPr>
        <w:spacing w:after="240" w:line="240" w:lineRule="auto"/>
        <w:ind w:left="70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L-INDIRIZZAR TAL-ISFIDI U L-ISFRUTTAR TAL-OPPORTUNITAJIET GĦAT-TMEXXIJA GLOBALI TAL-UE</w:t>
      </w:r>
    </w:p>
    <w:p>
      <w:pPr>
        <w:pStyle w:val="ListParagraph"/>
        <w:spacing w:after="240" w:line="240" w:lineRule="auto"/>
        <w:ind w:left="70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 xml:space="preserve">L-iżgurar ta’ sistemi tas-saħħa u tal-ikel sostenibbli u reżiljenti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Is-sistemi tal-kura tas-saħħa tal-UE huma fost l-aktar avvanzati fid-dinja</w:t>
      </w:r>
      <w:r>
        <w:rPr>
          <w:rStyle w:val="FootnoteReference"/>
          <w:rFonts w:ascii="Times New Roman" w:hAnsi="Times New Roman" w:cs="Times New Roman"/>
          <w:b/>
          <w:noProof/>
          <w:sz w:val="24"/>
          <w:szCs w:val="24"/>
        </w:rPr>
        <w:footnoteReference w:id="37"/>
      </w:r>
      <w:r>
        <w:rPr>
          <w:rFonts w:ascii="Times New Roman" w:hAnsi="Times New Roman"/>
          <w:b/>
          <w:noProof/>
          <w:sz w:val="24"/>
          <w:szCs w:val="24"/>
        </w:rPr>
        <w:t xml:space="preserve">, iżda s-sostenibbiltà u r-reżiljenza tagħhom jeħtieġ li jiżdiedu. </w:t>
      </w:r>
      <w:r>
        <w:rPr>
          <w:rFonts w:ascii="Times New Roman" w:hAnsi="Times New Roman"/>
          <w:noProof/>
          <w:sz w:val="24"/>
          <w:szCs w:val="24"/>
        </w:rPr>
        <w:t>Dan jinkludi investimenti f’mudelli innovattivi ta’ kura (eż. kura integrata, telemediċina), it-tisħiħ tal-forza tax-xogħol tal-kura tas-saħħa, l-enfasi fuq miżuri preventivi u l-indirizzar tal-komorbidità. Sabiex jiġi żgurat tixjiħ b’saħħa aħjar, l-istili ta’ ħajja aktar tajbin għas-saħħa u l-attività fiżika se jkollhom jingħaqdu ma’ alternattivi intelliġenti għall-kura fit-tul, bħal soluzzjonijiet ta’ mediċina mill-bogħod u robotika tal-kura fid-djar. It-teknoloġiji ġodda flimkien mal-politiki soċjali u tas-saħħa jistgħu jtaffu l-kostijiet addizzjonali assoċjati ma’ popolazzjoni li qed tixjieħ, filwaqt li jippermettu lill-anzjani u lill-persuni b’diżabilità jgħixu b’mod aktar awtonomu. L-interazzjoni online, il-monitoraġġ, u l-awtokura xierqa tal-pazjenti jistgħu jiġġeneraw iffrankar annwali ta’ sa EUR 120 biljun fl-infiq pubbliku fuq il-kura tas-saħħa</w:t>
      </w:r>
      <w:r>
        <w:rPr>
          <w:rStyle w:val="FootnoteReference"/>
          <w:rFonts w:ascii="Times New Roman" w:hAnsi="Times New Roman"/>
          <w:noProof/>
          <w:sz w:val="24"/>
          <w:szCs w:val="24"/>
          <w:vertAlign w:val="baseline"/>
        </w:rPr>
        <w:t xml:space="preserve">madwar </w:t>
      </w:r>
      <w:r>
        <w:rPr>
          <w:rFonts w:ascii="Times New Roman" w:hAnsi="Times New Roman"/>
          <w:noProof/>
          <w:sz w:val="24"/>
          <w:szCs w:val="24"/>
        </w:rPr>
        <w:t>l-UE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8"/>
      </w:r>
      <w:r>
        <w:rPr>
          <w:rFonts w:ascii="Times New Roman" w:hAnsi="Times New Roman"/>
          <w:noProof/>
          <w:sz w:val="24"/>
          <w:szCs w:val="24"/>
        </w:rPr>
        <w:t>. Spazju komuni Ewropew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għas-saħħa jista’ jappoġġja l-iżvilupp u l-użu rapidi tal-mediċina personalizzata permezz ta’ deċiżjonijiet immexxija mid-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, u b’hekk itejjeb l-effettività u l-aċċessibbiltà tal-kura tas-saħħa. </w:t>
      </w:r>
    </w:p>
    <w:p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Fil-bidu tal-pandemija, id-dipendenzi strateġiċi tal-UE fuq pajjiżi terzi għal oġġetti kritiċi, bħal preparazzjonijiet farmaċewtiċi, saru ovvji</w:t>
      </w:r>
      <w:r>
        <w:rPr>
          <w:rFonts w:ascii="Times New Roman" w:hAnsi="Times New Roman"/>
          <w:noProof/>
          <w:sz w:val="24"/>
          <w:szCs w:val="24"/>
        </w:rPr>
        <w:t>. Minn 5200 prodott importat, l-UE hija dipendenti ħafna fuq l-importazzjoni fir-rigward ta’ 137 f’“ekosistemi sensittivi”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9"/>
      </w:r>
      <w:r>
        <w:rPr>
          <w:rFonts w:ascii="Times New Roman" w:hAnsi="Times New Roman"/>
          <w:noProof/>
          <w:sz w:val="24"/>
          <w:szCs w:val="24"/>
        </w:rPr>
        <w:t>, b’14-il prodott li jappartjenu għall-ekosistema tas-saħħa. Parti importanti mis-sustanzi attivi użati f’mediċini ġeneriċi tiġi mill-Indja u miċ-Ċina, kif ukoll il-maġġoranza tal-materja prima u tal-prodotti intermedji użati fil-farmaċewtiċi. Iż-żewġ pajjiżi qed isaħħu l-miżuri ambjentali u ta’ sikurezza tagħhom għas-settur kimiku, u ċ-Ċina qed tagħlaq xi impjanti tal-manifattura. Dan jista’ jkollu implikazzjonijiet fuq id-disponibbiltà u fuq il-prezzijiet tal-mediċini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0"/>
      </w:r>
      <w:r>
        <w:rPr>
          <w:rFonts w:ascii="Times New Roman" w:hAnsi="Times New Roman"/>
          <w:noProof/>
          <w:sz w:val="24"/>
          <w:szCs w:val="24"/>
        </w:rPr>
        <w:t>. Filwaqt li l-UE għandha kapaċitajiet b’saħħithom li tipproduċi mediċini innovattivi, jeħtieġ li tiżgura s-sigurtà tal-provvista għal prodotti kritiċi mingħajr privattivi bi ktajjen tal-provvista partikolarment ikkonsolidati permezz ta’ sorsi alternattivi. Madankollu, il-ktajjen tal-provvista farmaċewtiċi huma kumplessi ħafna u jeħtieġu l-ogħla kwalità. Għalhekk, huma partikolarment vulnerabbli għal interruzzjonijiet fil-provvista. F’każ ta’ kriżi tas-saħħa pubblika jew ta’ interruzzjoni fil-provvista, mhuwiex possibbli li jiġu stabbiliti manifatturi alternattivi ta’ ċerti komponenti ewlenin fuq perjodu ta’ żmien qasir. Madankollu, id-disponibbiltà ta’ ċerti prodotti f’kull mument hija kruċjali għas-saħħa pubblika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1"/>
      </w:r>
      <w:r>
        <w:rPr>
          <w:rFonts w:ascii="Times New Roman" w:hAnsi="Times New Roman"/>
          <w:noProof/>
          <w:sz w:val="24"/>
          <w:szCs w:val="24"/>
        </w:rPr>
        <w:t>. L-istabbiliment jew l-istabbiliment mill-ġdid tal-produzzjoni ta’ xi mediċini kritiċi u kontromiżuri mediċi fl-UE jistgħu jiġu appoġġjati mill-innovazzjoni fil-proċessi tal-manifattura biex tikkumpensa għal kostijiet tal-produzzjoni possibbilment ogħla fl-UE u biex tissaħħaħ il-pożizzjoni ewlenija fil-manifattura ekoloġika u diġitali tal-farmaċewtiċi.</w:t>
      </w:r>
    </w:p>
    <w:p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Unjoni Ewropea tas-Saħħa ssaħħaħ il-kapaċità tal-UE li tindirizza kriżijiet ġodda tas-saħħa.</w:t>
      </w:r>
      <w:r>
        <w:rPr>
          <w:rFonts w:ascii="Times New Roman" w:hAnsi="Times New Roman"/>
          <w:noProof/>
          <w:sz w:val="24"/>
          <w:szCs w:val="24"/>
        </w:rPr>
        <w:t xml:space="preserve"> Il-pandemija wriet il-ħtieġa ta’ rieżami sħiħ tal-istrutturi u l-mekkaniżmi tal-UE rilevanti għall-prevenzjoni u r-rispons għal theddid transfruntier għas-saħħa. Unjoni Ewropea tas-Saħħa aktar b’saħħitha tista’ ssaħħaħ it-tħejjija kollettiva tal-UE kontra theddid għas-saħħa kif ukoll ittejjeb il-koordinazzjoni fi żminijiet ta’ kriżi. L-Awtorità tal-UE għat-Tħejjija u għar-Rispons f’Każ ta’ Emerġenza tas-Saħħa (HERA) se tgħin biex jiġi antiċipat it-theddid transfruntier għas-saħħa u se tirfed it-tħejjija u r-rispons billi tiffoka fuq valutazzjonijiet antiċipatorji tat-theddid, previżjoni, informazzjoni dwar is-suq u analiżi tal-prospettivi ta’ patoġeni u ta’ teknoloġiji emerġenti. Dan l-għarfien se jgħin ukoll lil HERA tmexxi l-iżvilupp ta’ rapport annwali dwar l-Istat tat-Tħejjija. Fuq skala globali, jibqa’ importanti li jissaħħu </w:t>
      </w:r>
      <w:r>
        <w:rPr>
          <w:rFonts w:ascii="Times New Roman" w:hAnsi="Times New Roman"/>
          <w:bCs/>
          <w:noProof/>
          <w:sz w:val="24"/>
          <w:szCs w:val="24"/>
        </w:rPr>
        <w:t>t-tħejjija u r-rispons internazzjonali</w:t>
      </w:r>
      <w:r>
        <w:rPr>
          <w:rFonts w:ascii="Times New Roman" w:hAnsi="Times New Roman"/>
          <w:noProof/>
          <w:sz w:val="24"/>
          <w:szCs w:val="24"/>
        </w:rPr>
        <w:t xml:space="preserve"> għal pandemiji futuri, b’mod partikolari billi tiġi rriformata l-Organizzazzjoni Dinjija tas-Saħħa u tissaħħaħ il-kapaċità tagħha li tindirizza emerġenzi tas-saħħa. Dan jinkludi wkoll li ssir ħidma lejn trattat internazzjonali dwar il-pandemiji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  <w:lang w:val="en-GB"/>
        </w:rPr>
        <w:footnoteReference w:id="42"/>
      </w:r>
      <w:r>
        <w:rPr>
          <w:rFonts w:ascii="Times New Roman" w:hAnsi="Times New Roman"/>
          <w:noProof/>
          <w:sz w:val="24"/>
          <w:szCs w:val="24"/>
        </w:rPr>
        <w:t xml:space="preserve"> u li jissaħħu l-kapaċitajiet tal-manifattura lokali. Il-multilateraliżmu huwa l-uniku mod kif jiġi evitat li jerġgħu jseħħu kriżijiet simili fil-futur.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Filwaqt li s-sistemi tal-ikel tal-UE qed jitpoġġew dejjem aktar taħt sfida, teknoloġiji ġodda jistgħu jsaħħu s-sostenibbiltà u r-reżiljenza tagħhom.</w:t>
      </w:r>
      <w:r>
        <w:rPr>
          <w:rFonts w:ascii="Times New Roman" w:hAnsi="Times New Roman"/>
          <w:noProof/>
          <w:sz w:val="24"/>
          <w:szCs w:val="24"/>
        </w:rPr>
        <w:t xml:space="preserve"> Matul il-pandemija, l-azzjoni tal-UE biex tiffaċilita l-moviment tal-ikel fis-suq uniku kollu u biex il-kummerċ globali jinżamm miftuħ kienet kruċjali. Madankollu, it-tibdil fil-klima u d-degradazzjoni tan-natura jistgħu jfixklu l-provvista, id-domanda u l-kummerċ fir-reġjuni ewlenin li jipproduċu l-ikel, inkluża l-UE, u jikkawżaw varjabbiltà u żidiet qawwija fil-prezzijiet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3"/>
      </w:r>
      <w:r>
        <w:rPr>
          <w:rFonts w:ascii="Times New Roman" w:hAnsi="Times New Roman"/>
          <w:noProof/>
          <w:sz w:val="24"/>
          <w:szCs w:val="24"/>
        </w:rPr>
        <w:t xml:space="preserve"> li jista’ jkollhom impatti soċjoekonomiċi serji. Il-bidliet fid-domanda u fid-dieti se jkollhom influwenza wkoll. Pereżempju, l-avvanzi fin-nutriġenomika (li tgħaqqad il-ġenoma tal-bniedem man-nutrizzjoni u s-saħħa) se jwasslu għal dieti aktar personalizzati u għal ħtiġijiet ġodda tas-saħħa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4"/>
      </w:r>
      <w:r>
        <w:rPr>
          <w:rFonts w:ascii="Times New Roman" w:hAnsi="Times New Roman"/>
          <w:noProof/>
          <w:sz w:val="24"/>
          <w:szCs w:val="24"/>
        </w:rPr>
        <w:t>. L-adozzjoni ta’ qafas leġiżlattiv għal sistemi tal-ikel sostenibbli se taċċellera u tiffaċilita t-tranżizzjoni u żżid is-sostenibbiltà tal-ikel. Innovazzjonijiet fixkiela, bħall-ikel ibbażat fuq l-insetti u l-algi, l-agrikoltura ċellulari, jew il-biedja fuq ġewwa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5"/>
      </w:r>
      <w:r>
        <w:rPr>
          <w:rFonts w:ascii="Times New Roman" w:hAnsi="Times New Roman"/>
          <w:noProof/>
          <w:sz w:val="24"/>
          <w:szCs w:val="24"/>
        </w:rPr>
        <w:t>, jistgħu jbaxxu l-impronta ekoloġika tal-produzzjoni tal-ikel. Il-bijoteknoloġija, inklużi tekniki ġenomiċi ġodda, jista’ jkollha rwol ewlieni fl-iżvilupp ta’ modi innovattivi u sostenibbli għall-protezzjoni tal-ħsad mill-pesti, mill-mard u mill-effetti tat-tibdil fil-klima. Approċċ koerenti u sostenibbli għas-sistema kollha tal-ikel, mill-produzzjoni tal-ikel sat-tnaqqis tal-ħela tal-ikel, se jkun kruċjali.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L-iżgurar ta’ enerġija dekarbonizzata u affordabbli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L-iżgurar ta’ provvista suffiċjenti ta’ enerġija dekarbonizzata u affordabbli huwa kruċjali fit-triq lejn Ewropa aktar ekoloġika u diġitali. </w:t>
      </w:r>
      <w:r>
        <w:rPr>
          <w:rFonts w:ascii="Times New Roman" w:hAnsi="Times New Roman"/>
          <w:noProof/>
          <w:sz w:val="24"/>
          <w:szCs w:val="24"/>
        </w:rPr>
        <w:t>L-implimentazzjoni tal-objettivi ekoloġiċi tal-UE tfisser li sal-2050 aktar minn 80 % tal-konsum gross intern tal-enerġija jkun ġej minn sorsi b’livell baxx ta’ emissjonijiet tal-karbonju, l-aktar minn sorsi rinnovabbli, filwaqt li l-użu ta’ fjuwils fossili għal skopijiet ta’ enerġija jaqa’ għal inqas minn 10 %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6"/>
      </w:r>
      <w:r>
        <w:rPr>
          <w:rFonts w:ascii="Times New Roman" w:hAnsi="Times New Roman"/>
          <w:noProof/>
          <w:sz w:val="24"/>
          <w:szCs w:val="24"/>
        </w:rPr>
        <w:t>. It-tnaqqis tad-dipendenza tal-UE fuq il-fjuwils fossili jeħtieġ żieda fl-użu tal-enerġija rinnovabbli u diversifikazzjoni rapida tal-provvista tal-enerġija tal-UE. Dan jinvolvi wkoll l-iżvilupp ta’ infrastruttura tal-enerġija, grilji intelliġenti, u teknoloġiji u soluzzjonijiet ġodda b’livell baxx ta’ emissjonijiet tal-karbonju u li ma jagħmlux ħsara lill-ambjent fl-UE u ma’ pajjiżi terzi sħab ewlenin. Fl-aħħar nett, dan jitlob li tiġi evitata r-rilokazzjoni tal-emissjonijiet tal-karbonju. Effiċjenza enerġetika akbar se tkun kruċjali biex jiġi evitat l-effett possibbli ta’ rebound hekk kif l-enerġija rinnovabbli ssir orħos u l-umanità tikkonsma aktar minnha. Biex jintlaħqu l-miri tal-Ftehim ta’ Pariġi u tal-Patt Ekoloġiku Ewropew, l-intensità tal-enerġija fl-UE se jkollha tonqos b’mod qawwi, għal madwar nofs il-livelli tal-lum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  <w:lang w:eastAsia="en-GB"/>
        </w:rPr>
        <w:footnoteReference w:id="47"/>
      </w:r>
      <w:r>
        <w:rPr>
          <w:rFonts w:ascii="Times New Roman" w:hAnsi="Times New Roman"/>
          <w:noProof/>
          <w:sz w:val="24"/>
          <w:szCs w:val="24"/>
        </w:rPr>
        <w:t xml:space="preserve">, sal-2050. 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L-ilħuq tal-objettiv tan-newtralità klimatika sal-2050 jista’ jgħin lill-UE tnaqqas id-dipendenza enerġetika tagħha minn madwar 60 % llum għal 15 %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8"/>
      </w:r>
      <w:r>
        <w:rPr>
          <w:rFonts w:ascii="Times New Roman" w:hAnsi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>Dan għandu jiġi appoġġat minn progress sinifikanti fl-ekonomija ċirkolari. Unjoni tal-enerġija aktar profonda se tappoġġja d-dekarbonizzazzjoni, ittejjeb l-effiċjenza enerġetika, issaħħaħ is-suq intern tal-enerġija u żżid is-sigurtà tal-provvista tal-enerġija. Il-mogħdijiet tat-tranżizzjoni u aġenda b’saħħitha għal investiment fl-infrastruttura sostenibbli u b’livell baxx ta’ emissjonijiet tal-karbonju fl-UE u lil hinn minnha joħolqu opportunitajiet ta’ investiment għan-negozji tal-UE. Dan jgħin ukoll biex tiġi żgurata l-koerenza tal-appoġġ pubbliku u r-riċerka u l-innovazzjoni sostnuti f’teknoloġiji u f’sorsi ġodda tal-enerġija nadifa, fejn is-settur privat ma jipprovdix f’oqsma ta’ falliment tas-suq. Se jkun importanti li tiżdied l-iskala tat-teknoloġiji emerġenti u li dawn isiru affordabbli u aċċessibbli għall-ekonomiji li qed jiżviluppaw biex tiġi żgurata l-adozzjoni tagħhom fuq skala kbira. B’mod parallel, ekonomija aktar ċirkolari u pprezzar realistiku tal-esternalitajiet inaqqsu l-konsum tal-enerġija fl-UE.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Id-dekarbonizzazzjoni tal-enerġija se jkollha effetti fit-tul fuq id-dinamika ġeopolitika, filwaqt li jfeġġu dipendenzi strateġiċi ġodda u oħrajn jisparixxu.</w:t>
      </w:r>
      <w:r>
        <w:rPr>
          <w:rFonts w:ascii="Times New Roman" w:hAnsi="Times New Roman"/>
          <w:noProof/>
          <w:sz w:val="24"/>
          <w:szCs w:val="24"/>
        </w:rPr>
        <w:t xml:space="preserve"> Dan se jkollu impatt kemm fuq l-ekonomiji li jipproduċu ż-żejt u l-gass kif ukoll fuq il-mexxejja fl-enerġija rinnovabbli. Se jkunu meħtieġa sforzi biex din it-tranżizzjoni ssir eħfef u biex jiġi ġestit it-tnaqqis fid-dħul fi stati produtturi vulnerabbli. Progress sinifikanti fit-tnaqqis tal-emissjonijiet assoċjati mill-produzzjoni (bħall-metan mill-gassijiet fossili) iwassal għal tranżizzjoni ordnata. It-teknoloġiji ġodda se jkunu kruċjali f’dan il-kuntest. Se jkun ta’ benefiċċju għall-UE li dawn isiru disponibbli u jkunu affordabbli, u dan jista’ jgħin lill-ekonomiji emerġenti jaqbżu l-infrastruttura bbażata fuq il-fjuwils fossili u jadottaw alternattivi b’użu inqas intensiv tal-karbonju. Dan it-tip ta’ kooperazzjoni joffri wkoll opportunitajiet ekonomiċi u ta’ konnettività għall-UE. Barra minn hekk, in-natura deċentralizzata tan-networks tal-enerġija futuri, flimkien ma’ kapaċitajiet għoljin ta’ ċiberdifiża, se tappoġġja r-reżiljenza tal-UE, bil-ġenerazzjoni tal-enerġija distribwita b’mod ħafna aktar wiesa’ milli hi fis-sistemi tal-enerġija ċentralizzati u aktar vulnerabbli tal-lum. </w:t>
      </w:r>
    </w:p>
    <w:p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It-tisħiħ tal-kapaċità fil-ġestjoni tad-</w:t>
      </w:r>
      <w:r>
        <w:rPr>
          <w:rFonts w:ascii="Times New Roman" w:hAnsi="Times New Roman"/>
          <w:b/>
          <w:i/>
          <w:smallCaps/>
          <w:noProof/>
          <w:sz w:val="24"/>
          <w:szCs w:val="24"/>
        </w:rPr>
        <w:t>data</w:t>
      </w:r>
      <w:r>
        <w:rPr>
          <w:rFonts w:ascii="Times New Roman" w:hAnsi="Times New Roman"/>
          <w:b/>
          <w:smallCaps/>
          <w:noProof/>
          <w:sz w:val="24"/>
          <w:szCs w:val="24"/>
        </w:rPr>
        <w:t>, fl-intelliġenza artifiċjali u fit-teknoloġiji l-aktar avvanzati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Is-sovranità diġitali tal-UE se tiddependi fuq il-kapaċità li taħżen, testratta u tipproċessa d-</w:t>
      </w:r>
      <w:r>
        <w:rPr>
          <w:rFonts w:ascii="Times New Roman" w:hAnsi="Times New Roman"/>
          <w:b/>
          <w:i/>
          <w:noProof/>
          <w:sz w:val="24"/>
          <w:szCs w:val="24"/>
        </w:rPr>
        <w:t>data,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 xml:space="preserve">filwaqt li tissodisfa r-rekwiżiti ta’ fiduċja, ta’ sigurtà u ta’ drittijiet fundamentali. </w:t>
      </w:r>
      <w:r>
        <w:rPr>
          <w:rFonts w:ascii="Times New Roman" w:hAnsi="Times New Roman"/>
          <w:noProof/>
          <w:sz w:val="24"/>
          <w:szCs w:val="24"/>
        </w:rPr>
        <w:t>L-ekonomija diġitali, speċjalment l-proċessar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>, il-cloud computing u l-edge computing ta’ prestazzjoni għolja, jista’ jkollhom effett pożittiv fuq l-ekonomija u fuq il-kompetittività tal-UE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9"/>
      </w:r>
      <w:r>
        <w:rPr>
          <w:rFonts w:ascii="Times New Roman" w:hAnsi="Times New Roman"/>
          <w:noProof/>
          <w:sz w:val="24"/>
          <w:szCs w:val="24"/>
        </w:rPr>
        <w:t>. Il-kumpaniji tal-UE u l-awtoritajiet tal-amministrazzjoni pubblika se jadottaw dejjem aktar l-analitika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tal-utenti u tal-entitajiet, l-Internet tal-Oġġetti, u l-intelliġenza artifiċjali. Teknoloġiji bħal dawn għandhom applikazzjonijiet wiesgħa u varjati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0"/>
      </w:r>
      <w:r>
        <w:rPr>
          <w:rFonts w:ascii="Times New Roman" w:hAnsi="Times New Roman"/>
          <w:noProof/>
          <w:sz w:val="24"/>
          <w:szCs w:val="24"/>
        </w:rPr>
        <w:t>. L-UE introduċiet objettivi ta’ investiment u strumenti ta’ finanzjament sinifikanti biex tippromwovi l-iżvilupp u l-użu ta’ teknoloġiji tal-cloud u edge tal-ġenerazzjoni li jmiss u fixkiela. Bl-użu dejjem akbar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għal applikazzjonijiet industrijali u kummerċjali, approċċ strateġiku għall-iżvilupp u għall-varar ta’ sistemi industrijali tal-Internet tal-Oġġetti, tal-5G/6G, u tal-edge computing bil-kapaċità ta’ ġestjoni u ta’ analiżi malajr tal-</w:t>
      </w:r>
      <w:r>
        <w:rPr>
          <w:rFonts w:ascii="Times New Roman" w:hAnsi="Times New Roman"/>
          <w:i/>
          <w:noProof/>
          <w:sz w:val="24"/>
          <w:szCs w:val="24"/>
        </w:rPr>
        <w:t>big data</w:t>
      </w:r>
      <w:r>
        <w:rPr>
          <w:rFonts w:ascii="Times New Roman" w:hAnsi="Times New Roman"/>
          <w:noProof/>
          <w:sz w:val="24"/>
          <w:szCs w:val="24"/>
        </w:rPr>
        <w:t xml:space="preserve"> se jkun kruċjali biex jintlaħqu l-objettivi tat-tranżizzjonijiet doppji.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Il-big data u l-analitika avvanzata qed jevolvu malajr</w:t>
      </w:r>
      <w:r>
        <w:rPr>
          <w:rFonts w:ascii="Times New Roman" w:hAnsi="Times New Roman"/>
          <w:noProof/>
          <w:sz w:val="24"/>
          <w:szCs w:val="24"/>
        </w:rPr>
        <w:t xml:space="preserve">, bl-Istati Uniti u biċ-Ċina fuq quddiem nett. Dawn jipprovdu indikaturi bikrija f’ħin reali ta’ kriżijiet possibbli, detezzjoni bikrija ta’ mard u detezzjoni fuq medda kbira tal-attività militari. L-użu ta’ tali analitika fit-teħid tad-deċiżjonijiet x’aktarx li se jiżdied. Minn perspettiva tal-UE, huwa importanti li dawn it-teknoloġiji jiġu żviluppati filwaqt li jiġu rrispettati d-drittijiet fundamentali u l-valuri tal-UE, speċjalment fejn l-iżvilupp u l-adozzjoni tagħhom jiddependu fuq volumi kbar ħafna ta’ 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, inkluża 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personali. L-iżvilupp u l-adozzjoni ta’ teknoloġiji kritiċi jiddependu fuq volumi kbar ħafna ta’ 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>. Attwalment, id-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prodotta fl-UE hija fil-biċċa l-kbira maħżuna u pproċessata fi cloud storage operat minn fornituri li mhumiex fl-UE, li jagħmluha soġġetta għal ġurisdizzjonijiet ta’ pajjiżi terzi. Dan joħloq dipendenzi strateġiċi u riskji għaċ-ċibersigurtà, il-protezzjoni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>, l-aċċess u s-sigurtà. Jimplika wkoll li fornituri mhux tal-UE jibbenefikaw kummerċjalment mill-proċessar ta’ din id-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>. L-UE għandha tibni kapaċitajiet biex taħżen id-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u tiżgura aċċess għal 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miftuħa, sigura u trasparenti u disponibbiltà għolja ta’ konnessjoni bi klassifikazzjoni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>. Għandha tissalvagwardja wkoll il-vantaġġ ewlieni tagħha fl-iżvilupp u fl-użu ta’ intelliġenza artifiċjali affidabbli. Għandha tippromwovi l-istandards u l-valuri ma’ sħab fdati madwar id-dinja.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Fid-dawl taż-żieda esponenzjali fid-domanda għas-semikondutturi, l-UE jeħtieġ li tpoġġi lilha nnifisha f’pożizzjoni aktar soda fl-iżvilupp u fil-produzzjoni tat-teknoloġiji tal-ġenerazzjoni li jmiss. </w:t>
      </w:r>
      <w:r>
        <w:rPr>
          <w:rFonts w:ascii="Times New Roman" w:hAnsi="Times New Roman"/>
          <w:noProof/>
          <w:sz w:val="24"/>
          <w:szCs w:val="24"/>
        </w:rPr>
        <w:t>L-aċċess għas-semikondutturi jista’ jiġi kompromess minn kapaċità limitata ta’ produzzjoni, u n-nuqqasijiet jistgħu jaffettwaw ħafna l-kontinwità tal-operat ta’ industriji differenti. L-UE għandha punti tajbin notevoli u hija l-bażi ta’ fornitur kruċjali ta’ tagħmir tal-manifattura għall-manifatturi ewlenin kollha, iżda għadha lura fil-produzzjoni tal-proċessuri tal-ġenerazzjoni li jmiss u tas-semikondutturi avvanzati. It-Tajwan, iċ-Ċina, il-Korea t’Isfel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1"/>
      </w:r>
      <w:r>
        <w:rPr>
          <w:rFonts w:ascii="Times New Roman" w:hAnsi="Times New Roman"/>
          <w:noProof/>
          <w:sz w:val="24"/>
          <w:szCs w:val="24"/>
        </w:rPr>
        <w:t xml:space="preserve"> u l-Istati Uniti qed jinvestu ħafna biex iżidu l-produzzjoni domestika tagħhom tas-semikondutturi. Barra minn hekk, il-produtturi taċ-ċipep fit-Tajwan, fil-Korea t’Isfel, fil-Ġappun u fl-Istati Uniti ħabbru investimenti privati enormi f’kapaċitajiet tal-produzzjoni ġodda. Sabiex tibqa’ fit-tellieqa, l-UE jeħtieġ li tinvesti fil-kapaċitajiet għall-ġenerazzjoni li jmiss ta’ proċessuri u ta’ ċipep ta’ semikondutturi. Dan jeħtieġ skrinjar aktar strett tal-akkwiżizzjoni barranija tal-kapaċitajiet tal-produzzjoni Ewropej, investimenti fir-riċerka u fl-iżvilupp, u l-istabbiliment ta’ kundizzjonijiet favorevoli tul il-katina tal-valur.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L-iżgurar u d-diversifikazzjoni tal-provvista ta’ materja prima kritika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Il-materja prima kritika hija essenzjali għat-tranżizzjonijiet doppji tal-UE. </w:t>
      </w:r>
      <w:r>
        <w:rPr>
          <w:rFonts w:ascii="Times New Roman" w:hAnsi="Times New Roman"/>
          <w:noProof/>
          <w:sz w:val="24"/>
          <w:szCs w:val="24"/>
        </w:rPr>
        <w:t>L-espansjoni tat-teknoloġiji ekoloġiċi, bħal dawk li jirfdu l-enerġija eolika u solari, il-ħżin domestiku tal-enerġija, u l-produzzjoni ta’ batteriji għall-vetturi elettriċi se jżidu d-domanda għal materja prima bħall-kobalt, il-litju, il-grafit, il-manganiż u n-nikil fl-għoxrin sena li ġejjin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2"/>
      </w:r>
      <w:r>
        <w:rPr>
          <w:rFonts w:ascii="Times New Roman" w:hAnsi="Times New Roman"/>
          <w:noProof/>
          <w:sz w:val="24"/>
          <w:szCs w:val="24"/>
        </w:rPr>
        <w:t>. Madankollu, l-isfida tmur lil hinn mit-teknoloġiji ekoloġiċi. Pereżempju, is-settur għad-droni żgħar, li għalihom iċ-Ċina tipprovdi aktar minn terz tal-materja prima, huwa mistenni li jikber b’mod esponenzjali bejn issa u l-2030ijiet, b’potenzjal għoli għas-subsetturi ċivili u kummerċjali, u b’domanda li qed tiżdied b’mod qawwi għall-gallju, l-indju, l-iskandju u t-titanju, fost l-oħrajn. L-industrija tad-difiża tiddependi ħafna fuq materja prima kritika, pereżempju kważi nofs il-materja meħtieġa fil-produzzjoni tal-inġenji tal-ajru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3"/>
      </w:r>
      <w:r>
        <w:rPr>
          <w:rFonts w:ascii="Times New Roman" w:hAnsi="Times New Roman"/>
          <w:noProof/>
          <w:sz w:val="24"/>
          <w:szCs w:val="24"/>
        </w:rPr>
        <w:t xml:space="preserve"> tiġi minn pajjiżi mhux tal-UE. Iż-żieda fid-domanda għall-materja prima kritika hija mistennija li tikkoinċidi ma’ żieda fir-rieda tal-fornituri ewlenin (</w:t>
      </w:r>
      <w:r>
        <w:rPr>
          <w:rFonts w:ascii="Times New Roman" w:hAnsi="Times New Roman"/>
          <w:i/>
          <w:noProof/>
          <w:sz w:val="24"/>
          <w:szCs w:val="24"/>
        </w:rPr>
        <w:t>Illustrazzjoni 4</w:t>
      </w:r>
      <w:r>
        <w:rPr>
          <w:rFonts w:ascii="Times New Roman" w:hAnsi="Times New Roman"/>
          <w:noProof/>
          <w:sz w:val="24"/>
          <w:szCs w:val="24"/>
        </w:rPr>
        <w:t>) li jimponu restrizzjonijiet fuq l-esportazzjoni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4"/>
      </w:r>
      <w:r>
        <w:rPr>
          <w:rFonts w:ascii="Times New Roman" w:hAnsi="Times New Roman"/>
          <w:noProof/>
          <w:sz w:val="24"/>
          <w:szCs w:val="24"/>
        </w:rPr>
        <w:t>.</w:t>
      </w:r>
    </w:p>
    <w:p>
      <w:pPr>
        <w:spacing w:after="24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t>Illustrazzjoni 4: Il-fornituri ewlenin tal-UE għall-materja prima kritika</w:t>
      </w:r>
      <w:r>
        <w:rPr>
          <w:rStyle w:val="FootnoteReference"/>
          <w:rFonts w:ascii="Times New Roman" w:hAnsi="Times New Roman" w:cs="Times New Roman"/>
          <w:b/>
          <w:i/>
          <w:noProof/>
          <w:sz w:val="24"/>
          <w:szCs w:val="24"/>
        </w:rPr>
        <w:footnoteReference w:id="55"/>
      </w:r>
    </w:p>
    <w:p>
      <w:pPr>
        <w:spacing w:after="24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620553" cy="26502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065" cy="267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Taħlita intelliġenti ta’ politiki industrijali, tar-riċerka u tal-kummerċ ma’ sħubijiet internazzjonali tista’ tiżgura provvista sostenibbli u diversa.</w:t>
      </w:r>
      <w:r>
        <w:rPr>
          <w:rFonts w:ascii="Times New Roman" w:hAnsi="Times New Roman"/>
          <w:noProof/>
          <w:sz w:val="24"/>
          <w:szCs w:val="24"/>
        </w:rPr>
        <w:t xml:space="preserve"> L-UE qed tiffaċċja sfidi relatati mal-aċċess, id-diversifikazzjoni limitata, l-interruzzjonijiet fil-provvista u l-kapaċitajiet insuffiċjenti ta’ pproċessar, ta’ riċiklaġġ, ta’ raffinar u ta’ separazzjoni. L-UE jeħtieġ li tħejji għal erożjoni futura tas-sigurtà tal-provvista kritika minħabba fatturi ewlenin li jsawru l-ambjent ġeopolitiku: il-fraġilità tal-istat, il-koerċizzjoni ekonomika, u t-tibdil fil-klima. Fil-biċċa l-kbira tal-każijiet, l-industrija tinsab fl-aħjar pożizzjoni biex tnaqqas id-dipendenzi strateġiċi billi tiddiversifika l-provvista, tagħmel użu akbar mill-materja prima sekondarja, u bis-sostituzzjoni. Madankollu, il-potenzjal għad-diversifikazzjoni tal-provvista għal ħafna materja prima kritika huwa pjuttost limitat minħabba sorsi ġeografikament limitati jew monopolji jew oligopolji </w:t>
      </w:r>
      <w:r>
        <w:rPr>
          <w:rFonts w:ascii="Times New Roman" w:hAnsi="Times New Roman"/>
          <w:i/>
          <w:noProof/>
          <w:sz w:val="24"/>
          <w:szCs w:val="24"/>
        </w:rPr>
        <w:t>de facto</w:t>
      </w:r>
      <w:r>
        <w:rPr>
          <w:rFonts w:ascii="Times New Roman" w:hAnsi="Times New Roman"/>
          <w:noProof/>
          <w:sz w:val="24"/>
          <w:szCs w:val="24"/>
        </w:rPr>
        <w:t>. L-isforzi tal-industrija biex tiżgura l-aċċess għall-materja prima kritika u tnaqqas id-domanda tagħha (permezz tal-effiċjenza, l-estensjoni tat-tul tal-ħajja tal-prodott u l-ekonomija ċirkolari) jeħtieġu strateġija ċara fit-tul. Fl-aħħar nett, jeħtieġ li jiġu esplorati modi ġodda ta’ akkwist, bħall-estrazzjoni minerarja minn qiegħ il-baħar u mill-ispazju, f’konformità mal-prinċipji u mal-impenji miftiehma internazzjonalment.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L-iżgurar tal-pożizzjoni ta’ min jidħol l-ewwel globalment fl-iffissar tal-istandards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L-UE tinsab f’kompetizzjoni għall-vantaġġ ta’ min jidħol l-ewwel fl-iffissar tal-istandards.</w:t>
      </w:r>
      <w:r>
        <w:rPr>
          <w:rFonts w:ascii="Times New Roman" w:hAnsi="Times New Roman"/>
          <w:noProof/>
          <w:sz w:val="24"/>
          <w:szCs w:val="24"/>
        </w:rPr>
        <w:t xml:space="preserve"> Dan huwa partikolarment rilevanti fit-teknoloġiji emerġenti (u l-prodotti u s-servizzi relatati), bħall-intelliġenza artifiċjali, il-blockchain, il-kwantum, iċ-ċibersigurtà, id-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sensittiva u speċjalizzata (eż. fl-oqsma tas-saħħa u tal-ispazju), il-muniti diġitali u s-sustanzi kimiċi. Oqsma prijoritarji oħra jinkludu teknoloġiji ekoloġiċi bħall-idroġenu, il-ħżin tal-enerġija, it-teknoloġija eolika lil hinn mill-kosta u t-trasport sostenibbli. Is-sħab kummerċjali tagħna qed jieħdu azzjonijiet aktar assertivi f’termini ta’ ffissar ta’ standards, eż. iċ-Ċina qed taħdem fuq pjan ta’ “Standards taċ-Ċina 2035” biex tidentifika t-teknoloġiji tal-ġenerazzjoni li jmiss li tista’ timponi fuq il-140 pajjiż li jipparteċipaw fl-Inizjattiva tat-Triq tal-Ħarir (“Belt and Road”). Madankollu, il-kapitaliżmu tal-istat Ċiniż mhux dejjem ikun kompatibbli ma’ regolamentazzjoni globali miftuħa, ma’ standards iċċentrati fuq il-bniedem u ma’ valuri sostenibbli.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Ir-rekord tal-UE fl-istabbiliment ta’ regoli interni u standards internazzjonali </w:t>
      </w:r>
      <w:r>
        <w:rPr>
          <w:rFonts w:ascii="Times New Roman" w:hAnsi="Times New Roman"/>
          <w:b/>
          <w:i/>
          <w:noProof/>
          <w:sz w:val="24"/>
          <w:szCs w:val="24"/>
        </w:rPr>
        <w:t>de facto</w:t>
      </w:r>
      <w:r>
        <w:rPr>
          <w:rFonts w:ascii="Times New Roman" w:hAnsi="Times New Roman"/>
          <w:b/>
          <w:noProof/>
          <w:sz w:val="24"/>
          <w:szCs w:val="24"/>
        </w:rPr>
        <w:t xml:space="preserve"> tipprovdi bażi soda biex tiġi indirizzata din l-isfida.</w:t>
      </w:r>
      <w:r>
        <w:rPr>
          <w:rFonts w:ascii="Times New Roman" w:hAnsi="Times New Roman"/>
          <w:noProof/>
          <w:sz w:val="24"/>
          <w:szCs w:val="24"/>
        </w:rPr>
        <w:t xml:space="preserve"> L-hekk imsejjaħ “effett ta’ Brussell”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6"/>
      </w:r>
      <w:r>
        <w:rPr>
          <w:rFonts w:ascii="Times New Roman" w:hAnsi="Times New Roman"/>
          <w:noProof/>
          <w:sz w:val="24"/>
          <w:szCs w:val="24"/>
        </w:rPr>
        <w:t>, fejn il-korporazzjonijiet multinazzjonali jikkonformaw mar-regolamentazzjoni fil-livell tal-UE, huwa prodott sekondarju tal-istrettezza ta’ dik ir-regolamentazzjoni u tad-daqs tas-suq uniku. Il-pożizzjoni kummerċjali tal-UE hija wkoll mutur ewlieni fis-setgħa regolatorja u tal-iffissar tal-istandards tagħha, inkluż fi swieq u f’teknoloġiji futuri ewlenin. L-UE hija l-akbar attur fil-kummerċ dinji u l-akbar sieħeb kummerċjali għal 74 pajjiż, aktar miċ-Ċina (66) u mill-Istati Uniti (31). Hija l-akbar sieħeb kummerċjali għall-Asja, għall-Afrika, għall-Istati Uniti, għall-Balkani tal-Punent u għall-viċinat tal-UE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7"/>
      </w:r>
      <w:r>
        <w:rPr>
          <w:rFonts w:ascii="Times New Roman" w:hAnsi="Times New Roman"/>
          <w:noProof/>
          <w:sz w:val="24"/>
          <w:szCs w:val="24"/>
        </w:rPr>
        <w:t>. L-aċċettazzjoni internazzjonali tal-istandards tal-UE hija kruċjali għall-influwenza tagħha fl-ordni globali u fil-pożizzjoni ewlenija dwar it-tibdil fil-klima, is-sostenibbiltà u l-protezzjoni tal-konsumaturi, id-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personali u d-drittijiet fuq il-post tax-xogħol. Għal dan l-għan, l-UE se tkompli timpenja ruħha f’kooperazzjoni regolatorja attiva, filwaqt li tiżgura rwol ewlieni fl-organizzazzjonijiet internazzjonali li jistabbilixxu n-normi, bħall-Organizzazzjoni Internazzjonali għall-Istandardizzazzjoni.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Il-bini ta’ sistemi ekonomiċi u finanzjarji reżiljenti u li jibqgħu validi għall-futur</w:t>
      </w:r>
    </w:p>
    <w:p>
      <w:pPr>
        <w:spacing w:after="2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Ekonomija reżiljenti u stabbli hija kritika biex jiġu indirizzati l-isfidi fit-tul tal-UE. </w:t>
      </w:r>
      <w:r>
        <w:rPr>
          <w:rFonts w:ascii="Times New Roman" w:hAnsi="Times New Roman"/>
          <w:noProof/>
          <w:sz w:val="24"/>
          <w:szCs w:val="24"/>
        </w:rPr>
        <w:t xml:space="preserve">L-UE għandha tkompli żżid ir-reżiljenza u l-potenzjal tat-tkabbir tal-ekonomija tagħha billi tindirizza l-vulnerabbiltajiet li fadal sabiex tiffaċilita t-tranżizzjonijiet li għaddejjin u biex tkun tiflaħ għal xokkijiet futuri. Il-prinċipji fundamentali ekonomiċi solidi, il-produttività, l-investimenti u r-riformi se jiddeterminaw il-prestazzjoni ekonomika futura tal-UE, marbuta ma’ kundizzjonijiet ta’ finanzjament pożittivi għas-settur pubbliku u privat.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L-ekonomija soċjali tas-suq tal-Ewropa hija wkoll kruċjali għall-mudell demokratiku tagħha,</w:t>
      </w:r>
      <w:r>
        <w:rPr>
          <w:rFonts w:ascii="Times New Roman" w:hAnsi="Times New Roman"/>
          <w:noProof/>
          <w:sz w:val="24"/>
          <w:szCs w:val="24"/>
        </w:rPr>
        <w:t xml:space="preserve"> billi tipproteġi lin-nies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kontra r-riskji soċjali u l-konsegwenzi tagħhom. </w:t>
      </w:r>
      <w:r>
        <w:rPr>
          <w:rFonts w:ascii="Times New Roman" w:hAnsi="Times New Roman"/>
          <w:noProof/>
          <w:sz w:val="24"/>
          <w:szCs w:val="24"/>
        </w:rPr>
        <w:t>Is-suq uniku jagħti bażi b’saħħitha għall-irkupru u r-reżiljenza tal-industrija tal-UE, u biex jiġu ffaċilitati t-tranżizzjonijiet ekoloġiċi u diġitali. Sabiex jiġu aċċettati, dawn it-tranżizzjonijiet iridu jkunu ġusti u akkumpanjati minn konverġenza ekonomika u soċjali aktar b’saħħitha. Il-kriżi tal-COVID-19 enfasizzat l-importanza ta’ suq uniku miftuħ, kompetittiv u li jiffunzjona bis-sħiħ biex in-negozji jkunu jistgħu jikbru għall-iskala meħtieġa biex jikkompetu globalment.</w:t>
      </w:r>
    </w:p>
    <w:p>
      <w:pPr>
        <w:spacing w:after="24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Is-sistema finanzjarja tal-UE se tgħaddi minn tibdiliet profondi bħala riżultat tat-tibdil fil-klima, tal-bidliet teknoloġiċi u ta’ Brexit. </w:t>
      </w:r>
      <w:r>
        <w:rPr>
          <w:rFonts w:ascii="Times New Roman" w:hAnsi="Times New Roman"/>
          <w:noProof/>
          <w:sz w:val="24"/>
          <w:szCs w:val="24"/>
        </w:rPr>
        <w:t>Għalhekk, determinazzjoni politika sostnuta biex jitneħħew l-ostakli li fadal għall-integrazzjoni tas-suq u biex jiġu implimentati bis-sħiħ l-Unjoni tas-Swieq Kapitali u l-Unjoni Bankarja hija essenzjali biex jiġu ddiversifikati u approfonditi s-sorsi ta’ finanzjament għall-kumpaniji tal-UE, jittejbu l-opportunitajiet ta’ ffrankar għaċ-ċittadini tal-UE, tissaħħaħ il-kapaċità tal-UE li tassorbi x-xokkijiet u jiġu appoġġjati swieq finanzjarji domestiċi aktar b’saħħithom. Din tista’ tindirizza wkoll l-arbitraġġ regolatorju bejn l-Istati Membri u ma’ pajjiżi terzi fil-viċinat. Il-ħruġ tar-Renju Unit bħala ċentru finanzjarju ewlieni mill-UE jsaħħaħ il-ħtieġa li jkomplu jiġu approfonditi s-swieq kapitali tal-Unjoni, u s-swieq tal-UE wrew adattabilità u reżiljenza qawwija. Madankollu, għad hemm sfidi fuq terminu ta’ żmien medju għall-istabbiltà finanzjarja u r-reżiljenza. L-aktar importanti fost dawn hija li l-parteċipanti tas-suq tal-UE għad għandhom dipendenza eċċessiva fuq infrastruttura finanzjarja essenzjali barra mill-UE, li tista’ tamplifika r-riskji għall-istabbiltà finanzjarja. Barra minn hekk, il-kapaċità superviżorja fl-UE jeħtieġ li tkun strutturata b’mod adegwat fid-dawl tal-konfigurazzjoni mill-ġdid kontinwa tal-ktajjen tal-valur u r-rilokazzjoni tan-negozji lejn l-UE wara Brexit.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Is-sistema finanzjarja tal-UE għandha wkoll rwol ewlieni fil-finanzjament tat-tranżizzjoni lejn ekonomija newtrali għall-klima u r-reżiljenza kontra d-degradazzjoni ambjentali. </w:t>
      </w:r>
      <w:r>
        <w:rPr>
          <w:rFonts w:ascii="Times New Roman" w:hAnsi="Times New Roman"/>
          <w:noProof/>
          <w:sz w:val="24"/>
          <w:szCs w:val="24"/>
        </w:rPr>
        <w:t>L-UE se teħtieġ EUR 470 biljun f’investiment addizzjonali fis-sena biex tilħaq il-miri klimatiċi u ambjentali tagħha għall-2030, li se teħtieġ mobilizzazzjoni enormi tal-kapital privat.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L-investituri istituzzjonali u fil-livell tal-konsumatur qed juru interess dejjem akbar fl-investiment sostenibbli, kif muri miż-żieda ta’ ħames darbiet fil-flussi kapitali netti attirati mill-fondi ta’ ekwità li jadottaw strateġiji ambjentali, soċjali u ta’ governanza (ESG) fl-10 xhur ta’ wara din l-adozzjoni, meta mqabbla mal-10 xhur ta’ qabel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8"/>
      </w:r>
      <w:r>
        <w:rPr>
          <w:rFonts w:ascii="Times New Roman" w:hAnsi="Times New Roman"/>
          <w:noProof/>
          <w:sz w:val="24"/>
          <w:szCs w:val="24"/>
        </w:rPr>
        <w:t xml:space="preserve">. Trasparenza akbar tal-impronta ekoloġika tal-prodotti finanzjarji u tal-klassifikazzjonijiet, kif ukoll aċċess għal 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affidabbli rilevanti għas-sostenibbiltà, se jkunu essenzjali għall-finanzjament ta’ tranżizzjoni ordnata u għall-prevenzjoni tal-“greenwashing”.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It-tibdil fil-klima u d-degradazzjoni ambjentali jistgħu jaffettwaw ukoll l-istabbiltà finanzjarja direttament minħabba eventi ta’ temp estrem aktar frekwenti u severi</w:t>
      </w:r>
      <w:r>
        <w:rPr>
          <w:rFonts w:ascii="Times New Roman" w:hAnsi="Times New Roman"/>
          <w:noProof/>
          <w:sz w:val="24"/>
          <w:szCs w:val="24"/>
        </w:rPr>
        <w:t xml:space="preserve">. Bħalissa 30 % biss tat-telf ekonomiku kollu huwa assigurat. L-investimenti f’attivitajiet u f’assi mhux sostenibbli huma dejjem aktar probabbli li jmorru ħażin u l-istabbiltà finanzjarja tista’ tiġi kompromessa f’każ ta’ reazzjoni diżordnata u f’daqqa għat-tranżizzjoni. Is-sistema finanzjarja tal-UE jeħtieġ li tintegra b’mod sistematiku r-riskji u l-impatti tas-sostenibbiltà fit-teħid ta’ deċiżjonijiet finanzjarji, u tintegra strateġiji fit-tul għall-ġestjoni tar-riskju u għall-finanzjament għal riskji ta’ diżastri.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L-era diġitali se tinfluwenza wkoll il-mezzi ta’ pagament u s-swieq kapitali, bi rwol dejjem akbar tal-kriptoassi u bl-iżvilupp ta’ muniti diġitali.</w:t>
      </w:r>
      <w:r>
        <w:rPr>
          <w:rFonts w:ascii="Times New Roman" w:hAnsi="Times New Roman"/>
          <w:noProof/>
          <w:sz w:val="24"/>
          <w:szCs w:val="24"/>
        </w:rPr>
        <w:t xml:space="preserve"> Il-finanzi diġitali jistgħu joħolqu opportunitajiet ġodda għaċ-ċittadini u għan-negozji, iżda jeħtieġ li tiġi żgurata l-protezzjoni tal-konsumatur. Huwa meħtieġ settur finanzjarju diġitali tal-UE b’saħħtu, kompetittiv, irregolat kif xieraq u supervizzat.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L-istabbiliment tar-</w:t>
      </w:r>
      <w:r>
        <w:rPr>
          <w:rFonts w:ascii="Times New Roman" w:hAnsi="Times New Roman"/>
          <w:i/>
          <w:noProof/>
          <w:sz w:val="24"/>
          <w:szCs w:val="24"/>
        </w:rPr>
        <w:t xml:space="preserve">renminbi </w:t>
      </w:r>
      <w:r>
        <w:rPr>
          <w:rFonts w:ascii="Times New Roman" w:hAnsi="Times New Roman"/>
          <w:noProof/>
          <w:sz w:val="24"/>
          <w:szCs w:val="24"/>
        </w:rPr>
        <w:t xml:space="preserve">diġitali Ċiniża qed jagħmel progress rapidu u pajjiżi oħra wkoll qed jaħdmu fuq il-muniti diġitali tagħhom stess. Il-muniti diġitali tal-banek ċentrali jkollhom impatt ukoll fuq il-mudell kurrenti tal-banek ċentrali, it-tmexxija tal-politika monetarja, u s-sistemi ta’ protezzjoni tal-konsumatur. Il-Bank Ċentrali Ewropew, flimkien mal-Kummissjoni, huwa impenjat b’mod attiv fil-ħidma fuq il-kunċett ta’ euro diġitali, li tista’ ġġib benefiċċji sinifikanti liċ-ċittadini u lin-negozji tal-UE. Madankollu, biex jiġu sfruttati l-benefiċċji ta’ euro diġitali pubbliku, huwa kruċjali li jiġu indirizzati l-isfidi potenzjali għall-politiki tal-UE, bħal dawk relatati mal-intermedjazzjoni u mal-istabbiltà finanzjarji.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Użu usa’ tal-euro fil-kummerċ u fis-servizzi internazzjonali, inkluż fis-swieq tal-enerġija, u soluzzjonijiet madwar l-UE għall-pagamenti istantanji jsaħħu l-influwenza strateġika tal-UE.</w:t>
      </w:r>
      <w:r>
        <w:rPr>
          <w:rFonts w:ascii="Times New Roman" w:hAnsi="Times New Roman"/>
          <w:noProof/>
          <w:sz w:val="24"/>
          <w:szCs w:val="24"/>
        </w:rPr>
        <w:t xml:space="preserve"> Isaħħaħ ir-reżiljenza tal-UE, inkluż għall-applikazzjoni ekstraterritorjali tas-sanzjonijiet minn pajjiżi terzi. Jippermetti lill-UE tkompli tibbenefika mis-swieq finanzjarji internazzjonali, filwaqt li timmaniġġa r-riskji esterni u tevita d-dipendenzi strateġiċi. Fl-istess ħin, id-dgħufijiet fl-integrità tal-fornituri tas-servizzi, tas-swieq u tal-infrastrutturi ta’ pajjiżi terzi jistgħu joħolqu riskji.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L-UE jeħtieġ li tibqa’ fuq quddiem nett globalment fil-ġlieda kontra l-ħasil tal-flus u l-finanzjament tat-terroriżmu u tiżgura salvagwardji xierqa kontra dawn l-għanijiet illeċiti.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L-iżvilupp u ż-żamma ta’ ħiliet u ta’ talenti li jaqblu mal-ambizzjonijiet tal-UE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Se jkunu meħtieġa risponsi ċari biex jiġu affaċċjati b’suċċess ix-xejriet demografiċi u biex jitneħħew id-diskrepanzi eżistenti fil-ħiliet fil-kuntest tat-tranżizzjonijiet doppji.</w:t>
      </w:r>
      <w:r>
        <w:rPr>
          <w:rFonts w:ascii="Times New Roman" w:hAnsi="Times New Roman"/>
          <w:noProof/>
          <w:sz w:val="24"/>
          <w:szCs w:val="24"/>
        </w:rPr>
        <w:t xml:space="preserve"> Filwaqt li hija meħtieġa parteċipazzjoni akbar fil-forza tax-xogħol, il-politiki tas-suq tax-xogħol u dawk soċjali se jkollhom jiġu aġġustati sabiex tiġi evitata żieda fl-inugwaljanzi soċjoekonomiċi u jiġu żgurati kundizzjonijiet tax-xogħol ġusti, dħul diċenti u aċċess għas-sigurtà soċjali. Il-kooperazzjoni mill-qrib mas-sħab soċjali hija kruċjali biex tiġi indirizzata din ir-realtà l-ġdida. Filwaqt li jiġu żgurati kundizzjonijiet tax-xogħol tajbin u jiġu integrati fi ħdan politiki ta’ tixjiħ attiv, l-estensjoni tal-età effettiva tal-irtirar b’sena tista’ żżid erba’ miljun persuna fis-suq tax-xogħol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9"/>
      </w:r>
      <w:r>
        <w:rPr>
          <w:rFonts w:ascii="Times New Roman" w:hAnsi="Times New Roman"/>
          <w:noProof/>
          <w:sz w:val="24"/>
          <w:szCs w:val="24"/>
        </w:rPr>
        <w:t>. Il-parteċipazzjoni akbar tan-nisa fil-forza tax-xogħol, permezz ta’ miżuri mmirati li jiżguraw l-ugwaljanza bejn il-ġeneri u l-bilanċ bejn ix-xogħol u l-ħajja privata, ukoll tappoġġja r-rati ta’ impjieg. Dan huwa partikolarment il-każ fl-Istati Membri b’rati ta’ parteċipazzjoni tan-nisa taħt il-medja tal-UE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0"/>
      </w:r>
      <w:r>
        <w:rPr>
          <w:rFonts w:ascii="Times New Roman" w:hAnsi="Times New Roman"/>
          <w:noProof/>
          <w:sz w:val="24"/>
          <w:szCs w:val="24"/>
        </w:rPr>
        <w:t>. Il-parteċipazzjoni akbar fil-forza tax-xogħol iġġib benefiċċji ekonomiċi u soċjali madwar l-UE, eż. proporzjon aktar baxx ta’ persuni dipendenti li ma jaħdmux u parteċipazzjoni akbar fil-forza tax-xogħol. Barra minn hekk, approċċi ġodda għax-xejriet tax-xogħol jgħinu jtaffu l-iżvantaġġi tat-tixjiħ tal-popolazzjoni. Migrazzjoni legali ġestita tajjeb li tindirizza l-ħtiġijiet u d-diskrepanzi b’rabta mal-ħiliet, flimkien ma’ politiki effettivi ta’ integrazzjoni, tagħti kontribut importanti lis-suq tax-xogħol tal-UE.</w:t>
      </w:r>
      <w:r>
        <w:rPr>
          <w:noProof/>
        </w:rPr>
        <w:t xml:space="preserve">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Iż-żgħażagħ jistħoqqilhom aċċess aħjar għal impjiegi ta’ kwalità.</w:t>
      </w:r>
      <w:r>
        <w:rPr>
          <w:rFonts w:ascii="Times New Roman" w:hAnsi="Times New Roman"/>
          <w:noProof/>
          <w:sz w:val="24"/>
          <w:szCs w:val="24"/>
        </w:rPr>
        <w:t xml:space="preserve"> Se jkun meħtieġ appoġġ kontinwu għall-impjieg taż-żgħażagħ permezz ta’ skemi ta’ appoġġ immirati. Il-ġenerazzjoni li jmiss hija dejjem aktar lesta għat-tranżizzjoni diġitali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1"/>
      </w:r>
      <w:r>
        <w:rPr>
          <w:rFonts w:ascii="Times New Roman" w:hAnsi="Times New Roman"/>
          <w:noProof/>
          <w:sz w:val="24"/>
          <w:szCs w:val="24"/>
        </w:rPr>
        <w:t xml:space="preserve">, għalkemm għad hemm l-isfida li jitneħħew id-diskrepanzi fil-ħiliet diġitali u li aktar nisa żgħażagħ jistudjaw is-suġġetti STEAM (ix-xjenza, it-teknoloġija, l-inġinerija, l-arti u l-matematika). L-iffaċilitar tat-tranżizzjoni mill-edukazzjoni għall-impjieg, il-ħolqien ta’ impjiegi inizjali ta’ kwalità u l-involviment taż-żgħażagħ fid-djalogu politiku wkoll se jkunu kruċjali għaż-żgħażagħ li jidħlu fis-suq tax-xogħol. </w:t>
      </w:r>
    </w:p>
    <w:p>
      <w:pPr>
        <w:spacing w:after="24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L-isfruttar tal-opportunitajiet tax-xogħol tat-tranżizzjonijiet doppji se jeħtieġ azzjoni politika li tappoġġa t-tranżizzjoni lejn tipi ġodda ta’ impjiegi</w:t>
      </w:r>
      <w:r>
        <w:rPr>
          <w:rFonts w:ascii="Times New Roman" w:hAnsi="Times New Roman"/>
          <w:noProof/>
          <w:sz w:val="24"/>
          <w:szCs w:val="24"/>
        </w:rPr>
        <w:t>. Dan jinkludi appoġġ lir-reġjuni u lill-ħaddiema f’setturi li se jgħaddu minn tranżizzjoni u taħlita tajba ta’ appoġġ, ta’ inċentivi u ta’ kundizzjonijiet qafas għall-kumpaniji minn setturi tradizzjonali u ġodda. Se jkunu meħtieġa wkoll aġġustamenti fis-sistemi tal-edukazzjoni u tat-taħriġ, peress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li r-rekwiżiti tal-ħiliet u l-livelli tal-edukazzjoni qed jiżdiedu b’rata mgħaġġla fl-ekonomija ekoloġika u diġitali, aktar mgħaġġla milli fl-ekonomija ġenerali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footnoteReference w:id="62"/>
      </w:r>
      <w:r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Il-forza tax-xogħol futura tal-UE x’aktarx li se tkun edukata aħjar u aktar kapaċi tadatta għan-natura li qed tinbidel tax-xogħol u għall-intelliġenza awmentata. Sal-2050, 54 % tal-parteċipanti kollha fis-suq tax-xogħol huma mistennija li jkollhom edukazzjoni postsekondarja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3"/>
      </w:r>
      <w:r>
        <w:rPr>
          <w:rFonts w:ascii="Times New Roman" w:hAnsi="Times New Roman"/>
          <w:noProof/>
          <w:sz w:val="24"/>
          <w:szCs w:val="24"/>
        </w:rPr>
        <w:t>. Il-kompetenzi STEAM, il-ħiliet u l-litteriżmu diġitali, flimkien ma’ għarfien espert speċifiku għas-settur biex tinkiseb it-tranżizzjoni ekoloġika (eż. fl-enerġija rinnovabbli, fl-ekonomija ċirkolari, f’teknoloġiji ekoloġiċi ġodda jew f’soluzzjonijiet ibbażati fuq in-natura) se jkunu indispensabbli għal suq tax-xogħol li jirnexxi u għall-integrazzjoni soċjali b’suċċess. Sabiex jiġi żgurat l-aċċess għall-ħiliet ta’ għada, is-sistemi tal-edukazzjoni u tat-taħriġ tal-UE se jkollhom jibqgħu fuq quddiem nett fid-dinja. L-UE għandha tinċentiva wkoll aktar mit-talenti tagħha (fl-universitajiet, fl-istituzzjonijiet tar-riċerka jew fin-negozji) jibqgħu fl-Ewropa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4"/>
      </w:r>
      <w:r>
        <w:rPr>
          <w:rFonts w:ascii="Times New Roman" w:hAnsi="Times New Roman"/>
          <w:noProof/>
          <w:sz w:val="24"/>
          <w:szCs w:val="24"/>
        </w:rPr>
        <w:t xml:space="preserve"> u ttaffi l-eżodu ta’ mħuħ bejn l-Istati Membri u r-reġjuni.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It-tisħiħ tal-kapaċitajiet tas-sigurtà u tad-difiża u l-aċċess għall-ispazju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Hija meħtieġa azzjoni biex jittaffa r-riskju akbar ta’ kunflitt, ta’ instabbiltà interna u ta’ tfixkil tal-infrastrutturi kritiċi</w:t>
      </w:r>
      <w:r>
        <w:rPr>
          <w:rFonts w:ascii="Times New Roman" w:hAnsi="Times New Roman"/>
          <w:noProof/>
          <w:sz w:val="24"/>
          <w:szCs w:val="24"/>
        </w:rPr>
        <w:t>. L-UE jeħtieġ li tkompli jkollha rwol essenzjali fid-diplomazija preventiva u fl-appoġġ, fl-adattament u fit-titjib tal-għodod tagħha biex tiżgura l-effettività tal-azzjonijiet tagħha. Il-bini tal-fiduċja u l-koordinazzjoni fost l-Istati Membri, kif ukoll il-kapaċità li jiġu antiċipati aħjar ir-riskji, filwaqt li titgħallem mill-esperjenza, jistgħu jipprovdu lill-UE b’influwenza akbar u bil-kapaċità li taġixxi b’mod konġunt fuq kwistjonijiet tad-difiża u tas-sigurtà. L-UE għandha tkompli tappoġġja lill-Istati Membri biex jiżviluppaw għodod adegwati, inkluż biex jibnu r-reżiljenza u jirrispondu għat-theddid ibridu b’rispett sħiħ tal-qafas legali u etiku tal-UE. Iż-żieda fil-probabbiltà ta’ eventi ta’ temp estrem, pandemiji futuri jew diżastri naturali u kkawżati mill-bniedem oħra tafferma mill-ġdid il-ħtieġa ta’ rispons u kooperazzjoni tal-UE aktar b’saħħithom dwar il-protezzjoni ċivili, inkluż biex jittejbu l-prevenzjoni, it-tħejjija u r-rispons għal diżastri bħall-għargħar, in-nirien mhux ikkontrollati u l-mard infettiv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footnoteReference w:id="65"/>
      </w:r>
      <w:r>
        <w:rPr>
          <w:rFonts w:ascii="Times New Roman" w:hAnsi="Times New Roman"/>
          <w:noProof/>
          <w:sz w:val="24"/>
          <w:szCs w:val="24"/>
        </w:rPr>
        <w:t>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Biex ittejjeb il-kapaċitajiet u l-operazzjonijiet tad-difiża tagħha, l-UE għandha timpenja ruħha li tgħaqqad il-forzi u ssaħħaħ il-koerenza ta’ strumenti u inizjattivi ta’ kooperazzjoni stabbiliti riċentement. </w:t>
      </w:r>
      <w:r>
        <w:rPr>
          <w:rFonts w:ascii="Times New Roman" w:hAnsi="Times New Roman"/>
          <w:noProof/>
          <w:sz w:val="24"/>
          <w:szCs w:val="24"/>
        </w:rPr>
        <w:t>L-UE jeħtieġ li tiżgura l-kapaċità tagħha li tiddefendi - b’mod awtonomu jekk ikun meħtieġ - l-interessi essenzjali tas-sigurtà tagħha f’ambjent internazzjonali impenjattiv immarkat minn kompetizzjoni kbira għas-setgħa u minn tellieqa għat-tmexxija teknoloġika. Dan l-aħħar, l-UE għamlet progress fid-difiża permezz tat-tnedija ta’ diversi inizjattivi importanti. Il-vulnerabbiltajiet li fadal jinkludu livell relattivament baxx ta’ nefqa, il-frammentazzjoni tad-domanda u tal-provvista, u lakuni fir-riċerka, fl-innovazzjoni u fil-manifattura</w:t>
      </w:r>
      <w:r>
        <w:rPr>
          <w:rFonts w:eastAsia="Times New Roman"/>
          <w:noProof/>
          <w:vertAlign w:val="superscript"/>
          <w:lang w:eastAsia="en-GB"/>
        </w:rPr>
        <w:footnoteReference w:id="66"/>
      </w:r>
      <w:r>
        <w:rPr>
          <w:rFonts w:ascii="Times New Roman" w:hAnsi="Times New Roman"/>
          <w:noProof/>
          <w:sz w:val="24"/>
          <w:szCs w:val="24"/>
        </w:rPr>
        <w:t xml:space="preserve">. Fil-livell internazzjonali, filwaqt li tippromwovi ordni internazzjonali bbażat fuq ir-regoli u tikkoopera bis-sħiħ man-NATO, l-UE se jkollha ttejjeb it-tħejjija tagħha għal dinja b’aktar kunflitti. L-iżvilupp ta’ kapaċitajiet ta’ difiża indiġeni se jżid il-kapaċità tal-UE li tippromwovi tali ordni internazzjonali bbażat fuq ir-regoli, filwaqt li jsaħħaħ ir-rwol tal-Istati Membri tal-UE fin-NATO. </w:t>
      </w:r>
    </w:p>
    <w:p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Huwa essenzjali li l-UE tappoġġa l-aċċess awtonomu, affidabbli u kosteffettiv għall-ispazju</w:t>
      </w:r>
      <w:r>
        <w:rPr>
          <w:rFonts w:ascii="Times New Roman" w:hAnsi="Times New Roman"/>
          <w:noProof/>
          <w:sz w:val="24"/>
          <w:szCs w:val="24"/>
        </w:rPr>
        <w:t>. It-teknoloġiji spazjali, flimkien mal-intelliġenza artifiċjali, huma mezzi strateġiċi biex jiġi miġġieled it-theddid u jiġu antiċipati riskji futuri, bħal theddid ibridu inkluż spjunaġġ ċibernetiku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  <w:lang w:eastAsia="en-GB"/>
        </w:rPr>
        <w:footnoteReference w:id="67"/>
      </w:r>
      <w:r>
        <w:rPr>
          <w:rFonts w:ascii="Times New Roman" w:hAnsi="Times New Roman"/>
          <w:noProof/>
          <w:sz w:val="24"/>
          <w:szCs w:val="24"/>
        </w:rPr>
        <w:t>. Dawn huma importanti għall-futur tal-komunikazzjonijiet tal-UE, tal-osservazzjoni tad-dinja, tal-manifattura, u tas-sigurtà, u huma ingredjent essenzjali tat-tranżizzjonijiet doppji. Jgħinu fil-monitoraġġ tat-tibdil fil-klima, tat-trasport, tas-sigurtà u tad-difiża u huma kruċjali għall-funzjonament tal-infrastruttura kritika u tat-teknoloġija. Barra minn hekk, l-adattament tal-ispazju għall-użu fil-gwerra mir-rivali tal-UE qed jiġi appoġġjat dejjem aktar minn teknoloġiji ġodda bħall-armi antisatellitari. Is-settur spazjali jikkontribwixxi EUR 46</w:t>
      </w:r>
      <w:r>
        <w:rPr>
          <w:rFonts w:ascii="Times New Roman" w:hAnsi="Times New Roman"/>
          <w:noProof/>
          <w:sz w:val="24"/>
          <w:szCs w:val="24"/>
        </w:rPr>
        <w:noBreakHyphen/>
        <w:t>54 biljun għall-ekonomija tal-UE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8"/>
      </w:r>
      <w:r>
        <w:rPr>
          <w:rFonts w:ascii="Times New Roman" w:hAnsi="Times New Roman"/>
          <w:noProof/>
          <w:sz w:val="24"/>
          <w:szCs w:val="24"/>
        </w:rPr>
        <w:t xml:space="preserve"> u huwa mistenni li jikber globalment għal EUR 1 triljun sal-2040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9"/>
      </w:r>
      <w:r>
        <w:rPr>
          <w:rFonts w:ascii="Times New Roman" w:hAnsi="Times New Roman"/>
          <w:noProof/>
          <w:sz w:val="24"/>
          <w:szCs w:val="24"/>
        </w:rPr>
        <w:t>. L-UE bħalissa hija mexxejja dinjija f’xi oqsma (eż. is-servizzi satellitari), filwaqt li oqsma oħra (eż. lanċjaturi spazjali u missjonijiet spazjali) huma ddominati mill-Istati Uniti, miċ-Ċina u mir-Russja, u dejjem aktar minn atturi privati. Nazzjonijiet oħra li jitilgħu fl-ispazju għandhom suq domestiku b’saħħtu ħafna – effettivament klijent li jipprovdi ankra għal volum konsiderevoli ta’ lanċjar (inkluż il-lanċjar għad-difiża u għas-sigurtà nazzjonali). Fin-nuqqas ta’ dan, il-kumpaniji lanċjaturi tal-UE jinsabu fi żvantaġġ kompetittiv fis-suq globali, u jiddependu fuq is-suq kummerċjali sa punt ħafna akbar mill-kompetituri miċ-Ċina, mir-Russja, mill-Istati Uniti, jew mill-Ġappun.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L-UE għandha tirrikonoxxi l-infrastruttura spazjali tal-UE bħala strateġika</w:t>
      </w:r>
      <w:r>
        <w:rPr>
          <w:rFonts w:ascii="Times New Roman" w:hAnsi="Times New Roman"/>
          <w:noProof/>
          <w:sz w:val="24"/>
          <w:szCs w:val="24"/>
        </w:rPr>
        <w:t xml:space="preserve"> u timmassimizza l-benefiċċji ta’ teknoloġiji ġodda, bħal lanċjaturi avvanzati, nanosatelliti, robotika, kostellazzjonijiet kbar, operazzjonijiet fl-orbita jew applikazzjonijiet ibbażati fuq il-kwantum (eż. għal komunikazzjonijiet siguri u għall-osservazzjoni tad-Dinja għal konnettività sigura). Għandha tħejji ruħha wkoll għal attivitajiet spazjali ġodda u tippromwovi servizzi fl-orbita jew ċentri tad-</w:t>
      </w:r>
      <w:r>
        <w:rPr>
          <w:rFonts w:ascii="Times New Roman" w:hAnsi="Times New Roman"/>
          <w:i/>
          <w:noProof/>
          <w:sz w:val="24"/>
          <w:szCs w:val="24"/>
        </w:rPr>
        <w:t>data</w:t>
      </w:r>
      <w:r>
        <w:rPr>
          <w:rFonts w:ascii="Times New Roman" w:hAnsi="Times New Roman"/>
          <w:noProof/>
          <w:sz w:val="24"/>
          <w:szCs w:val="24"/>
        </w:rPr>
        <w:t xml:space="preserve"> spazjali, filwaqt li tibni fuq l-għarfien espert tagħha f’oqsma fejn għandha kapaċità industrijali kompetittiva, bħat-telekomunikazzjoni u l-osservazzjoni tad-Dinja.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Il-ħidma mas-sħab globali biex jiġu promossi l-paċi, is-sigurtà u l-prosperità għal kulħadd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Il-multilateraliżmu jrid jadatta biex jibqa’ adattat għall-iskop tiegħu. </w:t>
      </w:r>
      <w:r>
        <w:rPr>
          <w:rFonts w:ascii="Times New Roman" w:hAnsi="Times New Roman"/>
          <w:noProof/>
          <w:sz w:val="24"/>
          <w:szCs w:val="24"/>
        </w:rPr>
        <w:t>Il-pandemija tal-COVID-19 u l-emerġenza klimatika huma illustrazzjonijiet perfett tal-ħtieġa ta’ soluzzjonijiet multilaterali u ta’ kooperazzjoni globali kkoordinata dwar it-tħejjija u r-rispons għall-kriżijiet. Fiż-żewġ każijiet, l-appoġġ għall-pajjiżi sħab l-inqas żviluppati jew l-aktar fraġli huwa essenzjali biex jingħelbu l-isfidi li ġejjin, u biex ħadd ma jitħalla jibqa’ lura. Multilateraliżmu verament inklużiv u f’network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  <w:lang w:val="en-GB"/>
        </w:rPr>
        <w:footnoteReference w:id="70"/>
      </w:r>
      <w:r>
        <w:rPr>
          <w:rFonts w:ascii="Times New Roman" w:hAnsi="Times New Roman"/>
          <w:noProof/>
          <w:sz w:val="24"/>
          <w:szCs w:val="24"/>
        </w:rPr>
        <w:t xml:space="preserve"> huwa l-uniku triq ’il quddiem. Din hija r-raġuni għaliex l-UE ħadet impenn li tistinka għal ordni globali bbażat fuq ir-regoli bin-Nazzjonijiet Uniti fil-qalba tagħha. Dan se jinvolvi l-preservazzjoni ta’ dak li jaħdem tajjeb, ir-riforma ta’ dak li jeħtieġ li jinbidel, u l-estensjoni ta’ governanza globali effettiva għal oqsma ġodda. L-UE għandha tagħti bidu għaldiskussjonijiet dwar ir-riformi meħtieġa fil-governanza globali,  u tiffaċilitahom. Għandha tappoġġa r-riforma li għaddejja tan-NU abbażi ta’ sett ċar ta’ regoli u ta’ valuri. It-treġġigħ lura tal-funzjonalità sħiħa tas-sistema ta’ soluzzjoni tat-tilwim huwa wkoll prijorità urġenti fil-modernizzazzjoni meħtieġa tal-funzjonijiet kollha tal-Organizzazzjoni Dinjija tal-Kummerċ (WTO) biex jiġi żgurat li din tkun tista’ tindirizza l-isfidi tal-kummerċ globali. Il-governanza tal-istituzzjonijiet finanzjarji internazzjonali, bħall-Bank Dinji, il-Fond Monetarju Internazzjonali u l-Bank tal-Iżvilupp Ġdid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1"/>
      </w:r>
      <w:r>
        <w:rPr>
          <w:rFonts w:ascii="Times New Roman" w:hAnsi="Times New Roman"/>
          <w:noProof/>
          <w:sz w:val="24"/>
          <w:szCs w:val="24"/>
        </w:rPr>
        <w:t>, għandha tirrifletti aħjar l-isfidi reġjonali u globali emerġenti. Il-governanza ekonomika globali għandha tindirizza l-effetti sekondarji mhux mixtieqa tal-politiki monetarji, fiskali u makroekonomiċi fuq is-swieq emerġenti.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Azzjoni aktar assertiva se tkun kruċjali fil-ġlieda kontra l-azzjoni koerċittiva jew is-sanzjonijiet ekstraterritorjali imposti minn pajjiżi terzi.</w:t>
      </w:r>
      <w:r>
        <w:rPr>
          <w:rFonts w:ascii="Times New Roman" w:hAnsi="Times New Roman"/>
          <w:noProof/>
          <w:sz w:val="24"/>
          <w:szCs w:val="24"/>
        </w:rPr>
        <w:t xml:space="preserve"> Il-kummerċ miftuħ u l-investiment huma waħda mill-aspetti b’saħħithom fundamentali tal-UE, iżda l-UE se jkollha tiġġieled il-pressjoni ekonomika u taġixxi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fejn is-soluzzjoni tat-tilwim skont il-ftehim tad-WTO jew il-ftehimiet bilaterali jeħlu. Strumenti aktar b’saħħithom ta’ difiża tal-kummerċ jeħtieġ li jipproteġu lill-operaturi tal-UE minn prattiki kummerċjali inġusti u jevitaw li jimminaw il-prijoritajiet strateġiċi tal-UE. Ir-riskji potenzjali għas-sigurtà jew għall-ordni pubbliku li jirriżultaw mill-akkwiżizzjoni jew il-kontroll ta’ negozju, infrastruttura jew teknoloġija partikolari jitolbu mekkaniżmu ta’ skrinjar sħiħ għall-investiment dirett barrani u miżuri biex jiġu indirizzati l-effetti potenzjali ta’ distorsjoni tas-sussidji barranin. Il-krediti għall-esportazzjoni tal-UE jistgħu jiżguraw kundizzjonijiet ekwivalenti ta’ kompetizzjoni fi swieq mhux tal-UE li fihom il-kompetituri barranin qegħdin ikollhom dejjem aktar appoġġ finanzjarju mill-gvernijiet tagħhom.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L-UE se jkollha ssaħħaħ u tiżviluppa wkoll koalizzjonijiet u sħubijiet strateġiċi kif ukoll ibbażati fuq il-kwistjonijiet ma’ pajjiżi u ma’ reġjuni speċifiċi. </w:t>
      </w:r>
      <w:r>
        <w:rPr>
          <w:rFonts w:ascii="Times New Roman" w:hAnsi="Times New Roman"/>
          <w:noProof/>
          <w:sz w:val="24"/>
          <w:szCs w:val="24"/>
        </w:rPr>
        <w:t>L-alleanza Trans-Atlantika mogħtija ħajja ġdida, l-integrazzjoni tal-Balkani tal-Punent, il-kooperazzjoni aktar mill-qrib mat-Turkija u mal-pajjiżi tal-viċinat, is-sħubija strateġika mal-Afrika, il-konnettività fir-reġjun Indo-Paċifiku u l-istabbiltà fl-Asja Ċentrali lkoll huma prijoritajiet ġeopolitiċi. Iċ-Ċina hija fl-istess ħin sieħeb ta’ kooperazzjoni għal ċerti objettivi komuni, sieħeb tan-negozjati, kompetitur ekonomiku, u rivali sistemiku. Il-preżenza dejjem akbar taċ-Ċina fid-dinja, inkluż fl-Ewropa, trid tkun akkumpanjata minn teħid ta’ aktar responsabbiltajiet għaż-żamma tal-ordni internazzjonali bbażat fuq ir-regoli, kif ukoll aktar reċiproċità, nondiskriminazzjoni u ftuħ fis-sistema domestika tagħha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2"/>
      </w:r>
      <w:r>
        <w:rPr>
          <w:rFonts w:ascii="Times New Roman" w:hAnsi="Times New Roman"/>
          <w:noProof/>
          <w:sz w:val="24"/>
          <w:szCs w:val="24"/>
        </w:rPr>
        <w:t>. Fir-rigward tar-Russja, l-UE jeħtieġ li tkompli l-approċċ tagħha bbażat fuq il-prinċipji li tiddefendi l-interessi tagħha u tippromwovi l-valuri bbażati fuq l-implimentazzjoni tal-ħames prinċipji miftiehma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3"/>
      </w:r>
      <w:r>
        <w:rPr>
          <w:rFonts w:ascii="Times New Roman" w:hAnsi="Times New Roman"/>
          <w:noProof/>
          <w:sz w:val="24"/>
          <w:szCs w:val="24"/>
        </w:rPr>
        <w:t>. L-UE jeħtiġilha tinsisti li t-tmexxija Russa turi impenn aktar kostruttiv u twaqqaf l-azzjonijiet kontra l-UE u l-Istati Membri tagħha u l-pajjiżi terzi sħab. Dan huwa indispensabbli biex iddur ir-rota attwali improduttiva u potenzjalment perikoluża u f’din ir-relazzjoni importanti. Il-kooperazzjoni mal-G7 u mal-G20 se tibqa’ importanti wkoll.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L-UE għandha ssaħħaħ is-sħubijiet tagħha mal-organizzazzjonijiet internazzjonali li huma ċentrali għall-istabbiltà Ewropea u globali.</w:t>
      </w:r>
      <w:r>
        <w:rPr>
          <w:rFonts w:ascii="Times New Roman" w:hAnsi="Times New Roman"/>
          <w:noProof/>
          <w:sz w:val="24"/>
          <w:szCs w:val="24"/>
        </w:rPr>
        <w:t xml:space="preserve"> Hija laħqet livelli mingħajr preċedent fil-kooperazzjoni tagħha mal-Organizzazzjoni tat-Trattat tal-Atlantiku tat-Tramuntana (NATO), il-qofol tad-difiża Ewropea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4"/>
      </w:r>
      <w:r>
        <w:rPr>
          <w:rFonts w:ascii="Times New Roman" w:hAnsi="Times New Roman"/>
          <w:noProof/>
          <w:sz w:val="24"/>
          <w:szCs w:val="24"/>
        </w:rPr>
        <w:t>. Is-sħubija bejn l-UE u n-NATO hija pilastru indispensabbli tad-difiża tal-UE u se tkompli tissaħħaħ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5"/>
      </w:r>
      <w:r>
        <w:rPr>
          <w:rFonts w:ascii="Times New Roman" w:hAnsi="Times New Roman"/>
          <w:noProof/>
          <w:sz w:val="24"/>
          <w:szCs w:val="24"/>
        </w:rPr>
        <w:t>. L-UE għandha wkoll tkompli ssaħħaħ il-kooperazzjoni mal-Organizzazzjoni għas-Sigurtà u l-Kooperazzjoni fl-Ewropa dwar kwistjonijiet ta’ interess komuni, u tkompli bir-relazzjoni mill-qrib mal-Kunsill tal-Ewropa li ssaħħaħ ir-rispett komuni tagħna għad-drittijiet tal-bniedem, għad-demokrazija u għall-istat tad-dritt. Il-kooperazzjoni interreġjonali ma’ organizzazzjonijiet bħall-Unjoni Afrikana, il-Komunità ta’ Stati tal-Amerika Latina u tal-Karibew u l-Assoċjazzjoni tan-Nazzjonijiet tal-Asja tax-Xlokk tipprovdi lievi importanti għall-iżvilupp u għall-istabbiltà reġjonali, u tgħin tavvanza l-aġenda globali tal-UE. L-UE se jkollha bżonn ukoll tiżviluppa pożizzjoni koerenti fir-rigward ta’ atturi internazzjonali oħra u ssegwi b’mod attiv il-kooperazzjoni ma’ sħab lesti li jaħdmu fuq soluzzjonijiet komuni għall-isfidi globali, u b’mod paċifiku u sostenibbli timmaniġġa l-beni komuni globali (eż. l-oċeani, l-ispazju).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L-UE tinsab lesta li tmexxi koalizzjonijiet globali dwar l-azzjoni klimatika u ambjentali.</w:t>
      </w:r>
      <w:r>
        <w:rPr>
          <w:rFonts w:ascii="Times New Roman" w:hAnsi="Times New Roman"/>
          <w:noProof/>
          <w:sz w:val="24"/>
          <w:szCs w:val="24"/>
        </w:rPr>
        <w:t xml:space="preserve"> Bil-Patt Ekoloġiku Ewropew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6"/>
      </w:r>
      <w:r>
        <w:rPr>
          <w:rFonts w:ascii="Times New Roman" w:hAnsi="Times New Roman"/>
          <w:noProof/>
          <w:sz w:val="24"/>
          <w:szCs w:val="24"/>
        </w:rPr>
        <w:t xml:space="preserve"> u bl-inizjattivi ewlenin tagħha, bħall-pakkett “lesti għall-mira ta’ 55 %”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7"/>
      </w:r>
      <w:r>
        <w:rPr>
          <w:rFonts w:ascii="Times New Roman" w:hAnsi="Times New Roman"/>
          <w:noProof/>
          <w:sz w:val="24"/>
          <w:szCs w:val="24"/>
        </w:rPr>
        <w:t>, l-UE qed issegwi trasformazzjoni tal-ekonomija u politiki komprensivi dwar il-klima, il-bijodiversità u l-ambjent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8"/>
      </w:r>
      <w:r>
        <w:rPr>
          <w:rFonts w:ascii="Times New Roman" w:hAnsi="Times New Roman"/>
          <w:noProof/>
          <w:sz w:val="24"/>
          <w:szCs w:val="24"/>
        </w:rPr>
        <w:t>. L-UE hija impenjata li tara jsiru realtà l-Ftehim ta’ Pariġi, l-Aġenda 2030 tan-Nazzjonijiet Uniti u l-Għanijiet ta’ Żvilupp Sostenibbli tagħha u l-Qafas tal-Bijodiversità għal Wara l-2020. Il-kisba tagħhom qed tiġi mxekkla dejjem aktar mill-konsegwenzi tal-kriżi tal-COVID-19. Pereżempju, il-pandemija tista’ treġġa’ lura snin ta’ progress fl-iżvilupp fl-Afrika, fejn il-pajjiżi diġà qed jonfqu medja ta’ 30 % tad-dħul tagħhom fuq il-ħlas tad-dejn (żieda minn 20 % qabel)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9"/>
      </w:r>
      <w:r>
        <w:rPr>
          <w:rFonts w:ascii="Times New Roman" w:hAnsi="Times New Roman"/>
          <w:noProof/>
          <w:sz w:val="24"/>
          <w:szCs w:val="24"/>
        </w:rPr>
        <w:t>. Peress li l-UE tirrappreżenta biss 8 % tal-emissjonijiet globali tal-gassijiet serra, u b’85 % tat-tkabbir tal-PDG dinji mistennija li jiġu minn postijiet oħra sal-2024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0"/>
      </w:r>
      <w:r>
        <w:rPr>
          <w:rFonts w:ascii="Times New Roman" w:hAnsi="Times New Roman"/>
          <w:noProof/>
          <w:sz w:val="24"/>
          <w:szCs w:val="24"/>
        </w:rPr>
        <w:t>, l-aġenda interna ambizzjuża tal-UE jeħtieġ li tkun akkumpanjata minn kooperazzjoni globali ugwalment ambizzjuża. Il-punt sa fejn l-ekonomiji u s-soċjetajiet emerġenti b’mod partikolari jistgħu jisseparaw l-iżvilupp uman u ekonomiku mill-produzzjoni intensiva fl-użu tar-riżorsi u mill-emissjonijiet ta’ gassijiet serra se jkun deċiżiv.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L-UE għandha tkompli taqdi rwol importanti fil-massimizzazzjoni tal-appoġġ għat-tranżizzjoni fil-livell globali, minbarra li tirnexxi fit-trasformazzjoni tagħha stess. L-UE għandha ssaħħaħ id-diplomazija ekoloġika komprensiva mmexxija mill-UE bi prijorità mogħtija lit-tibdil fil-klima u lill-azzjoni ambjentali, b’mod partikolari skont il-qafas tal-Konferenzi tan-Nazzjonijiet Uniti dwar it-Tibdil fil-Klima u organizzazzjonijiet multilaterali rilevanti oħra.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Għandhom jiġu inkorporati “aġendi tal-konnettività”</w:t>
      </w:r>
      <w:r>
        <w:rPr>
          <w:rStyle w:val="FootnoteReference"/>
          <w:rFonts w:ascii="Times New Roman" w:hAnsi="Times New Roman" w:cs="Times New Roman"/>
          <w:b/>
          <w:noProof/>
          <w:sz w:val="24"/>
          <w:szCs w:val="24"/>
        </w:rPr>
        <w:footnoteReference w:id="81"/>
      </w:r>
      <w:r>
        <w:rPr>
          <w:rFonts w:ascii="Times New Roman" w:hAnsi="Times New Roman"/>
          <w:b/>
          <w:noProof/>
          <w:sz w:val="24"/>
          <w:szCs w:val="24"/>
        </w:rPr>
        <w:t xml:space="preserve"> fis-sħubijiet strateġiċi tal-UE. </w:t>
      </w:r>
      <w:r>
        <w:rPr>
          <w:rFonts w:ascii="Times New Roman" w:hAnsi="Times New Roman"/>
          <w:noProof/>
          <w:sz w:val="24"/>
          <w:szCs w:val="24"/>
        </w:rPr>
        <w:t>Dawn huma parti mis-sett ta’ għodod ġeopolitiċi. L-Istati Uniti għandhom l-Att BUILD u l-Ġappun għandu s-Sħubija għall-Infrastruttura ta’ Kwalità. Permezz tal-Inizjattiva tat-Triq tal-Ħarir (“Belt and Road”) tagħha, iċ-Ċina qed tavvanza l-interessi ekonomiċi, politiċi u ta’ sigurtà tagħha madwar id-dinja, inkluż fl-Ewropa. Fl-Afrika, iċ-Ċina kienet bil-bosta l-akbar żviluppatur tal-infrastruttura matul l-aħħar għaxar snin, b’ammont stmat ta’ 10 000 kumpanija Ċiniża li joperaw fil-kontinent. Wara t-tnedija tan-Network Blue Dot mal-Ġappun u l-Awstralja, l-Istati Uniti ressqet l-inizjattiva “Bini mill-Ġdid ta’ Dinja Aħjar” (B3W) fil-kuntest tal-G7. Iċ-Ċina u l-Istati Uniti tal-Amerka għandhom approċċi differenti, iżda t-tnejn jinsabu quddiem l-UE fl-influwenza tagħhom fuq l-infrastrutturi tal-internet u dawk li jiddependu fuqhom. L-UE għandha esperjenza fl-iżvilupp tal-konnettività u tista’ tibni fuq esperjenzi promettenti ta’ sħubija mal-Ġappun u mal-Indja. Madankollu, filwaqt li l-UE stabbilixxiet l-ewwel elementi kostitwenti ta’ strateġija tal-UE dwar il-konnettività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2"/>
      </w:r>
      <w:r>
        <w:rPr>
          <w:rFonts w:ascii="Times New Roman" w:hAnsi="Times New Roman"/>
          <w:noProof/>
          <w:sz w:val="24"/>
          <w:szCs w:val="24"/>
        </w:rPr>
        <w:t>, jeħtieġ li din tiġi żviluppata aktar u tiġi allinjata mar-realtajiet li qed jevolvu malajr. B’mod partikolari, l-UE tista’ tiffoka fuq it-trasport sostenibbli, networks tal-infrastruttura diġitali reżiljenti u siguri, u konnettività tal-informazzjoni pervażiva, li huma bbażati wkoll fuq l-ispazju. Approċċ ta’ Tim Ewropa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3"/>
      </w:r>
      <w:r>
        <w:rPr>
          <w:rFonts w:ascii="Times New Roman" w:hAnsi="Times New Roman"/>
          <w:noProof/>
          <w:sz w:val="24"/>
          <w:szCs w:val="24"/>
        </w:rPr>
        <w:t xml:space="preserve"> se jkun kruċjali biex tinkiseb l-iskala neċessarja ta’ implimentazzjoni.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Il-governanza internazzjonali tal-oċeani hija qasam dejjem aktar strateġiku. </w:t>
      </w:r>
      <w:r>
        <w:rPr>
          <w:rFonts w:ascii="Times New Roman" w:hAnsi="Times New Roman"/>
          <w:noProof/>
          <w:sz w:val="24"/>
          <w:szCs w:val="24"/>
        </w:rPr>
        <w:t>L-oċeani huma regolatur essenzjali tal-klima, u jipproduċu nofs l-ossiġenu fl-atmosfera tad-dinja u jassorbu 25 % tal-emissjonijiet tas-CO</w:t>
      </w:r>
      <w:r>
        <w:rPr>
          <w:rFonts w:ascii="Times New Roman" w:hAnsi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/>
          <w:noProof/>
          <w:sz w:val="24"/>
          <w:szCs w:val="24"/>
        </w:rPr>
        <w:t xml:space="preserve"> . Għandhom ekosistema fraġli li hija sors ta’ ikel nutrittiv u 4.5 miljun impjieg dirett fl-UE. L-impatti kumulattivi tal-estrazzjoni tar-riżorsi u tat-tniġġis żdiedu, b’31 % tal-istokkijiet globali tal-ħut mistada żżejjed u b’4.8 sa 12.7 miljun tunnellata ta’ skart tal-plastik jidħlu fl-oċean kull sena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4"/>
      </w:r>
      <w:r>
        <w:rPr>
          <w:rFonts w:ascii="Times New Roman" w:hAnsi="Times New Roman"/>
          <w:noProof/>
          <w:sz w:val="24"/>
          <w:szCs w:val="24"/>
        </w:rPr>
        <w:t>. Bil-popolazzjoni tad-dinja li mistennija tiżdied, il-pressjoni tal-bniedem fuq l-oċean se tintensifika, u se titlob governanza aktar effettiva, trasversali u integrata tal-oċeani mibnija fuq kooperazzjoni b’saħħitha.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Biex jiġi kkonsolidat ir-rwol tal-UE bħala attur globali ewlieni dwar id-drittijiet tal-bniedem, is-sħubijiet ma’ pajjiżi u organizzazzjonijiet li għandhom l-istess valuri demokratiċi huma kruċjali.</w:t>
      </w:r>
      <w:r>
        <w:rPr>
          <w:rFonts w:ascii="Times New Roman" w:hAnsi="Times New Roman"/>
          <w:noProof/>
          <w:sz w:val="24"/>
          <w:szCs w:val="24"/>
        </w:rPr>
        <w:t xml:space="preserve"> Id-difiża tad-drittijiet tal-bniedem teħtieġ l-użu tal-għodod kollha disponibbli, inkluż ir-Reġim Globali tal-UE ta’ Sanzjonijiet tad-Drittijiet tal-Bniedem, id-djalogi politiċi u dwar id-drittijiet tal-bniedem, is-sħubijiet strateġiċi ma’ organizzazzjonijiet internazzjonali u reġjonali u l-impenn proattiv f’fora internazzjonali. Titlob ukoll l-involviment aktar qawwi tas-settur privat biex tiġi promossa mġiba responsabbli fin-negozju. Sabiex jiġu promossi globalment id-demokrazija u l-prosperità, l-edukazzjoni għandha tkun ukoll fil-qalba tal-politika internazzjonali segwita mill-UE flimkien mas-sħab tagħha.</w:t>
      </w:r>
    </w:p>
    <w:p>
      <w:pPr>
        <w:pStyle w:val="ListParagraph"/>
        <w:numPr>
          <w:ilvl w:val="0"/>
          <w:numId w:val="24"/>
        </w:numPr>
        <w:spacing w:after="240" w:line="240" w:lineRule="auto"/>
        <w:jc w:val="both"/>
        <w:rPr>
          <w:rFonts w:ascii="Times New Roman" w:hAnsi="Times New Roman" w:cs="Times New Roman"/>
          <w:b/>
          <w:smallCaps/>
          <w:noProof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</w:rPr>
        <w:t>It-tisħiħ tar-reżiljenza tal-istituzzjonijiet</w:t>
      </w:r>
    </w:p>
    <w:p>
      <w:pPr>
        <w:pStyle w:val="NormalWeb"/>
        <w:spacing w:before="0" w:beforeAutospacing="0" w:after="240" w:afterAutospacing="0"/>
        <w:jc w:val="both"/>
        <w:rPr>
          <w:noProof/>
        </w:rPr>
      </w:pPr>
      <w:r>
        <w:rPr>
          <w:b/>
          <w:noProof/>
        </w:rPr>
        <w:t xml:space="preserve">L-istituzzjonijiet u l-amministrazzjonijiet pubbliċi jeħtieġ li jkunu risponsivi għat-tħassib tas-soċjetà u effettivi fit-twettiq tal-politiki. </w:t>
      </w:r>
      <w:r>
        <w:rPr>
          <w:noProof/>
        </w:rPr>
        <w:t>Iż-żieda fil-polarizzazzjoni turi l-ħtieġa ta’ governanza parteċipattiva u inklużiva biex jissaħħu l-fiduċja u l-leġittimità fil-livelli kollha. L-istituzzjonijiet u l-proċessi jeħtieġ li jżidu r-reżiljenza, jadattaw u jinnovaw tagħhom biex ilaħħqu ma’ sfidi ġodda u jwasslu r-riżultati liċ-ċittadini. Forom ġodda ta’ demokrazija parteċipattiva, teknoloġiji ġodda, parteċipazzjoni ċivika u innovazzjonijiet fil-livell taċ-ċittadini, bħal fil-kuntest tal-Konferenza dwar il-Futur tal-Ewropa</w:t>
      </w:r>
      <w:r>
        <w:rPr>
          <w:rStyle w:val="FootnoteReference"/>
          <w:noProof/>
          <w:lang w:val="en-IE"/>
        </w:rPr>
        <w:footnoteReference w:id="85"/>
      </w:r>
      <w:r>
        <w:rPr>
          <w:noProof/>
        </w:rPr>
        <w:t xml:space="preserve">, jistgħu jżidu l-parteċipazzjoni politika u jsaħħu r-reżiljenza tas-sistemi demokratiċi tagħna.  </w:t>
      </w:r>
    </w:p>
    <w:p>
      <w:pPr>
        <w:pStyle w:val="NormalWeb"/>
        <w:spacing w:before="0" w:beforeAutospacing="0" w:after="240" w:afterAutospacing="0"/>
        <w:jc w:val="both"/>
        <w:rPr>
          <w:noProof/>
        </w:rPr>
      </w:pPr>
      <w:r>
        <w:rPr>
          <w:noProof/>
        </w:rPr>
        <w:t>Il-ġlieda kontra d-diżinformazzjoni u l-iżgurar tal-libertà tal-espressjoni, id-dibattiti demokratiċi pluralistiċi u inklużivi u l-libertà tal-midja fl-UE u lil hinn minnha se jiddependu fuq l-iżvilupp kontinwu ta’ oqfsa u ta’ prattiki komuni. Is-sħubijiet ma’ atturi globali pubbliċi u privati oħrajn se jkunu essenzjali biex jiġi żgurat rispons aktar robust u effettiv. Dawn iridu jimxu id f’id mal-promozzjoni ta’ elezzjonijiet ħielsa u ġusti u mal-protezzjoni tal-libertà u tal-pluraliżmu tal-media.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L-implikazzjonijiet tax-xejriet attwali u futuri se jeħtieġu risponsi ta’ politika rapidi.</w:t>
      </w:r>
      <w:r>
        <w:rPr>
          <w:rFonts w:ascii="Times New Roman" w:hAnsi="Times New Roman"/>
          <w:noProof/>
          <w:sz w:val="24"/>
          <w:szCs w:val="24"/>
        </w:rPr>
        <w:t xml:space="preserve"> L-inċertezza, il-volatilità, il-kumplessità u l-ambigwità se jkollhom jiġu mħaddna u mmaniġġati. L-iżvilupp ta’ kapaċitajiet ta’ prospettiva strateġika jista’ jgħin biex jiġu vvalutati r-riskji imminenti u biex ikun hemm tħejjija aħjar għall-indirizzar tal-kriżijiet u tal-opportunitajiet li jinqalgħu. In-Network ta’ Prospettiva tal-UE tal-Ministri għall-Futur, u l-iżvilupp relatat tal-kapaċitajiet ta’ previżjoni fil-livell nazzjonali, se jkunu qed jikkontribwixxu għal dan.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Tħejjija akbar tfisser ukoll monitoraġġ aħjar tar-reżiljenza biex tkun tiflaħ għall-isfidi u tgħaddi minn tranżizzjonijiet b’mod sostenibbli, ġust u demokratiku.</w:t>
      </w:r>
      <w:r>
        <w:rPr>
          <w:rFonts w:ascii="Times New Roman" w:hAnsi="Times New Roman"/>
          <w:noProof/>
          <w:sz w:val="24"/>
          <w:szCs w:val="24"/>
        </w:rPr>
        <w:t xml:space="preserve"> Id-dashboards tar-reżiljenza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6"/>
      </w:r>
      <w:r>
        <w:rPr>
          <w:rFonts w:ascii="Times New Roman" w:hAnsi="Times New Roman"/>
          <w:noProof/>
          <w:sz w:val="24"/>
          <w:szCs w:val="24"/>
        </w:rPr>
        <w:t xml:space="preserve"> żviluppati mill-Kummissjoni (f’kooperazzjoni mal-Istati Membri u mal-partijiet ikkonċernati), kif imħabbra fir-Rapport ta’ Prospettiva Strateġika tal-2020, huma pass importanti lejn approċċ aktar integrat għall-kejl tal-benesseri lil hinn mill-PDG. L-approċċ multidimensjonali tagħhom jitfa’ dawl fuq l-isfidi u l-opportunitajiet li ġejjin, u jgħin biex tiġi nnavigata t-trasformazzjoni tas-soċjetà lejn perkors ta’ żvilupp aktar sostenibbli. Id-dashboards tar-reżiljenza se jikkontribwixxu wkoll għall-valutazzjoni </w:t>
      </w:r>
      <w:r>
        <w:rPr>
          <w:rFonts w:ascii="Times New Roman" w:hAnsi="Times New Roman"/>
          <w:i/>
          <w:noProof/>
          <w:sz w:val="24"/>
          <w:szCs w:val="24"/>
        </w:rPr>
        <w:t>ex post</w:t>
      </w:r>
      <w:r>
        <w:rPr>
          <w:rFonts w:ascii="Times New Roman" w:hAnsi="Times New Roman"/>
          <w:noProof/>
          <w:sz w:val="24"/>
          <w:szCs w:val="24"/>
        </w:rPr>
        <w:t xml:space="preserve"> tal-istrateġija Ewropea għall-irkupru u r-reżiljenza, inkluż fir-rigward ta’ atturi globali ewlenin oħra.</w:t>
      </w:r>
    </w:p>
    <w:p>
      <w:pPr>
        <w:pStyle w:val="ListParagraph"/>
        <w:numPr>
          <w:ilvl w:val="0"/>
          <w:numId w:val="1"/>
        </w:numPr>
        <w:spacing w:after="240" w:line="240" w:lineRule="auto"/>
        <w:ind w:left="70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t>IT-TWITTIJA TAT-TRIQ GĦALL-POLITIKI TA’ GĦADA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L-ordni globali emerġenti qed isir dejjem aktar multipolari u kkontestat.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 xml:space="preserve">Filwaqt li ma nistgħux inkunu ċerti dwar dak li se jiġri fil-futur, huwa f’idejna li naħdmu lejn l-aktar xenarju favorevoli biex nippreservaw u nsaħħu l-kapaċità u l-libertà tal-UE li tieħu azzjoni, abbażi ta’ fehim ċar tax-xejriet kbar, tal-inċertezzi u tal-opportunitajiet. </w:t>
      </w:r>
      <w:r>
        <w:rPr>
          <w:rFonts w:ascii="Times New Roman" w:hAnsi="Times New Roman"/>
          <w:noProof/>
          <w:sz w:val="24"/>
          <w:szCs w:val="24"/>
        </w:rPr>
        <w:t>Din il-Komunikazzjoni hija l-bażi ta’ viżjoni fit-tul komuni tal-awtonomija strateġika miftuħa tal-UE fit-triq lejn l-2050, li tenfasizza l-ħtieġa ta’ aktar koerenza tul iż-żmien u bejn l-aġendi tal-politika domestika u esterna f’għaxar oqsma ta’ azzjoni (</w:t>
      </w:r>
      <w:r>
        <w:rPr>
          <w:rFonts w:ascii="Times New Roman" w:hAnsi="Times New Roman"/>
          <w:i/>
          <w:noProof/>
          <w:sz w:val="24"/>
          <w:szCs w:val="24"/>
        </w:rPr>
        <w:t>Illustrazzjoni 5</w:t>
      </w:r>
      <w:r>
        <w:rPr>
          <w:rFonts w:ascii="Times New Roman" w:hAnsi="Times New Roman"/>
          <w:noProof/>
          <w:sz w:val="24"/>
          <w:szCs w:val="24"/>
        </w:rPr>
        <w:t xml:space="preserve">). </w:t>
      </w:r>
    </w:p>
    <w:p>
      <w:pPr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br w:type="page"/>
      </w:r>
    </w:p>
    <w:p>
      <w:pPr>
        <w:autoSpaceDE w:val="0"/>
        <w:autoSpaceDN w:val="0"/>
        <w:adjustRightInd w:val="0"/>
        <w:spacing w:after="240" w:line="240" w:lineRule="auto"/>
        <w:jc w:val="center"/>
        <w:rPr>
          <w:noProof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t>Illustrazzjoni 5: Implikazzjonijiet ewlenin għall-kapaċità u għal-libertà tal-UE li tieħu azzjoni.</w:t>
      </w:r>
    </w:p>
    <w:p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4686300" cy="67341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Fost l-oħrajn, l-UE se tfittex b’mod determinat li tikseb newtralità klimatika sal-2050 u se żżid it-tmexxija globali tagħha f’dan ir-rigward. Ekonomija aktar ċirkolari se tkun imħaddma minn enerġija dekarbonizzata, minn teknoloġiji ekoloġiċi u diġitali, u mill-aqwa talent. It-tranżizzjonijiet doppji se jsaħħu l-kompetittività, jiġġeneraw opportunitajiet ekonomiċi u soċjali, u jikkontribwixxu għall-ordni globali, filwaqt li jnaqqsu d-dipendenzi strateġiċi. Futur diġitalment iperkonness, immexxi mill-big data, mill-intelliġenza artifiċjali u mill-qabża kwantistika mhux se jkun lineari u se jkun miżgħud inċertezzi. Minħabba l-impatti profondi u diversi tiegħu fost is-setturi, it-territorji u fi ħdan is-soċjetà, il-progress teknoloġiku jeħtieġ li jkun appoġġat minn ekonomija soċjali tas-suq b’saħħitha u minn suq uniku kompetittiv. Jeħtieġ ukoll approċċ antiċipatorju u inklużiv għall-edukazzjoni u t-taħriġ, li jagħti s-setgħa lin-nies biex jinnavigaw il-bidla b’mod kunfidenti. It-tħeġġiġ u l-iffaċilitar tal-parteċipazzjoni se jagħtu wkoll ħajja ġdida lid-demokraziji.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Filwaqt li ssegwi t-tmexxija globali lejn l-2050, l-UE mhux se tingħalaq fiha nnifisha iżda se tibqa’ soda fil-prinċipji u fil-valuri tagħha u se tkun rapida fl-imġiba tagħha.</w:t>
      </w:r>
      <w:r>
        <w:rPr>
          <w:rFonts w:ascii="Times New Roman" w:hAnsi="Times New Roman"/>
          <w:noProof/>
          <w:sz w:val="24"/>
          <w:szCs w:val="24"/>
        </w:rPr>
        <w:t xml:space="preserve"> Bħala pilastru globali interkonness f’dinja multipolari, se tisfrutta kontinwament is-sħubijiet internazzjonali mill-qrib tagħha biex tippromwovi l-paċi, l-istabbiltà u l-prosperità, filwaqt li tippreżenta pożizzjoni magħquda kontra atturi ostili u sfidi komuni. Se tassumi t-tmexxija fil-kooperazzjoni multilaterali effettiva, filwaqt li tipproteġi liċ-ċittadini tal-UE u l-ekonomija minn prattiki inġusti u abbużivi. L-UE se żżomm il-wegħda li tikseb it-tranżizzjonijiet doppji b’mod ġust u demokratiku sabiex tipprovdi lill-ġenerazzjoni li jmiss ta’ Ewropej bil-kapaċità u bil-libertà li jagħżlu l-perkors tagħhom stess.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Ir-Rapport ta’ Prospettiva Strateġika li jmiss se jiffoka fuq fehim aħjar tat-twaħħid tat-tranżizzjonijiet ekoloġiċi u diġitali, jiġifieri kif jistgħu jsaħħu lil xulxin b’mod reċiproku, inkluż permezz tal-użu ta’ teknoloġiji emerġenti.</w:t>
      </w:r>
    </w:p>
    <w:sectPr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4B1202F" w16cex:dateUtc="2021-03-11T08:28:08.171Z"/>
  <w16cex:commentExtensible w16cex:durableId="44EDC69E" w16cex:dateUtc="2021-03-11T09:07:04.013Z"/>
  <w16cex:commentExtensible w16cex:durableId="18D4AE31" w16cex:dateUtc="2021-03-11T09:07:17.486Z"/>
  <w16cex:commentExtensible w16cex:durableId="3D56570A" w16cex:dateUtc="2021-03-11T09:07:56.876Z"/>
  <w16cex:commentExtensible w16cex:durableId="20B9C766" w16cex:dateUtc="2021-03-11T09:09:52.176Z"/>
  <w16cex:commentExtensible w16cex:durableId="6D65F0BE" w16cex:dateUtc="2021-03-11T09:11:20.686Z"/>
  <w16cex:commentExtensible w16cex:durableId="35CCD816" w16cex:dateUtc="2021-03-11T09:14:27.55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9FA3A3E" w16cid:durableId="033D312C"/>
  <w16cid:commentId w16cid:paraId="50E57BE5" w16cid:durableId="7359DD3E"/>
  <w16cid:commentId w16cid:paraId="159C062B" w16cid:durableId="3277C417"/>
  <w16cid:commentId w16cid:paraId="2FD4551A" w16cid:durableId="2C2FBDBD"/>
  <w16cid:commentId w16cid:paraId="4C604704" w16cid:durableId="2EEA0BBE"/>
  <w16cid:commentId w16cid:paraId="3B17E4E2" w16cid:durableId="189BE31C"/>
  <w16cid:commentId w16cid:paraId="150B6578" w16cid:durableId="0B472C2B"/>
  <w16cid:commentId w16cid:paraId="2A1B91D4" w16cid:durableId="653A46AA"/>
  <w16cid:commentId w16cid:paraId="2B5CA117" w16cid:durableId="391057FF"/>
  <w16cid:commentId w16cid:paraId="59CD8319" w16cid:durableId="41B8F48B"/>
  <w16cid:commentId w16cid:paraId="594E6250" w16cid:durableId="6BFA9BD4"/>
  <w16cid:commentId w16cid:paraId="075A6583" w16cid:durableId="3262F433"/>
  <w16cid:commentId w16cid:paraId="269599A5" w16cid:durableId="334062BB"/>
  <w16cid:commentId w16cid:paraId="535BA1BD" w16cid:durableId="533539DD"/>
  <w16cid:commentId w16cid:paraId="7D93F4B7" w16cid:durableId="7EA82237"/>
  <w16cid:commentId w16cid:paraId="235532AF" w16cid:durableId="7BFB1911"/>
  <w16cid:commentId w16cid:paraId="052E5B00" w16cid:durableId="26EB0362"/>
  <w16cid:commentId w16cid:paraId="2BEDE0AD" w16cid:durableId="1A561B2B"/>
  <w16cid:commentId w16cid:paraId="5B55AC21" w16cid:durableId="0F9AE611"/>
  <w16cid:commentId w16cid:paraId="6F1A1563" w16cid:durableId="362A91C3"/>
  <w16cid:commentId w16cid:paraId="39B6E45A" w16cid:durableId="581B883E"/>
  <w16cid:commentId w16cid:paraId="27A63F98" w16cid:durableId="7115A0F0"/>
  <w16cid:commentId w16cid:paraId="60D1EF1A" w16cid:durableId="672578C1"/>
  <w16cid:commentId w16cid:paraId="04195611" w16cid:durableId="3C20ED83"/>
  <w16cid:commentId w16cid:paraId="78CFB7D8" w16cid:durableId="18361B98"/>
  <w16cid:commentId w16cid:paraId="5AB4DBC3" w16cid:durableId="29B51C66"/>
  <w16cid:commentId w16cid:paraId="04535D3B" w16cid:durableId="1CE52FA0"/>
  <w16cid:commentId w16cid:paraId="7E1F5200" w16cid:durableId="03073EBE"/>
  <w16cid:commentId w16cid:paraId="117E16B3" w16cid:durableId="37D879D1"/>
  <w16cid:commentId w16cid:paraId="1C144742" w16cid:durableId="54B1202F"/>
  <w16cid:commentId w16cid:paraId="33857EFF" w16cid:durableId="44EDC69E"/>
  <w16cid:commentId w16cid:paraId="1262F8E8" w16cid:durableId="18D4AE31"/>
  <w16cid:commentId w16cid:paraId="685FC164" w16cid:durableId="3D56570A"/>
  <w16cid:commentId w16cid:paraId="598F3061" w16cid:durableId="20B9C766"/>
  <w16cid:commentId w16cid:paraId="281DB2A6" w16cid:durableId="6D65F0BE"/>
  <w16cid:commentId w16cid:paraId="624FACC7" w16cid:durableId="35CCD816"/>
  <w16cid:commentId w16cid:paraId="364AB994" w16cid:durableId="3C63A11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  <w:endnote w:type="continuationNotice" w:id="1">
    <w:p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MT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MT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</w:rPr>
      <w:id w:val="-946696373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  <w:rPr>
            <w:rFonts w:ascii="Times New Roman" w:hAnsi="Times New Roman" w:cs="Times New Roman"/>
            <w:sz w:val="20"/>
          </w:rPr>
        </w:pPr>
        <w:r>
          <w:rPr>
            <w:rFonts w:ascii="Times New Roman" w:hAnsi="Times New Roman" w:cs="Times New Roman"/>
            <w:sz w:val="20"/>
          </w:rPr>
          <w:fldChar w:fldCharType="begin"/>
        </w:r>
        <w:r>
          <w:rPr>
            <w:rFonts w:ascii="Times New Roman" w:hAnsi="Times New Roman" w:cs="Times New Roman"/>
            <w:sz w:val="20"/>
          </w:rPr>
          <w:instrText xml:space="preserve"> PAGE   \* MERGEFORMAT </w:instrText>
        </w:r>
        <w:r>
          <w:rPr>
            <w:rFonts w:ascii="Times New Roman" w:hAnsi="Times New Roman" w:cs="Times New Roman"/>
            <w:sz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</w:rPr>
          <w:t>2</w:t>
        </w:r>
        <w:r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type="continuationNotice" w:id="1">
    <w:p>
      <w:pPr>
        <w:spacing w:after="0" w:line="240" w:lineRule="auto"/>
      </w:pPr>
    </w:p>
  </w:footnote>
  <w:footnote w:id="2">
    <w:p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 xml:space="preserve">Il-Komunikazzjoni tibni fuq ir-rapport taċ-Ċentru Konġunt tar-Riċerka (JRC) dwar “ix-xjenza għall-politika”: JRC (2021), </w:t>
      </w:r>
      <w:r>
        <w:rPr>
          <w:rFonts w:ascii="Times New Roman" w:hAnsi="Times New Roman"/>
          <w:i/>
          <w:sz w:val="20"/>
          <w:szCs w:val="20"/>
        </w:rPr>
        <w:t>Shaping &amp; securing the EU’s Open Strategic Autonomy by 2040 and beyond</w:t>
      </w:r>
      <w:r>
        <w:rPr>
          <w:rFonts w:ascii="Times New Roman" w:hAnsi="Times New Roman"/>
          <w:sz w:val="20"/>
          <w:szCs w:val="20"/>
        </w:rPr>
        <w:t>. Il-proċess ta’ prospettiva kien jinkludi konsultazzjonijiet mal-Istati Membri u diskussjonijiet mas-sħab fis-Sistema Ewropea ta’ Analiżi tal-Istrateġiji u l-Politiki, analiżi tal-letteratura, stħarriġ Delphi (li kien jinvolvi s-servizzi tal-Kummissjoni, is-Servizz Ewropew għall-Azzjoni Esterna u l-partijiet ikkonċernati rilevanti mill-akkademja, mill-industrija, mis-soċjetà ċivili, mill-amministrazzjoni pubblika u minn istituzzjonijiet internazzjonali) u żvilupp ta’ xenarji. Barra minn hekk, il-ħidma li għaddejja fuq id-</w:t>
      </w:r>
      <w:hyperlink r:id="rId1" w:history="1">
        <w:r>
          <w:rPr>
            <w:rStyle w:val="Hyperlink"/>
            <w:rFonts w:ascii="Times New Roman" w:hAnsi="Times New Roman"/>
            <w:sz w:val="20"/>
            <w:szCs w:val="20"/>
          </w:rPr>
          <w:t>dashboards tar-reżiljenza</w:t>
        </w:r>
      </w:hyperlink>
      <w:r>
        <w:rPr>
          <w:rFonts w:ascii="Times New Roman" w:hAnsi="Times New Roman"/>
          <w:sz w:val="20"/>
          <w:szCs w:val="20"/>
        </w:rPr>
        <w:t>, kif ukoll attivitajiet oħra ta’ prospettiva, għenu biex tiġi infurmata l-analiżi tal-awtonomija strateġika miftuħa tal-UE.</w:t>
      </w:r>
    </w:p>
  </w:footnote>
  <w:footnote w:id="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Rapport tal-Prospettiva Strateġika tal-2020: Inwittu t-triq lejn Ewropa iktar reżiljenti</w:t>
      </w:r>
      <w:r>
        <w:rPr>
          <w:rFonts w:ascii="Times New Roman" w:hAnsi="Times New Roman"/>
        </w:rPr>
        <w:t xml:space="preserve"> (COM(2020) 493).</w:t>
      </w:r>
    </w:p>
  </w:footnote>
  <w:footnote w:id="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IPCC (2021), </w:t>
      </w:r>
      <w:r>
        <w:rPr>
          <w:rFonts w:ascii="Times New Roman" w:hAnsi="Times New Roman"/>
          <w:i/>
        </w:rPr>
        <w:t>Climate change 2021: The Physical Science Basis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Contribution of Working Group I to the Sixth Assessment Report of the Intergovernmental Panel on Climate Change</w:t>
      </w:r>
      <w:r>
        <w:rPr>
          <w:rFonts w:ascii="Times New Roman" w:hAnsi="Times New Roman"/>
        </w:rPr>
        <w:t xml:space="preserve">. </w:t>
      </w:r>
    </w:p>
  </w:footnote>
  <w:footnote w:id="5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L-Organizzazzjoni Meteoroloġika Dinjija (2021), </w:t>
      </w:r>
      <w:r>
        <w:rPr>
          <w:rFonts w:ascii="Times New Roman" w:hAnsi="Times New Roman"/>
          <w:i/>
        </w:rPr>
        <w:t>WMO global annual to decadal climate update</w:t>
      </w:r>
      <w:r>
        <w:rPr>
          <w:rFonts w:ascii="Times New Roman" w:hAnsi="Times New Roman"/>
        </w:rPr>
        <w:t>.</w:t>
      </w:r>
    </w:p>
  </w:footnote>
  <w:footnote w:id="6">
    <w:p>
      <w:pPr>
        <w:autoSpaceDE w:val="0"/>
        <w:autoSpaceDN w:val="0"/>
        <w:adjustRightInd w:val="0"/>
        <w:spacing w:after="0" w:line="240" w:lineRule="auto"/>
        <w:ind w:left="284" w:hanging="284"/>
        <w:jc w:val="both"/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 xml:space="preserve">Il-Kumitat Internazzjonali tas-Soċjetajiet tas-Salib l-Aħmar u tan-Nofs Qamar l-Aħmar (2019), </w:t>
      </w:r>
      <w:r>
        <w:rPr>
          <w:rFonts w:ascii="Times New Roman" w:hAnsi="Times New Roman"/>
          <w:i/>
          <w:sz w:val="20"/>
          <w:szCs w:val="20"/>
        </w:rPr>
        <w:t>The Cost of Doing Nothing</w:t>
      </w:r>
      <w:r>
        <w:t>.</w:t>
      </w:r>
    </w:p>
  </w:footnote>
  <w:footnote w:id="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Ercin, E., Veldkamp, T.I.E. u Hunink, J. (2021), </w:t>
      </w:r>
      <w:r>
        <w:rPr>
          <w:rFonts w:ascii="Times New Roman" w:hAnsi="Times New Roman"/>
          <w:i/>
        </w:rPr>
        <w:t>Cross-border climate vulnerabilities of the European Union to drought</w:t>
      </w:r>
      <w:r>
        <w:rPr>
          <w:rFonts w:ascii="Times New Roman" w:hAnsi="Times New Roman"/>
        </w:rPr>
        <w:t xml:space="preserve"> (Nat Commun 12, 3322). </w:t>
      </w:r>
    </w:p>
  </w:footnote>
  <w:footnote w:id="8">
    <w:p>
      <w:pPr>
        <w:pStyle w:val="FootnoteText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Naumann, G., Cammalleri, C., Mentaschi, L. et al. </w:t>
      </w:r>
      <w:r>
        <w:rPr>
          <w:rFonts w:ascii="Times New Roman" w:hAnsi="Times New Roman"/>
          <w:i/>
        </w:rPr>
        <w:t>Increased economic drought impacts in Europe with anthropogenic warming.</w:t>
      </w:r>
      <w:r>
        <w:rPr>
          <w:rFonts w:ascii="Times New Roman" w:hAnsi="Times New Roman"/>
        </w:rPr>
        <w:t xml:space="preserve"> Nat. Clim. Chang. 11, 485–491 (2021).</w:t>
      </w:r>
    </w:p>
  </w:footnote>
  <w:footnote w:id="9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Style w:val="FootnoteReference"/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(2021); *Dan l-indikatur juri kemm jinġibed ilma ħelu mill-attivitajiet ekonomiċi, meta mqabbel mar-riżorsi tal-ilma ħelu rinnovabbli totali disponibbli. **Proġett ta’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</w:rPr>
        <w:t xml:space="preserve"> dwar il-Postijiet u l-Eventi tal-Kunflitti Armati, bit-tipi ta’ eventi inklużi: battalji, splużjonijiet/vjolenza mill-bogħod, vjolenza kontra l-popolazzjoni ċivili. 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</w:rPr>
        <w:t xml:space="preserve"> tas-sors: JRC, GADM, IOM, ACLED.</w:t>
      </w:r>
    </w:p>
  </w:footnote>
  <w:footnote w:id="10">
    <w:p>
      <w:pPr>
        <w:pStyle w:val="FootnoteText"/>
        <w:ind w:left="284" w:hanging="284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 xml:space="preserve">L-Aġenzija Ewropea għall-Ambjent (2019), </w:t>
      </w:r>
      <w:r>
        <w:rPr>
          <w:rFonts w:ascii="Times New Roman" w:hAnsi="Times New Roman"/>
          <w:i/>
        </w:rPr>
        <w:t>The European environment - state and outlook 2020</w:t>
      </w:r>
      <w:r>
        <w:rPr>
          <w:rFonts w:ascii="Times New Roman" w:hAnsi="Times New Roman"/>
        </w:rPr>
        <w:t>.</w:t>
      </w:r>
      <w:r>
        <w:t xml:space="preserve"> </w:t>
      </w:r>
    </w:p>
  </w:footnote>
  <w:footnote w:id="11">
    <w:p>
      <w:pPr>
        <w:pStyle w:val="FootnoteText"/>
        <w:ind w:left="284" w:hanging="284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COM(2021) 380.</w:t>
      </w:r>
    </w:p>
  </w:footnote>
  <w:footnote w:id="12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Kyle J. Foreman </w:t>
      </w:r>
      <w:r>
        <w:rPr>
          <w:rFonts w:ascii="Times New Roman" w:hAnsi="Times New Roman"/>
          <w:i/>
        </w:rPr>
        <w:t>et al.</w:t>
      </w:r>
      <w:r>
        <w:rPr>
          <w:rFonts w:ascii="Times New Roman" w:hAnsi="Times New Roman"/>
        </w:rPr>
        <w:t xml:space="preserve"> (2018), </w:t>
      </w:r>
      <w:r>
        <w:rPr>
          <w:rFonts w:ascii="Times New Roman" w:hAnsi="Times New Roman"/>
          <w:i/>
        </w:rPr>
        <w:t>Forecasting life expectancy, years of life and all</w:t>
      </w:r>
      <w:r>
        <w:rPr>
          <w:rFonts w:ascii="Times New Roman" w:hAnsi="Times New Roman"/>
          <w:i/>
        </w:rPr>
        <w:noBreakHyphen/>
        <w:t>cause and cause</w:t>
      </w:r>
      <w:r>
        <w:rPr>
          <w:rFonts w:ascii="Times New Roman" w:hAnsi="Times New Roman"/>
          <w:i/>
        </w:rPr>
        <w:noBreakHyphen/>
        <w:t>specific formality for 250 causes of death: reference and alternative scenarios for 2016-2040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for 195 countries and territories</w:t>
      </w:r>
      <w:r>
        <w:rPr>
          <w:rFonts w:ascii="Times New Roman" w:hAnsi="Times New Roman"/>
        </w:rPr>
        <w:t xml:space="preserve"> (The Lancet).</w:t>
      </w:r>
    </w:p>
  </w:footnote>
  <w:footnote w:id="1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4"/>
        </w:rPr>
        <w:t xml:space="preserve">L-UE hija responsabbli għall-akbar sehem ta’ applikazzjonijiet għal privattivi madwar id-dinja f’teknoloġiji avvanzati tal-manifattura u fl-Internet tal-Oġġetti għall-mobbiltà. </w:t>
      </w:r>
      <w:r>
        <w:rPr>
          <w:rFonts w:ascii="Times New Roman" w:hAnsi="Times New Roman"/>
        </w:rPr>
        <w:t xml:space="preserve">Il-Kummissjoni Ewropea (2020), </w:t>
      </w:r>
      <w:r>
        <w:rPr>
          <w:rFonts w:ascii="Times New Roman" w:hAnsi="Times New Roman"/>
          <w:i/>
        </w:rPr>
        <w:t>Il-prestazzjoni tal-UE fix-xjenza, ir-riċerka u l-innovazzjoni fl-2020</w:t>
      </w:r>
      <w:r>
        <w:rPr>
          <w:rFonts w:ascii="Times New Roman" w:hAnsi="Times New Roman"/>
        </w:rPr>
        <w:t>.</w:t>
      </w:r>
    </w:p>
  </w:footnote>
  <w:footnote w:id="1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SWD(2021) 352.</w:t>
      </w:r>
    </w:p>
  </w:footnote>
  <w:footnote w:id="15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L-Istati Uniti tal-Amerka qed tinvesti aktar minn EUR 1 biljun fil-perjodu 2019-2028 u ċ-Ċina qed tibni Laboratorju Nazzjonali għax-Xjenzi tal-Informatika Kwantistika li jiswa EUR 9 biljun. JRC (2021), </w:t>
      </w:r>
      <w:r>
        <w:rPr>
          <w:rFonts w:ascii="Times New Roman" w:hAnsi="Times New Roman"/>
          <w:i/>
        </w:rPr>
        <w:t>Shaping and securing the EU’s Open Strategic autonomy by 2040 and beyond</w:t>
      </w:r>
      <w:r>
        <w:rPr>
          <w:rFonts w:ascii="Times New Roman" w:hAnsi="Times New Roman"/>
        </w:rPr>
        <w:t xml:space="preserve">. </w:t>
      </w:r>
    </w:p>
  </w:footnote>
  <w:footnote w:id="16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COM(2021) 118.</w:t>
      </w:r>
    </w:p>
  </w:footnote>
  <w:footnote w:id="1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Gass serra b’effett serra 25 darba ogħla minn dak tad-diossidu tal-karbonju. </w:t>
      </w:r>
    </w:p>
  </w:footnote>
  <w:footnote w:id="18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Il-Forum Ekonomiku Dinji (2015) </w:t>
      </w:r>
      <w:r>
        <w:rPr>
          <w:rFonts w:ascii="Times New Roman" w:hAnsi="Times New Roman"/>
          <w:i/>
        </w:rPr>
        <w:t>Scaling technologies to decarbonise energy</w:t>
      </w:r>
      <w:r>
        <w:rPr>
          <w:rFonts w:ascii="Times New Roman" w:hAnsi="Times New Roman"/>
        </w:rPr>
        <w:t>.</w:t>
      </w:r>
      <w:r>
        <w:t xml:space="preserve"> </w:t>
      </w:r>
      <w:r>
        <w:rPr>
          <w:rFonts w:ascii="Times New Roman" w:hAnsi="Times New Roman"/>
        </w:rPr>
        <w:t>Il-ġenerazzjoni tal-enerġija nukleari bbażata fuq il-fużjoni tista’ tgħin biex tissolva l-problema tal-iskart radjuattiv li jirriżulta mill-enerġija nukleari bbażata fuq il-fissjoni.</w:t>
      </w:r>
    </w:p>
  </w:footnote>
  <w:footnote w:id="19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Il-Forum Ekonomiku Dinji (2020), </w:t>
      </w:r>
      <w:r>
        <w:rPr>
          <w:rFonts w:ascii="Times New Roman" w:hAnsi="Times New Roman"/>
          <w:i/>
        </w:rPr>
        <w:t>The future of jobs report 2020</w:t>
      </w:r>
      <w:r>
        <w:rPr>
          <w:rFonts w:ascii="Times New Roman" w:hAnsi="Times New Roman"/>
        </w:rPr>
        <w:t>.</w:t>
      </w:r>
    </w:p>
  </w:footnote>
  <w:footnote w:id="20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Pouliakas K. (2018)</w:t>
      </w:r>
      <w:r>
        <w:rPr>
          <w:rFonts w:ascii="Times New Roman" w:hAnsi="Times New Roman"/>
          <w:i/>
        </w:rPr>
        <w:t>, Determinants of automation risks in the labour market, a skills-needs approach</w:t>
      </w:r>
      <w:r>
        <w:rPr>
          <w:rFonts w:ascii="Times New Roman" w:hAnsi="Times New Roman"/>
        </w:rPr>
        <w:t xml:space="preserve">, IZA Institute of Labour Economics. </w:t>
      </w:r>
    </w:p>
  </w:footnote>
  <w:footnote w:id="21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Sors: Il-Kummissjoni Ewropea.</w:t>
      </w:r>
    </w:p>
  </w:footnote>
  <w:footnote w:id="22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OECD (2021), </w:t>
      </w:r>
      <w:r>
        <w:rPr>
          <w:rFonts w:ascii="Times New Roman" w:hAnsi="Times New Roman"/>
          <w:i/>
        </w:rPr>
        <w:t>What happened to jobs at risk of automation, policy brief on the future of work</w:t>
      </w:r>
      <w:r>
        <w:rPr>
          <w:rFonts w:ascii="Times New Roman" w:hAnsi="Times New Roman"/>
        </w:rPr>
        <w:t xml:space="preserve">. </w:t>
      </w:r>
    </w:p>
  </w:footnote>
  <w:footnote w:id="23">
    <w:p>
      <w:pPr>
        <w:pStyle w:val="FootnoteText"/>
        <w:ind w:left="284" w:hanging="284"/>
        <w:jc w:val="both"/>
        <w:rPr>
          <w:rStyle w:val="FootnoteReference"/>
          <w:rFonts w:ascii="Times New Roman" w:hAnsi="Times New Roman" w:cs="Times New Roman"/>
          <w:vertAlign w:val="baseline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Il-Parlament Ewropew, </w:t>
      </w:r>
      <w:r>
        <w:rPr>
          <w:rFonts w:ascii="Times New Roman" w:hAnsi="Times New Roman"/>
          <w:i/>
        </w:rPr>
        <w:t>L-iskart-e fl-UE: fatti u ċifri</w:t>
      </w:r>
      <w:r>
        <w:rPr>
          <w:rFonts w:ascii="Times New Roman" w:hAnsi="Times New Roman"/>
        </w:rPr>
        <w:t xml:space="preserve"> (infografika). </w:t>
      </w:r>
    </w:p>
  </w:footnote>
  <w:footnote w:id="2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Freedom House, </w:t>
      </w:r>
      <w:r>
        <w:rPr>
          <w:rFonts w:ascii="Times New Roman" w:hAnsi="Times New Roman"/>
          <w:i/>
        </w:rPr>
        <w:t>Freedom in the World 2021</w:t>
      </w:r>
      <w:r>
        <w:rPr>
          <w:rFonts w:ascii="Times New Roman" w:hAnsi="Times New Roman"/>
        </w:rPr>
        <w:t xml:space="preserve">. </w:t>
      </w:r>
    </w:p>
  </w:footnote>
  <w:footnote w:id="25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 xml:space="preserve">Alizada N., Cole R., Gastaldi L., Grahn S., Hellmeier S., Kolvani P., Lachapelle J., Lührmann A., Maerz S. F., Pillai S., Lindberg S. I.. 2021. </w:t>
      </w:r>
      <w:r>
        <w:rPr>
          <w:rFonts w:ascii="Times New Roman" w:hAnsi="Times New Roman"/>
          <w:i/>
        </w:rPr>
        <w:t>Autocratization Turns Viral. Democracy Report 2021</w:t>
      </w:r>
      <w:r>
        <w:rPr>
          <w:rFonts w:ascii="Times New Roman" w:hAnsi="Times New Roman"/>
        </w:rPr>
        <w:t>. L-Università ta’ Gothenburg: L-Istitut V-Dem.</w:t>
      </w:r>
    </w:p>
  </w:footnote>
  <w:footnote w:id="26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 xml:space="preserve">Ara, pereżempju, Sharon Lecocq (2020), </w:t>
      </w:r>
      <w:r>
        <w:rPr>
          <w:rFonts w:ascii="Times New Roman" w:hAnsi="Times New Roman"/>
          <w:i/>
        </w:rPr>
        <w:t>EU foreign policy and hybrid actors in the Middle East: ready for geopolitical contestation?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Global Affairs</w:t>
      </w:r>
      <w:r>
        <w:rPr>
          <w:rFonts w:ascii="Times New Roman" w:hAnsi="Times New Roman"/>
        </w:rPr>
        <w:t>, 6:4-5, 363-380, DOI: 10.1080/23340460.2021.1872401.</w:t>
      </w:r>
    </w:p>
  </w:footnote>
  <w:footnote w:id="2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NU (2019), </w:t>
      </w:r>
      <w:r>
        <w:rPr>
          <w:rFonts w:ascii="Times New Roman" w:hAnsi="Times New Roman"/>
          <w:i/>
        </w:rPr>
        <w:t>World population prospects</w:t>
      </w:r>
      <w:r>
        <w:rPr>
          <w:rFonts w:ascii="Times New Roman" w:hAnsi="Times New Roman"/>
        </w:rPr>
        <w:t>.</w:t>
      </w:r>
    </w:p>
  </w:footnote>
  <w:footnote w:id="28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JRC (2021), </w:t>
      </w:r>
      <w:r>
        <w:rPr>
          <w:rFonts w:ascii="Times New Roman" w:hAnsi="Times New Roman"/>
          <w:i/>
        </w:rPr>
        <w:t>Shaping &amp; securing the EU’s Open Strategic Autonomy by 2040 and beyond</w:t>
      </w:r>
      <w:r>
        <w:rPr>
          <w:rFonts w:ascii="Times New Roman" w:hAnsi="Times New Roman"/>
        </w:rPr>
        <w:t xml:space="preserve">. </w:t>
      </w:r>
    </w:p>
  </w:footnote>
  <w:footnote w:id="29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ab/>
        <w:t xml:space="preserve">Il-proporzjon ta’ dipendenza totali jirrelata n-numru ta’ individwi li x’aktarx se jkunu dipendenti fuq l-appoġġ ta’ oħrajn għall-għajxien ta’ kuljum tagħhom – iż-żgħar u l-anzjani – man-numru ta’ dawk l-individwi li huma kapaċi jipprovdu dan l-appoġġ (Eurostat). </w:t>
      </w:r>
    </w:p>
  </w:footnote>
  <w:footnote w:id="30">
    <w:p>
      <w:pPr>
        <w:pStyle w:val="FootnoteText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FootnoteReference"/>
          <w:rFonts w:ascii="Times New Roman" w:hAnsi="Times New Roman" w:cs="Times New Roman"/>
          <w:szCs w:val="22"/>
        </w:rPr>
        <w:footnoteRef/>
      </w:r>
      <w:r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ab/>
        <w:t xml:space="preserve">JRC (2019), </w:t>
      </w:r>
      <w:r>
        <w:rPr>
          <w:rFonts w:ascii="Times New Roman" w:hAnsi="Times New Roman"/>
          <w:i/>
          <w:szCs w:val="22"/>
        </w:rPr>
        <w:t>Demographic scenarios for the EU: migration, population and education</w:t>
      </w:r>
      <w:r>
        <w:rPr>
          <w:rFonts w:ascii="Times New Roman" w:hAnsi="Times New Roman"/>
          <w:szCs w:val="22"/>
        </w:rPr>
        <w:t>.</w:t>
      </w:r>
    </w:p>
  </w:footnote>
  <w:footnote w:id="31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NU (2019), </w:t>
      </w:r>
      <w:r>
        <w:rPr>
          <w:rFonts w:ascii="Times New Roman" w:hAnsi="Times New Roman"/>
          <w:i/>
        </w:rPr>
        <w:t>World population prospects</w:t>
      </w:r>
      <w:r>
        <w:rPr>
          <w:rFonts w:ascii="Times New Roman" w:hAnsi="Times New Roman"/>
        </w:rPr>
        <w:t>.</w:t>
      </w:r>
    </w:p>
  </w:footnote>
  <w:footnote w:id="32">
    <w:p>
      <w:pPr>
        <w:pStyle w:val="FootnoteText"/>
        <w:ind w:left="284" w:hanging="284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>Dan diġà qed jinħass f’organizzazzjonijiet internazzjonali, fejn l-ekonomiji emerġenti qegħdin isawru dejjem aktar il-politika.</w:t>
      </w:r>
    </w:p>
  </w:footnote>
  <w:footnote w:id="33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>L-UE hija wkoll membru “mhux enumerat” tal-G7. Billi tipparteċipa f’din il-kooperazzjoni bħala organizzazzjoni supranazzjonali, ma titqiesx f’dan il-paragun.</w:t>
      </w:r>
    </w:p>
  </w:footnote>
  <w:footnote w:id="3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L-Indiċi tal-Iżvilupp tal-Bniedem inħoloq biex jenfasizza li n-nies u l-kapaċitajiet tagħhom għandhom ikunu l-kriterji finali għall-valutazzjoni tal-iżvilupp ta’ pajjiż, u mhux it-tkabbir ekonomiku waħdu.</w:t>
      </w:r>
    </w:p>
  </w:footnote>
  <w:footnote w:id="35">
    <w:p>
      <w:pPr>
        <w:pStyle w:val="FootnoteText"/>
        <w:ind w:left="284" w:hanging="284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000000"/>
          <w:shd w:val="clear" w:color="auto" w:fill="FFFFFF"/>
        </w:rPr>
        <w:t>Iċ-ċifri jikkorrispondu għall-ishma tal-PDG nominali, imkejjel f’dollari attwali tal-Istati Uniti. Dawn inkisbu mill-aħħar projezzjonijiet fit-tul tal-OECD (</w:t>
      </w:r>
      <w:r>
        <w:rPr>
          <w:rFonts w:ascii="Times New Roman" w:hAnsi="Times New Roman"/>
          <w:i/>
          <w:color w:val="000000"/>
          <w:shd w:val="clear" w:color="auto" w:fill="FFFFFF"/>
        </w:rPr>
        <w:t>Economic Outlook 103</w:t>
      </w:r>
      <w:r>
        <w:rPr>
          <w:rFonts w:ascii="Times New Roman" w:hAnsi="Times New Roman"/>
          <w:color w:val="000000"/>
          <w:shd w:val="clear" w:color="auto" w:fill="FFFFFF"/>
        </w:rPr>
        <w:t xml:space="preserve">, Lulju 2018). Bl-aġġustament tal-PPP, it-tkabbir taċ-Ċina u tal-Indja huwa aktar mgħaġġel. Il-PDG aġġustat taċ-Ċina diġà huwa ogħla minn dak tal-Istati Uniti jew tal-UE u l-Indja se taqbiżhom sal-2040. Dan huwa dovut għall-fatt li l-konverġenza ekonomika għandha t-tendenza li timplika żieda fil-prezzijiet lokali (tas-servizzi, pereżempju), u għalhekk l-aġġustament tal-PPP iżid il-PDG tal-ekonomiji emerġenti meta mqabbla mal-ekonomiji żviluppati. It-tqabbil tal-PDG reali bejn dawn l-erba’ eżempji huwa simili għal dawk ibbażati fuq il-PDG nominali. </w:t>
      </w:r>
    </w:p>
  </w:footnote>
  <w:footnote w:id="36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Il-Kunsill Nazzjonali tal-Intelligence tal-Istati Uniti (2021), </w:t>
      </w:r>
      <w:r>
        <w:rPr>
          <w:rFonts w:ascii="Times New Roman" w:hAnsi="Times New Roman"/>
          <w:i/>
        </w:rPr>
        <w:t>Global trends 2040</w:t>
      </w:r>
      <w:r>
        <w:rPr>
          <w:rFonts w:ascii="Times New Roman" w:hAnsi="Times New Roman"/>
        </w:rPr>
        <w:t>. Ippubblikat kull erba’ snin mill-1997, ir-rapport jivvaluta x-xejriet u l-inċertezzi ewlenin li se jsawru l-ambjent strateġiku tal-Istati Uniti fl-20 sena li ġejjin. Is-Sistema Ewropea ta’ Analiżi tal-Istrateġiji u l-Politiki ġiet ikkonsultata fit-tħejjija tal-aħħar edizzjoni.</w:t>
      </w:r>
    </w:p>
  </w:footnote>
  <w:footnote w:id="3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(2020), </w:t>
      </w:r>
      <w:r>
        <w:rPr>
          <w:rFonts w:ascii="Times New Roman" w:hAnsi="Times New Roman"/>
          <w:i/>
        </w:rPr>
        <w:t>Rapport dwar l-impatt tat-tibdil demografiku</w:t>
      </w:r>
      <w:r>
        <w:rPr>
          <w:rFonts w:ascii="Times New Roman" w:hAnsi="Times New Roman"/>
        </w:rPr>
        <w:t>.</w:t>
      </w:r>
    </w:p>
  </w:footnote>
  <w:footnote w:id="38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COM(2021) 118.</w:t>
      </w:r>
    </w:p>
  </w:footnote>
  <w:footnote w:id="39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SWD(2021) 352</w:t>
      </w:r>
      <w:r>
        <w:rPr>
          <w:rFonts w:ascii="Times New Roman" w:hAnsi="Times New Roman"/>
          <w:i/>
        </w:rPr>
        <w:t xml:space="preserve">. </w:t>
      </w:r>
      <w:r>
        <w:rPr>
          <w:rFonts w:ascii="Times New Roman" w:hAnsi="Times New Roman"/>
        </w:rPr>
        <w:t>L-Istrateġija Industrijali Ġdida aġġornata tidentifika għadd ta’ oqsma fejn id-dipendenza tal-UE fuq għadd limitat ta’ fornituri hija l-aktar prominenti, li huma definiti bħala “ekosistemi sensittivi” (eż. l-ajruspazju u d-difiża, l-elettronika, is-saħħa, eċċ.). L-SWD ħabbar it-tieni stadju tar-rieżami tad-dipendenzi potenzjali u l-monitoraġġ perjodiku tad-dipendenzi attwali u futuri tal-UE.</w:t>
      </w:r>
    </w:p>
  </w:footnote>
  <w:footnote w:id="40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footnoteRef/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  <w:vertAlign w:val="superscript"/>
        </w:rPr>
        <w:tab/>
      </w:r>
      <w:r>
        <w:rPr>
          <w:rFonts w:ascii="Times New Roman" w:hAnsi="Times New Roman"/>
        </w:rPr>
        <w:t xml:space="preserve">Il-Kummissjoni Ewropea (2020), il-bullettin </w:t>
      </w:r>
      <w:r>
        <w:rPr>
          <w:rFonts w:ascii="Times New Roman" w:hAnsi="Times New Roman"/>
          <w:i/>
        </w:rPr>
        <w:t>Foresight ON health</w:t>
      </w:r>
      <w:r>
        <w:rPr>
          <w:rFonts w:ascii="Times New Roman" w:hAnsi="Times New Roman"/>
        </w:rPr>
        <w:t xml:space="preserve">. </w:t>
      </w:r>
    </w:p>
  </w:footnote>
  <w:footnote w:id="41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>Pereżempju, id-dipendenza kbira tal-UE fuq il-plażma mill-Istati Uniti, b’mod partikolari fejn ma hemmx fornituri oħra, timmina l-kapaċitajiet tas-saħħa u l-kapaċità tagħha li tirreaġixxi f’każ ta’ kriżijiet ġodda tas-saħħa pubblika.</w:t>
      </w:r>
    </w:p>
  </w:footnote>
  <w:footnote w:id="42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 xml:space="preserve">L-UE u grupp ta’ pajjiżi mir-reġjuni kollha tad-WHO żviluppaw koalizzjoni qabel l-74 sessjoni tal-Assemblea Dinjija tas-Saħħa f’Mejju 2021 biex jistabbilixxu proċess lejn konvenzjoni tad-WHO, ftehim jew strument internazzjonali ieħor dwar it-Tħejjija u r-Rispons għall-Pandemiji. </w:t>
      </w:r>
    </w:p>
  </w:footnote>
  <w:footnote w:id="4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(2021), il-bullettin </w:t>
      </w:r>
      <w:r>
        <w:rPr>
          <w:rFonts w:ascii="Times New Roman" w:hAnsi="Times New Roman"/>
          <w:i/>
        </w:rPr>
        <w:t>Foresight ON synergies between civil, defence and space industries</w:t>
      </w:r>
      <w:r>
        <w:rPr>
          <w:rFonts w:ascii="Times New Roman" w:hAnsi="Times New Roman"/>
        </w:rPr>
        <w:t xml:space="preserve">. </w:t>
      </w:r>
    </w:p>
  </w:footnote>
  <w:footnote w:id="4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L-Istitut Fraunhofer għar-Riċerka dwar is-Sistemi u l-Innovazzjoni (2019), </w:t>
      </w:r>
      <w:r>
        <w:rPr>
          <w:rFonts w:ascii="Times New Roman" w:hAnsi="Times New Roman"/>
          <w:i/>
        </w:rPr>
        <w:t>50 trends influencing Europe’s food sector by 2035</w:t>
      </w:r>
      <w:r>
        <w:rPr>
          <w:rFonts w:ascii="Times New Roman" w:hAnsi="Times New Roman"/>
        </w:rPr>
        <w:t xml:space="preserve">. </w:t>
      </w:r>
    </w:p>
  </w:footnote>
  <w:footnote w:id="45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(2020), il-bullettin </w:t>
      </w:r>
      <w:r>
        <w:rPr>
          <w:rFonts w:ascii="Times New Roman" w:hAnsi="Times New Roman"/>
          <w:i/>
        </w:rPr>
        <w:t>Foresight ON health</w:t>
      </w:r>
      <w:r>
        <w:rPr>
          <w:rFonts w:ascii="Times New Roman" w:hAnsi="Times New Roman"/>
        </w:rPr>
        <w:t xml:space="preserve">. </w:t>
      </w:r>
    </w:p>
  </w:footnote>
  <w:footnote w:id="46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It-tisħiħ tal-ambizzjoni klimatika tal-Ewropa għall-2030 Ninvestu f’futur newtrali għall-klima għall-benefiċċju tal-popli tagħna</w:t>
      </w:r>
      <w:r>
        <w:rPr>
          <w:rFonts w:ascii="Times New Roman" w:hAnsi="Times New Roman"/>
        </w:rPr>
        <w:t>, SWD(2020)176.</w:t>
      </w:r>
    </w:p>
  </w:footnote>
  <w:footnote w:id="4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L-Aġenzija Internazzjonali għall-Enerġija Rinnovabbli (2018) </w:t>
      </w:r>
      <w:r>
        <w:rPr>
          <w:rFonts w:ascii="Times New Roman" w:hAnsi="Times New Roman"/>
          <w:i/>
        </w:rPr>
        <w:t>Global energy transformation: a roadmap to 2050</w:t>
      </w:r>
      <w:r>
        <w:rPr>
          <w:rFonts w:ascii="Times New Roman" w:hAnsi="Times New Roman"/>
        </w:rPr>
        <w:t>.</w:t>
      </w:r>
    </w:p>
  </w:footnote>
  <w:footnote w:id="48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Sors: Eurostat.</w:t>
      </w:r>
    </w:p>
  </w:footnote>
  <w:footnote w:id="49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L-effett tal-ekonomija diġitali fuq il-PDG u fuq l-produttività għadu s-suġġett ta’ dibattiti. Skont simulazzjonijiet makroekonomiċi riċenti, il-kontribuzzjoni addizzjonali kumulattiva għall-PDG tat-teknoloġiji diġitali ġodda sal-2030 tista’ tammonta għal EUR 2,2 triljun fl-UE, żieda ta’ 14,1 % mill-2017 (DĠ CNECT (2020) </w:t>
      </w:r>
      <w:r>
        <w:rPr>
          <w:rFonts w:ascii="Times New Roman" w:hAnsi="Times New Roman"/>
          <w:i/>
        </w:rPr>
        <w:t>It-tiswir tat-trasformazzjoni diġitali fl-Ewropa</w:t>
      </w:r>
      <w:r>
        <w:rPr>
          <w:rFonts w:ascii="Times New Roman" w:hAnsi="Times New Roman"/>
        </w:rPr>
        <w:t xml:space="preserve">). Fl-istess ħin, xi ekonomisti jinnotaw li t-teknoloġiji ġodda ftit għandhom effett fuq il-PDG u fuq il-produttività. </w:t>
      </w:r>
    </w:p>
  </w:footnote>
  <w:footnote w:id="50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Pereżempju, il-mobbiltà multimodali konnessa u awtomatizzata u l-kondiviżjoni bla xkiel tad-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</w:rPr>
        <w:t xml:space="preserve"> jistgħu jappoġġaw il-moviment aktar sostenibbli ta’ persuni u oġġetti, inaqqsu ħafna l-fatalitajiet u l-korrimenti fit-toroq, u jtejbu l-kwalità tal-ħajja u l-effiċjenza tas-sistemi tat-trasport.</w:t>
      </w:r>
    </w:p>
  </w:footnote>
  <w:footnote w:id="51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Iċ-Ċina qed tinvesti aktar minn USD 200 biljun skont il-pjan “Made in China 2025”, bl-ambizzjoni li sal-2025 tikseb awtonomija ta’ 70 % fil-manifattura taċ-ċipep. Il-Korea t’Isfel qed tippjana li tinvesti USD 450 biljun fis-semikondutturi sal-2030 b’enfasi fuq it-teknoloġiji tal-manifattura. Il-kumpanija tal-manifattura tas-semikondutturi Tajwaniża TSMC se tinvesti aktar minn USD 100 biljun fi tliet snin fl-espansjoni tal-kapaċità tal-produzzjoni. </w:t>
      </w:r>
    </w:p>
  </w:footnote>
  <w:footnote w:id="52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(2020), </w:t>
      </w:r>
      <w:r>
        <w:rPr>
          <w:rFonts w:ascii="Times New Roman" w:hAnsi="Times New Roman"/>
          <w:i/>
        </w:rPr>
        <w:t>Il-materja prima kritika għat-teknoloġiji u s-setturi strateġiċi fl-UE – studju ta’ prospettiva</w:t>
      </w:r>
      <w:r>
        <w:rPr>
          <w:rFonts w:ascii="Times New Roman" w:hAnsi="Times New Roman"/>
        </w:rPr>
        <w:t>.</w:t>
      </w:r>
    </w:p>
  </w:footnote>
  <w:footnote w:id="5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Materja prima kritika bħall-manjeżju, in-nijobju, il-ġermanju, il-borati, il-kobalt u l-berillju u elementi tal-materjali tal-art rari, bħad-disprożju, is-samarju, in-neodimju, il-praseodimju, u l-ittriju.</w:t>
      </w:r>
    </w:p>
  </w:footnote>
  <w:footnote w:id="5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(2021), </w:t>
      </w:r>
      <w:r>
        <w:rPr>
          <w:rFonts w:ascii="Times New Roman" w:hAnsi="Times New Roman"/>
          <w:i/>
        </w:rPr>
        <w:t>Tabella ta’ Valutazzjoni tal-Materja Prima, it-3et Edizzjoni.</w:t>
      </w:r>
    </w:p>
  </w:footnote>
  <w:footnote w:id="55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JRC (2021), </w:t>
      </w:r>
      <w:r>
        <w:rPr>
          <w:rFonts w:ascii="Times New Roman" w:hAnsi="Times New Roman"/>
          <w:i/>
        </w:rPr>
        <w:t>Shaping and securing the EU’s Open Strategic autonomy by 2040 and beyond</w:t>
      </w:r>
      <w:r>
        <w:rPr>
          <w:rFonts w:ascii="Times New Roman" w:hAnsi="Times New Roman"/>
        </w:rPr>
        <w:t xml:space="preserve">. </w:t>
      </w:r>
    </w:p>
  </w:footnote>
  <w:footnote w:id="56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Bradford A. (2020), </w:t>
      </w:r>
      <w:r>
        <w:rPr>
          <w:rFonts w:ascii="Times New Roman" w:hAnsi="Times New Roman"/>
          <w:i/>
        </w:rPr>
        <w:t>The Brussels effect – how the European Union rules the world</w:t>
      </w:r>
      <w:r>
        <w:rPr>
          <w:rFonts w:ascii="Times New Roman" w:hAnsi="Times New Roman"/>
        </w:rPr>
        <w:t>.</w:t>
      </w:r>
    </w:p>
  </w:footnote>
  <w:footnote w:id="5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COM(2021) 66.</w:t>
      </w:r>
    </w:p>
  </w:footnote>
  <w:footnote w:id="58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Rieżami Ewropew tal-Istabbiltà Finanzjarja u l-Integrazzjoni (EFSIR), </w:t>
      </w:r>
      <w:r>
        <w:rPr>
          <w:rFonts w:ascii="Times New Roman" w:hAnsi="Times New Roman"/>
          <w:szCs w:val="18"/>
        </w:rPr>
        <w:t>SWD(2021) 113.</w:t>
      </w:r>
      <w:r>
        <w:rPr>
          <w:rFonts w:ascii="Times New Roman" w:hAnsi="Times New Roman"/>
          <w:sz w:val="22"/>
        </w:rPr>
        <w:t xml:space="preserve"> </w:t>
      </w:r>
    </w:p>
  </w:footnote>
  <w:footnote w:id="59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(2020), </w:t>
      </w:r>
      <w:r>
        <w:rPr>
          <w:rFonts w:ascii="Times New Roman" w:hAnsi="Times New Roman"/>
          <w:i/>
        </w:rPr>
        <w:t>Employment and social developments in Europe</w:t>
      </w:r>
      <w:r>
        <w:rPr>
          <w:rFonts w:ascii="Times New Roman" w:hAnsi="Times New Roman"/>
        </w:rPr>
        <w:t>.</w:t>
      </w:r>
    </w:p>
  </w:footnote>
  <w:footnote w:id="60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Il-livelli attwali jvarjaw minn 47.5 % sa 79.3 %, ara COM(2020) 152.  </w:t>
      </w:r>
    </w:p>
  </w:footnote>
  <w:footnote w:id="61">
    <w:p>
      <w:pPr>
        <w:pStyle w:val="FootnoteText"/>
        <w:ind w:left="284" w:hanging="284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>Il-proporzjon ta’ adulti żgħażagħ b’ħiliet diġitali ogħla minn dawk bażiċi huwa ta’ aktar minn 50 % u dan qed jiżdied; ara l-ħidma li għaddejja tal-JRC fuq id-dashboard tar-“reżiljenza diġitali”, ibbażata fuq id-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</w:rPr>
        <w:t xml:space="preserve"> tal-Eurostat (ħiliet diġitali) u d-</w:t>
      </w:r>
      <w:r>
        <w:rPr>
          <w:rFonts w:ascii="Times New Roman" w:hAnsi="Times New Roman"/>
          <w:i/>
        </w:rPr>
        <w:t>data</w:t>
      </w:r>
      <w:r>
        <w:rPr>
          <w:rFonts w:ascii="Times New Roman" w:hAnsi="Times New Roman"/>
        </w:rPr>
        <w:t xml:space="preserve"> ta’ PREDICT CORE (postijiet disponibbli f’teknoloġiji avvanzati).</w:t>
      </w:r>
    </w:p>
  </w:footnote>
  <w:footnote w:id="62">
    <w:p>
      <w:pPr>
        <w:pStyle w:val="FootnoteText"/>
        <w:ind w:left="284" w:hanging="284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 xml:space="preserve">Il-Kummissjoni Ewropea (2019), </w:t>
      </w:r>
      <w:r>
        <w:rPr>
          <w:rFonts w:ascii="Times New Roman" w:hAnsi="Times New Roman"/>
          <w:i/>
        </w:rPr>
        <w:t>Employment and Social Developments in Europe</w:t>
      </w:r>
      <w:r>
        <w:rPr>
          <w:rFonts w:ascii="Times New Roman" w:hAnsi="Times New Roman"/>
        </w:rPr>
        <w:t>.</w:t>
      </w:r>
    </w:p>
  </w:footnote>
  <w:footnote w:id="6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JRC (2019), </w:t>
      </w:r>
      <w:r>
        <w:rPr>
          <w:rFonts w:ascii="Times New Roman" w:hAnsi="Times New Roman"/>
          <w:i/>
        </w:rPr>
        <w:t>Demographic scenarios for the EU: migration, population and education</w:t>
      </w:r>
      <w:r>
        <w:rPr>
          <w:rFonts w:ascii="Times New Roman" w:hAnsi="Times New Roman"/>
        </w:rPr>
        <w:t>.</w:t>
      </w:r>
    </w:p>
  </w:footnote>
  <w:footnote w:id="6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PPMI, IDEA Consult u WIFO (2020), L-istudju MORE4, Support data collection and analysis concerning mobility patterns and career paths of researchers. </w:t>
      </w:r>
    </w:p>
  </w:footnote>
  <w:footnote w:id="65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>Skont il-Mekkaniżmu tal-UE attwali tal-Protezzjoni Ċivili, l-Istati Membri tal-UE u l-Iżlanda, in-Norveġja, is-Serbja, il-Maċedonja ta’ Fuq, il-Montenegro, u t-Turkija jikkooperaw dwar il-protezzjoni ċivili biex itejbu l-prevenzjoni, it-tħejjija u r-rispons għad-diżastri. Il-monitoraġġ kostanti miċ-Ċentru ta’ Koordinazzjoni tar-Reazzjoni f’każ ta’ Emerġenza jiżgura l-użu rapidu tal-appoġġ ta’ emerġenza permezz ta’ rabta diretta mal-awtoritajiet nazzjonali tal-protezzjoni ċivili. Timijiet u tagħmir speċjalizzati, bħal ajruplani tat-tifi tan-nirien fil-foresti, timijiet tat-tiftix, tas-salvataġġ u mediċi jistgħu jiġu mmobilizzati fi żmien qasir għall-iskjerament ġewwa u barra l-UE</w:t>
      </w:r>
      <w:r>
        <w:t xml:space="preserve"> </w:t>
      </w:r>
      <w:r>
        <w:rPr>
          <w:rFonts w:ascii="Times New Roman" w:hAnsi="Times New Roman"/>
        </w:rPr>
        <w:t>biex jappoġġjaw l-isforzi ta’ rispons tal-pajjiżi affettwati mid-diżastri.</w:t>
      </w:r>
    </w:p>
  </w:footnote>
  <w:footnote w:id="66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L-Aġenzija Ewropea għad-Difiża (2020), Ir-rapport CARD.</w:t>
      </w:r>
    </w:p>
  </w:footnote>
  <w:footnote w:id="6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NATO (2020), </w:t>
      </w:r>
      <w:r>
        <w:rPr>
          <w:rFonts w:ascii="Times New Roman" w:hAnsi="Times New Roman"/>
          <w:i/>
        </w:rPr>
        <w:t>Science &amp; technology trends 2020-2040: exploring the S&amp;T edge</w:t>
      </w:r>
      <w:r>
        <w:rPr>
          <w:rFonts w:ascii="Times New Roman" w:hAnsi="Times New Roman"/>
        </w:rPr>
        <w:t>.</w:t>
      </w:r>
    </w:p>
  </w:footnote>
  <w:footnote w:id="68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Il-Kummissjoni Ewropea (2020), il-bullettin </w:t>
      </w:r>
      <w:r>
        <w:rPr>
          <w:rFonts w:ascii="Times New Roman" w:hAnsi="Times New Roman"/>
          <w:i/>
        </w:rPr>
        <w:t>Foresight ON security</w:t>
      </w:r>
      <w:r>
        <w:rPr>
          <w:rFonts w:ascii="Times New Roman" w:hAnsi="Times New Roman"/>
        </w:rPr>
        <w:t>.</w:t>
      </w:r>
    </w:p>
  </w:footnote>
  <w:footnote w:id="69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Morgan Stanley (2016), </w:t>
      </w:r>
      <w:r>
        <w:rPr>
          <w:rFonts w:ascii="Times New Roman" w:hAnsi="Times New Roman"/>
          <w:i/>
        </w:rPr>
        <w:t>The space economy’s next giant leap</w:t>
      </w:r>
      <w:r>
        <w:rPr>
          <w:rFonts w:ascii="Times New Roman" w:hAnsi="Times New Roman"/>
        </w:rPr>
        <w:t xml:space="preserve">.  </w:t>
      </w:r>
    </w:p>
  </w:footnote>
  <w:footnote w:id="70">
    <w:p>
      <w:pPr>
        <w:pStyle w:val="FootnoteText"/>
        <w:ind w:left="284" w:hanging="284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 xml:space="preserve">Ara, pereżempju, </w:t>
      </w:r>
      <w:hyperlink r:id="rId2" w:history="1">
        <w:r>
          <w:rPr>
            <w:rStyle w:val="Hyperlink"/>
            <w:rFonts w:ascii="Times New Roman" w:hAnsi="Times New Roman"/>
          </w:rPr>
          <w:t>https://www.un.org/sg/en/content/sg/speeches/2020-09-21/remarks-general-assembly-ceremony-marking-the-75th-anniversary-of-the-united-nations</w:t>
        </w:r>
      </w:hyperlink>
      <w:r>
        <w:rPr>
          <w:rFonts w:ascii="Times New Roman" w:hAnsi="Times New Roman"/>
        </w:rPr>
        <w:t>.</w:t>
      </w:r>
    </w:p>
  </w:footnote>
  <w:footnote w:id="71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>Il-Bank tal-Iżvilupp Ġdid għandu l-għan li jimmobilizza r-riżorsi għal proġetti ta’ żvilupp fil-BRICS, fl-ekonomiji emerġenti u fil-pajjiżi li qed jiżviluppaw.</w:t>
      </w:r>
    </w:p>
  </w:footnote>
  <w:footnote w:id="72">
    <w:p>
      <w:pPr>
        <w:pStyle w:val="FootnoteText"/>
        <w:ind w:left="284" w:hanging="284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 xml:space="preserve">Il-Kummissjoni Ewropea, (2019), </w:t>
      </w:r>
      <w:r>
        <w:rPr>
          <w:rFonts w:ascii="Times New Roman" w:hAnsi="Times New Roman"/>
          <w:i/>
        </w:rPr>
        <w:t>UE-Ċina: perspettiva strateġika</w:t>
      </w:r>
      <w:r>
        <w:rPr>
          <w:rFonts w:ascii="Times New Roman" w:hAnsi="Times New Roman"/>
        </w:rPr>
        <w:t>.</w:t>
      </w:r>
    </w:p>
  </w:footnote>
  <w:footnote w:id="7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Ara JOIN(2021) 20.</w:t>
      </w:r>
    </w:p>
  </w:footnote>
  <w:footnote w:id="7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Is-sitt rapport ta’ progress dwar l-implimentazzjoni tas-sett komuni ta’ proposti approvati mill-Kunsilli tal-UE u tan-NATO fis-6 ta’ Diċembru 2016 u fil-5 ta’ Diċembru 2017 (Ġunju 2021).</w:t>
      </w:r>
    </w:p>
  </w:footnote>
  <w:footnote w:id="75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NATO (2021), L-istqarrija tas-Summit ta’ Brussell.</w:t>
      </w:r>
    </w:p>
  </w:footnote>
  <w:footnote w:id="76">
    <w:p>
      <w:pPr>
        <w:pStyle w:val="FootnoteText"/>
        <w:ind w:left="284" w:hanging="284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COM(2020) 640.</w:t>
      </w:r>
    </w:p>
  </w:footnote>
  <w:footnote w:id="77">
    <w:p>
      <w:pPr>
        <w:pStyle w:val="FootnoteText"/>
        <w:ind w:left="284" w:hanging="284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COM(2021) 550.</w:t>
      </w:r>
    </w:p>
  </w:footnote>
  <w:footnote w:id="78">
    <w:p>
      <w:pPr>
        <w:pStyle w:val="FootnoteText"/>
        <w:ind w:left="284" w:hanging="284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L-emissjonijiet ta’ gassijiet serra fl-UE tnaqqsu b’24 % bejn l-1990 u l-2019, filwaqt li l-ekonomija kibret b’madwar 60 % fl-istess perjodu. Il-Kummissjoni Ewropea (2019) </w:t>
      </w:r>
      <w:r>
        <w:rPr>
          <w:rFonts w:ascii="Times New Roman" w:hAnsi="Times New Roman"/>
          <w:i/>
        </w:rPr>
        <w:t>, Ir-rekord tal-UE dwar l-azzjoni klimatika</w:t>
      </w:r>
      <w:r>
        <w:t xml:space="preserve">. </w:t>
      </w:r>
    </w:p>
  </w:footnote>
  <w:footnote w:id="79">
    <w:p>
      <w:pPr>
        <w:pStyle w:val="FootnoteText"/>
        <w:ind w:left="284" w:hanging="284"/>
        <w:rPr>
          <w:rFonts w:ascii="Times New Roman" w:hAnsi="Times New Roman" w:cs="Times New Roman"/>
          <w:szCs w:val="24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  <w:szCs w:val="24"/>
        </w:rPr>
        <w:t xml:space="preserve">JRC (2021), </w:t>
      </w:r>
      <w:r>
        <w:rPr>
          <w:rFonts w:ascii="Times New Roman" w:hAnsi="Times New Roman"/>
          <w:i/>
          <w:szCs w:val="24"/>
        </w:rPr>
        <w:t>Shaping and securing the EU’s Open Strategic autonomy by 2040 and beyond</w:t>
      </w:r>
      <w:r>
        <w:rPr>
          <w:rFonts w:ascii="Times New Roman" w:hAnsi="Times New Roman"/>
          <w:szCs w:val="24"/>
        </w:rPr>
        <w:t>.</w:t>
      </w:r>
    </w:p>
  </w:footnote>
  <w:footnote w:id="80">
    <w:p>
      <w:pPr>
        <w:pStyle w:val="FootnoteText"/>
        <w:ind w:left="284" w:hanging="284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COM(2021) 66. </w:t>
      </w:r>
    </w:p>
  </w:footnote>
  <w:footnote w:id="81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Il-konnettività tista’ tiġi ddefinita bħala li tressaq lill-pajjiżi, is-soċjetajiet u n-nies eqreb lejn xulxin. Din tinkludi rabtiet soċjokulturali fiżiċi u istituzzjonali, ftehimiet settorjali kif ukoll kooperazzjoni regolatorja u teknika f’setturi konkreti bħat-trasport, l-enerġija u dak diġitali.</w:t>
      </w:r>
    </w:p>
  </w:footnote>
  <w:footnote w:id="82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rFonts w:ascii="Times New Roman" w:hAnsi="Times New Roman"/>
        </w:rPr>
        <w:t>L-approċċ tal-UE għall-konnettività ġie stabbilit fil-Komunikazzjoni Konġunta “</w:t>
      </w:r>
      <w:r>
        <w:rPr>
          <w:rFonts w:ascii="Times New Roman" w:hAnsi="Times New Roman"/>
          <w:i/>
        </w:rPr>
        <w:t>Konnessjoni bejn l-Ewropa u l-Asja - Elementi fundamentali għal Strateġija tal-UE</w:t>
      </w:r>
      <w:r>
        <w:rPr>
          <w:rFonts w:ascii="Times New Roman" w:hAnsi="Times New Roman"/>
        </w:rPr>
        <w:t>”, JOIN(2018) 31.</w:t>
      </w:r>
    </w:p>
  </w:footnote>
  <w:footnote w:id="8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Tim Ewropa jikkonsisti fl-UE, fl-Istati Membri u fin-networks diplomatiċi tagħha, fl-istituzzjonijiet finanzjarji li jinkludu l-banek nazzjonali tal-iżvilupp u l-aġenziji ta’ implimentazzjoni, kif ukoll il-Bank Ewropew tal-Investiment u l-Bank Ewropew għar-Rikostruzzjoni u l-Iżvilupp.</w:t>
      </w:r>
    </w:p>
  </w:footnote>
  <w:footnote w:id="8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L-Aġenzija Ewropea għall-Ambjent (2019), </w:t>
      </w:r>
      <w:r>
        <w:rPr>
          <w:rFonts w:ascii="Times New Roman" w:hAnsi="Times New Roman"/>
          <w:i/>
        </w:rPr>
        <w:t>The European environment - state and outlook 2020</w:t>
      </w:r>
      <w:r>
        <w:rPr>
          <w:rFonts w:ascii="Times New Roman" w:hAnsi="Times New Roman"/>
        </w:rPr>
        <w:t xml:space="preserve">. </w:t>
      </w:r>
    </w:p>
  </w:footnote>
  <w:footnote w:id="85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hyperlink r:id="rId3" w:history="1">
        <w:r>
          <w:rPr>
            <w:rStyle w:val="Hyperlink"/>
            <w:rFonts w:ascii="Times New Roman" w:hAnsi="Times New Roman"/>
          </w:rPr>
          <w:t>https://futureu.europa.eu/</w:t>
        </w:r>
      </w:hyperlink>
      <w:r>
        <w:rPr>
          <w:rFonts w:ascii="Times New Roman" w:hAnsi="Times New Roman"/>
        </w:rPr>
        <w:t xml:space="preserve"> </w:t>
      </w:r>
    </w:p>
  </w:footnote>
  <w:footnote w:id="86">
    <w:p>
      <w:pPr>
        <w:pStyle w:val="FootnoteText"/>
        <w:ind w:left="284" w:hanging="284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hyperlink r:id="rId4" w:history="1">
        <w:r>
          <w:rPr>
            <w:rStyle w:val="Hyperlink"/>
            <w:rFonts w:ascii="Times New Roman" w:hAnsi="Times New Roman"/>
          </w:rPr>
          <w:t>https://ec.europa.eu/info/strategy/strategic-planning/strategic-foresight/2020-strategic-foresight-report/resilience-dashboards_en</w:t>
        </w:r>
      </w:hyperlink>
      <w:r>
        <w:rPr>
          <w:rFonts w:ascii="Times New Roman" w:hAnsi="Times New Roman"/>
        </w:rPr>
        <w:t>; id-dashboards tar-reżiljenza huma għodod ta’ monitoraġġ għall-valutazzjoni tal-vulnerabbiltajiet u tal-kapaċitajiet tal-UE u tal-Istati Membri f’erba’ dimensjonijiet: soċjali u ekonomiċi, ekoloġiċi, diġitali u ġeopolitiċi.</w:t>
      </w:r>
      <w:r>
        <w:rPr>
          <w:rFonts w:ascii="Times New Roman" w:hAnsi="Times New Roman"/>
          <w:sz w:val="24"/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5BDA"/>
    <w:multiLevelType w:val="hybridMultilevel"/>
    <w:tmpl w:val="EE2EF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93CC9"/>
    <w:multiLevelType w:val="hybridMultilevel"/>
    <w:tmpl w:val="08D2E4B4"/>
    <w:lvl w:ilvl="0" w:tplc="AAC6F1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D30EE"/>
    <w:multiLevelType w:val="hybridMultilevel"/>
    <w:tmpl w:val="A8E8807A"/>
    <w:lvl w:ilvl="0" w:tplc="080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">
    <w:nsid w:val="0AB45990"/>
    <w:multiLevelType w:val="hybridMultilevel"/>
    <w:tmpl w:val="8AB246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E4239"/>
    <w:multiLevelType w:val="hybridMultilevel"/>
    <w:tmpl w:val="D500E36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A474D"/>
    <w:multiLevelType w:val="hybridMultilevel"/>
    <w:tmpl w:val="502637A2"/>
    <w:lvl w:ilvl="0" w:tplc="909C56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E2369"/>
    <w:multiLevelType w:val="hybridMultilevel"/>
    <w:tmpl w:val="7460F5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A3697"/>
    <w:multiLevelType w:val="hybridMultilevel"/>
    <w:tmpl w:val="7AF69FF4"/>
    <w:lvl w:ilvl="0" w:tplc="1564F3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77B99"/>
    <w:multiLevelType w:val="hybridMultilevel"/>
    <w:tmpl w:val="D2908CB6"/>
    <w:lvl w:ilvl="0" w:tplc="01EC09CE">
      <w:start w:val="1"/>
      <w:numFmt w:val="bullet"/>
      <w:lvlText w:val=""/>
      <w:lvlJc w:val="left"/>
      <w:pPr>
        <w:ind w:left="7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9">
    <w:nsid w:val="2C1963FB"/>
    <w:multiLevelType w:val="hybridMultilevel"/>
    <w:tmpl w:val="C0B8DF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300CD"/>
    <w:multiLevelType w:val="hybridMultilevel"/>
    <w:tmpl w:val="37D698D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2D4BF2"/>
    <w:multiLevelType w:val="hybridMultilevel"/>
    <w:tmpl w:val="8C52AB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A2DA0"/>
    <w:multiLevelType w:val="hybridMultilevel"/>
    <w:tmpl w:val="F4DC517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774D9"/>
    <w:multiLevelType w:val="hybridMultilevel"/>
    <w:tmpl w:val="D0501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21A32"/>
    <w:multiLevelType w:val="hybridMultilevel"/>
    <w:tmpl w:val="C02CEFE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6E6960"/>
    <w:multiLevelType w:val="hybridMultilevel"/>
    <w:tmpl w:val="937A1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AE7410"/>
    <w:multiLevelType w:val="hybridMultilevel"/>
    <w:tmpl w:val="D72403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0C1D4A"/>
    <w:multiLevelType w:val="hybridMultilevel"/>
    <w:tmpl w:val="32381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FB779D"/>
    <w:multiLevelType w:val="hybridMultilevel"/>
    <w:tmpl w:val="F438CC46"/>
    <w:lvl w:ilvl="0" w:tplc="BD68E0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61A88"/>
    <w:multiLevelType w:val="hybridMultilevel"/>
    <w:tmpl w:val="104A5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1C2E02"/>
    <w:multiLevelType w:val="hybridMultilevel"/>
    <w:tmpl w:val="1E1EEF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1740E4"/>
    <w:multiLevelType w:val="hybridMultilevel"/>
    <w:tmpl w:val="9BB02A7C"/>
    <w:lvl w:ilvl="0" w:tplc="D0527B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516DA"/>
    <w:multiLevelType w:val="hybridMultilevel"/>
    <w:tmpl w:val="1B3C303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525FDD"/>
    <w:multiLevelType w:val="hybridMultilevel"/>
    <w:tmpl w:val="DFB2493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62784"/>
    <w:multiLevelType w:val="hybridMultilevel"/>
    <w:tmpl w:val="8360A0B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907CCA"/>
    <w:multiLevelType w:val="hybridMultilevel"/>
    <w:tmpl w:val="1E1EEF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C80A47"/>
    <w:multiLevelType w:val="hybridMultilevel"/>
    <w:tmpl w:val="1E1EEF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E7486"/>
    <w:multiLevelType w:val="hybridMultilevel"/>
    <w:tmpl w:val="D70A3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8071C2"/>
    <w:multiLevelType w:val="hybridMultilevel"/>
    <w:tmpl w:val="EE2244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D688A"/>
    <w:multiLevelType w:val="hybridMultilevel"/>
    <w:tmpl w:val="4A32BE8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7C4A1C"/>
    <w:multiLevelType w:val="hybridMultilevel"/>
    <w:tmpl w:val="C9CE7628"/>
    <w:lvl w:ilvl="0" w:tplc="6580622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1">
    <w:nsid w:val="77170BFE"/>
    <w:multiLevelType w:val="hybridMultilevel"/>
    <w:tmpl w:val="C4B6143A"/>
    <w:lvl w:ilvl="0" w:tplc="667AD2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10812"/>
    <w:multiLevelType w:val="hybridMultilevel"/>
    <w:tmpl w:val="F0101A92"/>
    <w:lvl w:ilvl="0" w:tplc="5CAC937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8D0D2C"/>
    <w:multiLevelType w:val="hybridMultilevel"/>
    <w:tmpl w:val="417492CE"/>
    <w:lvl w:ilvl="0" w:tplc="77EC35B8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18090019">
      <w:start w:val="1"/>
      <w:numFmt w:val="lowerLetter"/>
      <w:lvlText w:val="%2."/>
      <w:lvlJc w:val="left"/>
      <w:pPr>
        <w:ind w:left="643" w:hanging="360"/>
      </w:pPr>
    </w:lvl>
    <w:lvl w:ilvl="2" w:tplc="1809001B">
      <w:start w:val="1"/>
      <w:numFmt w:val="lowerRoman"/>
      <w:lvlText w:val="%3."/>
      <w:lvlJc w:val="right"/>
      <w:pPr>
        <w:ind w:left="1172" w:hanging="180"/>
      </w:pPr>
    </w:lvl>
    <w:lvl w:ilvl="3" w:tplc="D3BA3C60">
      <w:start w:val="1"/>
      <w:numFmt w:val="lowerLetter"/>
      <w:lvlText w:val="%4."/>
      <w:lvlJc w:val="left"/>
      <w:pPr>
        <w:ind w:left="1778" w:hanging="360"/>
      </w:pPr>
      <w:rPr>
        <w:rFonts w:hint="default"/>
      </w:rPr>
    </w:lvl>
    <w:lvl w:ilvl="4" w:tplc="53B0E09E">
      <w:start w:val="2021"/>
      <w:numFmt w:val="bullet"/>
      <w:lvlText w:val="-"/>
      <w:lvlJc w:val="left"/>
      <w:pPr>
        <w:ind w:left="3316" w:hanging="360"/>
      </w:pPr>
      <w:rPr>
        <w:rFonts w:ascii="Calibri" w:eastAsiaTheme="minorHAnsi" w:hAnsi="Calibri" w:cs="Calibri" w:hint="default"/>
      </w:rPr>
    </w:lvl>
    <w:lvl w:ilvl="5" w:tplc="1809001B" w:tentative="1">
      <w:start w:val="1"/>
      <w:numFmt w:val="lowerRoman"/>
      <w:lvlText w:val="%6."/>
      <w:lvlJc w:val="right"/>
      <w:pPr>
        <w:ind w:left="4036" w:hanging="180"/>
      </w:pPr>
    </w:lvl>
    <w:lvl w:ilvl="6" w:tplc="1809000F" w:tentative="1">
      <w:start w:val="1"/>
      <w:numFmt w:val="decimal"/>
      <w:lvlText w:val="%7."/>
      <w:lvlJc w:val="left"/>
      <w:pPr>
        <w:ind w:left="4756" w:hanging="360"/>
      </w:pPr>
    </w:lvl>
    <w:lvl w:ilvl="7" w:tplc="18090019" w:tentative="1">
      <w:start w:val="1"/>
      <w:numFmt w:val="lowerLetter"/>
      <w:lvlText w:val="%8."/>
      <w:lvlJc w:val="left"/>
      <w:pPr>
        <w:ind w:left="5476" w:hanging="360"/>
      </w:pPr>
    </w:lvl>
    <w:lvl w:ilvl="8" w:tplc="1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4">
    <w:nsid w:val="7E3C14FF"/>
    <w:multiLevelType w:val="hybridMultilevel"/>
    <w:tmpl w:val="63BA57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CB5730"/>
    <w:multiLevelType w:val="hybridMultilevel"/>
    <w:tmpl w:val="417492CE"/>
    <w:lvl w:ilvl="0" w:tplc="77EC35B8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18090019">
      <w:start w:val="1"/>
      <w:numFmt w:val="lowerLetter"/>
      <w:lvlText w:val="%2."/>
      <w:lvlJc w:val="left"/>
      <w:pPr>
        <w:ind w:left="643" w:hanging="360"/>
      </w:pPr>
    </w:lvl>
    <w:lvl w:ilvl="2" w:tplc="1809001B">
      <w:start w:val="1"/>
      <w:numFmt w:val="lowerRoman"/>
      <w:lvlText w:val="%3."/>
      <w:lvlJc w:val="right"/>
      <w:pPr>
        <w:ind w:left="1172" w:hanging="180"/>
      </w:pPr>
    </w:lvl>
    <w:lvl w:ilvl="3" w:tplc="D3BA3C60">
      <w:start w:val="1"/>
      <w:numFmt w:val="lowerLetter"/>
      <w:lvlText w:val="%4."/>
      <w:lvlJc w:val="left"/>
      <w:pPr>
        <w:ind w:left="1778" w:hanging="360"/>
      </w:pPr>
      <w:rPr>
        <w:rFonts w:hint="default"/>
      </w:rPr>
    </w:lvl>
    <w:lvl w:ilvl="4" w:tplc="53B0E09E">
      <w:start w:val="2021"/>
      <w:numFmt w:val="bullet"/>
      <w:lvlText w:val="-"/>
      <w:lvlJc w:val="left"/>
      <w:pPr>
        <w:ind w:left="3316" w:hanging="360"/>
      </w:pPr>
      <w:rPr>
        <w:rFonts w:ascii="Calibri" w:eastAsiaTheme="minorHAnsi" w:hAnsi="Calibri" w:cs="Calibri" w:hint="default"/>
      </w:rPr>
    </w:lvl>
    <w:lvl w:ilvl="5" w:tplc="1809001B" w:tentative="1">
      <w:start w:val="1"/>
      <w:numFmt w:val="lowerRoman"/>
      <w:lvlText w:val="%6."/>
      <w:lvlJc w:val="right"/>
      <w:pPr>
        <w:ind w:left="4036" w:hanging="180"/>
      </w:pPr>
    </w:lvl>
    <w:lvl w:ilvl="6" w:tplc="1809000F" w:tentative="1">
      <w:start w:val="1"/>
      <w:numFmt w:val="decimal"/>
      <w:lvlText w:val="%7."/>
      <w:lvlJc w:val="left"/>
      <w:pPr>
        <w:ind w:left="4756" w:hanging="360"/>
      </w:pPr>
    </w:lvl>
    <w:lvl w:ilvl="7" w:tplc="18090019" w:tentative="1">
      <w:start w:val="1"/>
      <w:numFmt w:val="lowerLetter"/>
      <w:lvlText w:val="%8."/>
      <w:lvlJc w:val="left"/>
      <w:pPr>
        <w:ind w:left="5476" w:hanging="360"/>
      </w:pPr>
    </w:lvl>
    <w:lvl w:ilvl="8" w:tplc="180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35"/>
  </w:num>
  <w:num w:numId="2">
    <w:abstractNumId w:val="5"/>
  </w:num>
  <w:num w:numId="3">
    <w:abstractNumId w:val="29"/>
  </w:num>
  <w:num w:numId="4">
    <w:abstractNumId w:val="23"/>
  </w:num>
  <w:num w:numId="5">
    <w:abstractNumId w:val="27"/>
  </w:num>
  <w:num w:numId="6">
    <w:abstractNumId w:val="0"/>
  </w:num>
  <w:num w:numId="7">
    <w:abstractNumId w:val="1"/>
  </w:num>
  <w:num w:numId="8">
    <w:abstractNumId w:val="33"/>
  </w:num>
  <w:num w:numId="9">
    <w:abstractNumId w:val="32"/>
  </w:num>
  <w:num w:numId="10">
    <w:abstractNumId w:val="19"/>
  </w:num>
  <w:num w:numId="11">
    <w:abstractNumId w:val="30"/>
  </w:num>
  <w:num w:numId="12">
    <w:abstractNumId w:val="28"/>
  </w:num>
  <w:num w:numId="13">
    <w:abstractNumId w:val="14"/>
  </w:num>
  <w:num w:numId="14">
    <w:abstractNumId w:val="17"/>
  </w:num>
  <w:num w:numId="15">
    <w:abstractNumId w:val="34"/>
  </w:num>
  <w:num w:numId="16">
    <w:abstractNumId w:val="13"/>
  </w:num>
  <w:num w:numId="17">
    <w:abstractNumId w:val="16"/>
  </w:num>
  <w:num w:numId="18">
    <w:abstractNumId w:val="18"/>
  </w:num>
  <w:num w:numId="19">
    <w:abstractNumId w:val="31"/>
  </w:num>
  <w:num w:numId="20">
    <w:abstractNumId w:val="8"/>
  </w:num>
  <w:num w:numId="21">
    <w:abstractNumId w:val="2"/>
  </w:num>
  <w:num w:numId="22">
    <w:abstractNumId w:val="7"/>
  </w:num>
  <w:num w:numId="23">
    <w:abstractNumId w:val="3"/>
  </w:num>
  <w:num w:numId="24">
    <w:abstractNumId w:val="24"/>
  </w:num>
  <w:num w:numId="25">
    <w:abstractNumId w:val="6"/>
  </w:num>
  <w:num w:numId="26">
    <w:abstractNumId w:val="9"/>
  </w:num>
  <w:num w:numId="27">
    <w:abstractNumId w:val="12"/>
  </w:num>
  <w:num w:numId="28">
    <w:abstractNumId w:val="26"/>
  </w:num>
  <w:num w:numId="29">
    <w:abstractNumId w:val="20"/>
  </w:num>
  <w:num w:numId="30">
    <w:abstractNumId w:val="25"/>
  </w:num>
  <w:num w:numId="31">
    <w:abstractNumId w:val="22"/>
  </w:num>
  <w:num w:numId="32">
    <w:abstractNumId w:val="21"/>
  </w:num>
  <w:num w:numId="33">
    <w:abstractNumId w:val="10"/>
  </w:num>
  <w:num w:numId="34">
    <w:abstractNumId w:val="15"/>
  </w:num>
  <w:num w:numId="35">
    <w:abstractNumId w:val="4"/>
  </w:num>
  <w:num w:numId="3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activeWritingStyle w:appName="MSWord" w:lang="fr-BE" w:vendorID="64" w:dllVersion="131078" w:nlCheck="1" w:checkStyle="0"/>
  <w:activeWritingStyle w:appName="MSWord" w:lang="en-I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0"/>
  <w:activeWritingStyle w:appName="MSWord" w:lang="nl-NL" w:vendorID="64" w:dllVersion="131078" w:nlCheck="1" w:checkStyle="0"/>
  <w:activeWritingStyle w:appName="MSWord" w:lang="de-DE" w:vendorID="64" w:dllVersion="131078" w:nlCheck="1" w:checkStyle="0"/>
  <w:activeWritingStyle w:appName="MSWord" w:lang="it-IT" w:vendorID="64" w:dllVersion="131078" w:nlCheck="1" w:checkStyle="0"/>
  <w:activeWritingStyle w:appName="MSWord" w:lang="pt-PT" w:vendorID="64" w:dllVersion="131078" w:nlCheck="1" w:checkStyle="0"/>
  <w:activeWritingStyle w:appName="MSWord" w:lang="fr-FR" w:vendorID="64" w:dllVersion="131078" w:nlCheck="1" w:checkStyle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CORRIGENDUM" w:val="&lt;UNUSED&gt;"/>
    <w:docVar w:name="LW_COVERPAGE_EXISTS" w:val="True"/>
    <w:docVar w:name="LW_COVERPAGE_GUID" w:val="DEF49CB2-F33A-4603-8B07-1756E1E4299F"/>
    <w:docVar w:name="LW_COVERPAGE_TYPE" w:val="1"/>
    <w:docVar w:name="LW_CROSSREFERENCE" w:val="&lt;UNUSED&gt;"/>
    <w:docVar w:name="LW_DocType" w:val="NORMAL"/>
    <w:docVar w:name="LW_EMISSION" w:val="8.9.2021"/>
    <w:docVar w:name="LW_EMISSION_ISODATE" w:val="2021-09-08"/>
    <w:docVar w:name="LW_EMISSION_LOCATION" w:val="BRX"/>
    <w:docVar w:name="LW_EMISSION_PREFIX" w:val="Brussell, "/>
    <w:docVar w:name="LW_EMISSION_SUFFIX" w:val=" "/>
    <w:docVar w:name="LW_ID_DOCTYPE_NONLW" w:val="CP-012"/>
    <w:docVar w:name="LW_LANGUE" w:val="MT"/>
    <w:docVar w:name="LW_LEVEL_OF_SENSITIVITY" w:val="Standard treatment"/>
    <w:docVar w:name="LW_NOM.INST" w:val="IL-KUMMISSJONI EWROPE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21) 750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Rapport ta' Prospettiva Strate\u289?ika 2021_x000d__x000d__x000d__x000d__x000d__x000b__x000d__x000d__x000d__x000d__x000d__x000d__x000b__x000d__x000d_Il-kapa\u267?ità u l-libertà tal-UE li ta\u289?ixxi"/>
    <w:docVar w:name="LW_TYPE.DOC.CP" w:val="KOMUNIKAZZJONI TAL-KUMMISSJONI LILL-PARLAMENT EWROPEW U LILL-KUNSILL"/>
    <w:docVar w:name="LW_TYPE.DOC.CP.USERTEXT" w:val="&lt;EMPTY&gt;"/>
    <w:docVar w:name="LwApiVersions" w:val="LW4CoDe 1.23.0.0; LW 8.0, Build 20210114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num" w:pos="720"/>
      </w:tabs>
      <w:spacing w:before="360" w:after="0" w:line="276" w:lineRule="auto"/>
      <w:ind w:left="720" w:hanging="72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num" w:pos="1440"/>
      </w:tabs>
      <w:spacing w:before="240" w:after="0" w:line="276" w:lineRule="auto"/>
      <w:ind w:left="1440" w:hanging="1440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paragraph 1,1st level - Bullet List Paragraph,Lettre d'introduction,List Paragraph1,Paragraphe de liste1,Medium Grid 1 - Accent 21,List_Paragraph,Multilevel para_II,Akapit z listą BS,Bullet1,Recommendation,L"/>
    <w:basedOn w:val="Normal"/>
    <w:link w:val="ListParagraphChar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FootnoteText">
    <w:name w:val="footnote text"/>
    <w:aliases w:val="Schriftart: 9 pt,Schriftart: 10 pt,Schriftart: 8 pt,WB-Fußnotentext,fn,Footnotes,Footnote ak,RSC_WP (footnotes),Footnote Text Char3,Footnote Text Char1 Char1,Footnote Text Char2 Char Char,Footnote Text Char1 Char1 Char Char,FoodNote,ft,f,C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,RSC_WP (footnotes) Char,Footnote Text Char3 Char,Footnote Text Char1 Char1 Char,FoodNote Char,ft Char"/>
    <w:basedOn w:val="DefaultParagraphFont"/>
    <w:link w:val="FootnoteText"/>
    <w:uiPriority w:val="99"/>
    <w:qFormat/>
    <w:rPr>
      <w:sz w:val="20"/>
      <w:szCs w:val="20"/>
    </w:rPr>
  </w:style>
  <w:style w:type="character" w:styleId="FootnoteReference">
    <w:name w:val="footnote reference"/>
    <w:aliases w:val="Footnote symbol,Footnote,RSC_WP (footnote reference),number,Footnote reference number,note TESI,-E Fußnotenzeichen,SUPERS,Times 10 Point,Exposant 3 Point,Fußnotenzeichen, Exposant 3 Point,Footnote number,Footnote Reference Number,fr,R"/>
    <w:basedOn w:val="DefaultParagraphFont"/>
    <w:link w:val="FootnotesymbolCarZchn"/>
    <w:uiPriority w:val="99"/>
    <w:unhideWhenUsed/>
    <w:qFormat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ListParagraphChar">
    <w:name w:val="List Paragraph Char"/>
    <w:aliases w:val="Numbered paragraph 1 Char,1st level - Bullet List Paragraph Char,Lettre d'introduction Char,List Paragraph1 Char,Paragraphe de liste1 Char,Medium Grid 1 - Accent 21 Char,List_Paragraph Char,Multilevel para_II Char,Bullet1 Char,L Char"/>
    <w:basedOn w:val="DefaultParagraphFont"/>
    <w:link w:val="ListParagraph"/>
    <w:uiPriority w:val="34"/>
    <w:qFormat/>
    <w:locked/>
  </w:style>
  <w:style w:type="paragraph" w:customStyle="1" w:styleId="ZDGName">
    <w:name w:val="Z_DGName"/>
    <w:basedOn w:val="Normal"/>
    <w:uiPriority w:val="2"/>
    <w:pPr>
      <w:widowControl w:val="0"/>
      <w:spacing w:after="0" w:line="240" w:lineRule="auto"/>
      <w:ind w:right="85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ZCom">
    <w:name w:val="Z_Com"/>
    <w:basedOn w:val="Normal"/>
    <w:next w:val="Normal"/>
    <w:uiPriority w:val="2"/>
    <w:pPr>
      <w:widowControl w:val="0"/>
      <w:spacing w:before="90" w:after="0" w:line="240" w:lineRule="auto"/>
      <w:ind w:right="85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ZFlag">
    <w:name w:val="Z_Flag"/>
    <w:basedOn w:val="Normal"/>
    <w:next w:val="Normal"/>
    <w:uiPriority w:val="2"/>
    <w:pPr>
      <w:widowControl w:val="0"/>
      <w:spacing w:after="0" w:line="240" w:lineRule="auto"/>
      <w:ind w:right="85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TableLetterhead">
    <w:name w:val="Table Letterhead"/>
    <w:basedOn w:val="TableNormal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CellMar>
        <w:left w:w="0" w:type="dxa"/>
        <w:bottom w:w="340" w:type="dxa"/>
        <w:right w:w="0" w:type="dxa"/>
      </w:tblCellMar>
    </w:tbl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qFormat/>
    <w:pPr>
      <w:spacing w:line="240" w:lineRule="exact"/>
      <w:jc w:val="both"/>
    </w:pPr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28"/>
      <w:szCs w:val="32"/>
      <w:lang w:val="mt-MT" w:eastAsia="en-GB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4"/>
      <w:szCs w:val="26"/>
      <w:lang w:val="mt-MT" w:eastAsia="en-GB"/>
    </w:rPr>
  </w:style>
  <w:style w:type="table" w:styleId="TableGrid">
    <w:name w:val="Table Grid"/>
    <w:aliases w:val="Document Table"/>
    <w:basedOn w:val="TableNormal"/>
    <w:uiPriority w:val="59"/>
    <w:pPr>
      <w:spacing w:before="120" w:after="0" w:line="240" w:lineRule="auto"/>
      <w:jc w:val="both"/>
    </w:pPr>
    <w:rPr>
      <w:rFonts w:ascii="Calibri" w:eastAsia="Calibri" w:hAnsi="Calibri" w:cs="Calibri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-ed">
    <w:name w:val="Op-ed"/>
    <w:basedOn w:val="Normal"/>
    <w:link w:val="Op-edChar"/>
    <w:qFormat/>
    <w:pPr>
      <w:pBdr>
        <w:top w:val="nil"/>
        <w:left w:val="nil"/>
        <w:bottom w:val="nil"/>
        <w:right w:val="nil"/>
        <w:between w:val="nil"/>
      </w:pBdr>
      <w:spacing w:before="120" w:after="240" w:line="276" w:lineRule="auto"/>
      <w:jc w:val="both"/>
    </w:pPr>
    <w:rPr>
      <w:rFonts w:ascii="Calibri" w:eastAsia="Calibri" w:hAnsi="Calibri" w:cs="Calibri"/>
      <w:i/>
      <w:color w:val="000000" w:themeColor="text1"/>
      <w:sz w:val="24"/>
      <w:szCs w:val="24"/>
      <w:lang w:eastAsia="en-GB"/>
    </w:rPr>
  </w:style>
  <w:style w:type="character" w:customStyle="1" w:styleId="Op-edChar">
    <w:name w:val="Op-ed Char"/>
    <w:basedOn w:val="DefaultParagraphFont"/>
    <w:link w:val="Op-ed"/>
    <w:rPr>
      <w:rFonts w:ascii="Calibri" w:eastAsia="Calibri" w:hAnsi="Calibri" w:cs="Calibri"/>
      <w:i/>
      <w:color w:val="000000" w:themeColor="text1"/>
      <w:sz w:val="24"/>
      <w:szCs w:val="24"/>
      <w:lang w:val="mt-MT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hAnsi="Calibri"/>
      <w:szCs w:val="21"/>
      <w:lang w:val="mt-MT"/>
    </w:rPr>
  </w:style>
  <w:style w:type="character" w:customStyle="1" w:styleId="block-inner">
    <w:name w:val="block-inner"/>
    <w:basedOn w:val="DefaultParagraphFont"/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visible-description">
    <w:name w:val="visible-description"/>
    <w:basedOn w:val="DefaultParagraphFont"/>
  </w:style>
  <w:style w:type="character" w:customStyle="1" w:styleId="show-more-description">
    <w:name w:val="show-more-description"/>
    <w:basedOn w:val="DefaultParagraphFont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 w:line="276" w:lineRule="auto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 w:line="276" w:lineRule="auto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 w:line="276" w:lineRule="auto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num" w:pos="720"/>
      </w:tabs>
      <w:spacing w:before="360" w:after="0" w:line="276" w:lineRule="auto"/>
      <w:ind w:left="720" w:hanging="72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num" w:pos="1440"/>
      </w:tabs>
      <w:spacing w:before="240" w:after="0" w:line="276" w:lineRule="auto"/>
      <w:ind w:left="1440" w:hanging="1440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paragraph 1,1st level - Bullet List Paragraph,Lettre d'introduction,List Paragraph1,Paragraphe de liste1,Medium Grid 1 - Accent 21,List_Paragraph,Multilevel para_II,Akapit z listą BS,Bullet1,Recommendation,L"/>
    <w:basedOn w:val="Normal"/>
    <w:link w:val="ListParagraphChar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FootnoteText">
    <w:name w:val="footnote text"/>
    <w:aliases w:val="Schriftart: 9 pt,Schriftart: 10 pt,Schriftart: 8 pt,WB-Fußnotentext,fn,Footnotes,Footnote ak,RSC_WP (footnotes),Footnote Text Char3,Footnote Text Char1 Char1,Footnote Text Char2 Char Char,Footnote Text Char1 Char1 Char Char,FoodNote,ft,f,C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,RSC_WP (footnotes) Char,Footnote Text Char3 Char,Footnote Text Char1 Char1 Char,FoodNote Char,ft Char"/>
    <w:basedOn w:val="DefaultParagraphFont"/>
    <w:link w:val="FootnoteText"/>
    <w:uiPriority w:val="99"/>
    <w:qFormat/>
    <w:rPr>
      <w:sz w:val="20"/>
      <w:szCs w:val="20"/>
    </w:rPr>
  </w:style>
  <w:style w:type="character" w:styleId="FootnoteReference">
    <w:name w:val="footnote reference"/>
    <w:aliases w:val="Footnote symbol,Footnote,RSC_WP (footnote reference),number,Footnote reference number,note TESI,-E Fußnotenzeichen,SUPERS,Times 10 Point,Exposant 3 Point,Fußnotenzeichen, Exposant 3 Point,Footnote number,Footnote Reference Number,fr,R"/>
    <w:basedOn w:val="DefaultParagraphFont"/>
    <w:link w:val="FootnotesymbolCarZchn"/>
    <w:uiPriority w:val="99"/>
    <w:unhideWhenUsed/>
    <w:qFormat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ListParagraphChar">
    <w:name w:val="List Paragraph Char"/>
    <w:aliases w:val="Numbered paragraph 1 Char,1st level - Bullet List Paragraph Char,Lettre d'introduction Char,List Paragraph1 Char,Paragraphe de liste1 Char,Medium Grid 1 - Accent 21 Char,List_Paragraph Char,Multilevel para_II Char,Bullet1 Char,L Char"/>
    <w:basedOn w:val="DefaultParagraphFont"/>
    <w:link w:val="ListParagraph"/>
    <w:uiPriority w:val="34"/>
    <w:qFormat/>
    <w:locked/>
  </w:style>
  <w:style w:type="paragraph" w:customStyle="1" w:styleId="ZDGName">
    <w:name w:val="Z_DGName"/>
    <w:basedOn w:val="Normal"/>
    <w:uiPriority w:val="2"/>
    <w:pPr>
      <w:widowControl w:val="0"/>
      <w:spacing w:after="0" w:line="240" w:lineRule="auto"/>
      <w:ind w:right="85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ZCom">
    <w:name w:val="Z_Com"/>
    <w:basedOn w:val="Normal"/>
    <w:next w:val="Normal"/>
    <w:uiPriority w:val="2"/>
    <w:pPr>
      <w:widowControl w:val="0"/>
      <w:spacing w:before="90" w:after="0" w:line="240" w:lineRule="auto"/>
      <w:ind w:right="85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ZFlag">
    <w:name w:val="Z_Flag"/>
    <w:basedOn w:val="Normal"/>
    <w:next w:val="Normal"/>
    <w:uiPriority w:val="2"/>
    <w:pPr>
      <w:widowControl w:val="0"/>
      <w:spacing w:after="0" w:line="240" w:lineRule="auto"/>
      <w:ind w:right="85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TableLetterhead">
    <w:name w:val="Table Letterhead"/>
    <w:basedOn w:val="TableNormal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CellMar>
        <w:left w:w="0" w:type="dxa"/>
        <w:bottom w:w="340" w:type="dxa"/>
        <w:right w:w="0" w:type="dxa"/>
      </w:tblCellMar>
    </w:tbl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qFormat/>
    <w:pPr>
      <w:spacing w:line="240" w:lineRule="exact"/>
      <w:jc w:val="both"/>
    </w:pPr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28"/>
      <w:szCs w:val="32"/>
      <w:lang w:val="mt-MT" w:eastAsia="en-GB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4"/>
      <w:szCs w:val="26"/>
      <w:lang w:val="mt-MT" w:eastAsia="en-GB"/>
    </w:rPr>
  </w:style>
  <w:style w:type="table" w:styleId="TableGrid">
    <w:name w:val="Table Grid"/>
    <w:aliases w:val="Document Table"/>
    <w:basedOn w:val="TableNormal"/>
    <w:uiPriority w:val="59"/>
    <w:pPr>
      <w:spacing w:before="120" w:after="0" w:line="240" w:lineRule="auto"/>
      <w:jc w:val="both"/>
    </w:pPr>
    <w:rPr>
      <w:rFonts w:ascii="Calibri" w:eastAsia="Calibri" w:hAnsi="Calibri" w:cs="Calibri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-ed">
    <w:name w:val="Op-ed"/>
    <w:basedOn w:val="Normal"/>
    <w:link w:val="Op-edChar"/>
    <w:qFormat/>
    <w:pPr>
      <w:pBdr>
        <w:top w:val="nil"/>
        <w:left w:val="nil"/>
        <w:bottom w:val="nil"/>
        <w:right w:val="nil"/>
        <w:between w:val="nil"/>
      </w:pBdr>
      <w:spacing w:before="120" w:after="240" w:line="276" w:lineRule="auto"/>
      <w:jc w:val="both"/>
    </w:pPr>
    <w:rPr>
      <w:rFonts w:ascii="Calibri" w:eastAsia="Calibri" w:hAnsi="Calibri" w:cs="Calibri"/>
      <w:i/>
      <w:color w:val="000000" w:themeColor="text1"/>
      <w:sz w:val="24"/>
      <w:szCs w:val="24"/>
      <w:lang w:eastAsia="en-GB"/>
    </w:rPr>
  </w:style>
  <w:style w:type="character" w:customStyle="1" w:styleId="Op-edChar">
    <w:name w:val="Op-ed Char"/>
    <w:basedOn w:val="DefaultParagraphFont"/>
    <w:link w:val="Op-ed"/>
    <w:rPr>
      <w:rFonts w:ascii="Calibri" w:eastAsia="Calibri" w:hAnsi="Calibri" w:cs="Calibri"/>
      <w:i/>
      <w:color w:val="000000" w:themeColor="text1"/>
      <w:sz w:val="24"/>
      <w:szCs w:val="24"/>
      <w:lang w:val="mt-MT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hAnsi="Calibri"/>
      <w:szCs w:val="21"/>
      <w:lang w:val="mt-MT"/>
    </w:rPr>
  </w:style>
  <w:style w:type="character" w:customStyle="1" w:styleId="block-inner">
    <w:name w:val="block-inner"/>
    <w:basedOn w:val="DefaultParagraphFont"/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visible-description">
    <w:name w:val="visible-description"/>
    <w:basedOn w:val="DefaultParagraphFont"/>
  </w:style>
  <w:style w:type="character" w:customStyle="1" w:styleId="show-more-description">
    <w:name w:val="show-more-description"/>
    <w:basedOn w:val="DefaultParagraphFont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 w:line="276" w:lineRule="auto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 w:line="276" w:lineRule="auto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 w:line="276" w:lineRule="auto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9505bfacb69b468a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6a48d35bc8f043c2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utureu.europa.eu/" TargetMode="External"/><Relationship Id="rId2" Type="http://schemas.openxmlformats.org/officeDocument/2006/relationships/hyperlink" Target="https://www.un.org/sg/en/content/sg/speeches/2020-09-21/remarks-general-assembly-ceremony-marking-the-75th-anniversary-of-the-united-nations" TargetMode="External"/><Relationship Id="rId1" Type="http://schemas.openxmlformats.org/officeDocument/2006/relationships/hyperlink" Target="https://ec.europa.eu/info/strategy/strategic-planning/strategic-foresight/2020-strategic-foresight-report/resilience-dashboards_mt)." TargetMode="External"/><Relationship Id="rId4" Type="http://schemas.openxmlformats.org/officeDocument/2006/relationships/hyperlink" Target="https://ec.europa.eu/info/strategy/strategic-planning/strategic-foresight/2020-strategic-foresight-report/resilience-dashboards_m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84824-41A9-4792-BC25-146D8E8E3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8139</Words>
  <Characters>59659</Characters>
  <Application>Microsoft Office Word</Application>
  <DocSecurity>0</DocSecurity>
  <Lines>795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2021-09-07T10:03:00Z</dcterms:created>
  <dcterms:modified xsi:type="dcterms:W3CDTF">2021-09-20T16:21:00Z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tatus">
    <vt:lpwstr>Green</vt:lpwstr>
  </property>
  <property fmtid="{D5CDD505-2E9C-101B-9397-08002B2CF9AE}" pid="3" name="Level of sensitivity">
    <vt:lpwstr>Standard treatment</vt:lpwstr>
  </property>
  <property fmtid="{D5CDD505-2E9C-101B-9397-08002B2CF9AE}" pid="4" name="Last edited using">
    <vt:lpwstr>LW 7.0.1, Build 20200226</vt:lpwstr>
  </property>
  <property fmtid="{D5CDD505-2E9C-101B-9397-08002B2CF9AE}" pid="5" name="Part">
    <vt:lpwstr>1</vt:lpwstr>
  </property>
  <property fmtid="{D5CDD505-2E9C-101B-9397-08002B2CF9AE}" pid="6" name="Total parts">
    <vt:lpwstr>1</vt:lpwstr>
  </property>
  <property fmtid="{D5CDD505-2E9C-101B-9397-08002B2CF9AE}" pid="7" name="CPTemplateID">
    <vt:lpwstr>CP-012</vt:lpwstr>
  </property>
</Properties>
</file>