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F278567-0552-41A6-8BE6-65911E930E17" style="width:456pt;height:559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Astratt</w:t>
      </w:r>
    </w:p>
    <w:p>
      <w:pPr>
        <w:pBdr>
          <w:top w:val="single" w:sz="4" w:space="1" w:color="auto"/>
          <w:left w:val="single" w:sz="4" w:space="4" w:color="auto"/>
          <w:bottom w:val="single" w:sz="4" w:space="17" w:color="auto"/>
          <w:right w:val="single" w:sz="4" w:space="4" w:color="auto"/>
        </w:pBdr>
        <w:spacing w:after="0"/>
        <w:rPr>
          <w:noProof/>
        </w:rPr>
      </w:pPr>
      <w:r>
        <w:rPr>
          <w:noProof/>
        </w:rPr>
        <w:t>Ir-riformi fil-Bulgarija f’oqsma li jinkludu l-ġustizzja u l-korruzzjoni l-ewwel ġew segwiti mill-Kummissjoni permezz tal-Mekkaniżmu għall-Kooperazzjoni u l-Verifika (CVM, Cooperation and Verification Mechanism) u bħalissa qed jiġu segwiti permezz tal-Mekkaniżmu tal-Istat tad-Dritt. Bi tweġiba għar-Rapport tal-2020 dwar l-Istat tad-Dritt, l-awtoritajiet Bulgari adottaw Pjan ta’ Azzjoni apposta li jkopri l-kwistjonijiet fl-erba’ pilastri kollha.</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Ir-riforma ġudizzjarja fil-Bulgarija kienet proċess gradwali b’implikazzjonijiet importanti għall-indipendenza ġudizzjarja u għall-fiduċja pubblika, iżda għad hemm xi sfidi. Daħlet fis-seħħ liġi ġdida dwar il-Prosekutur Ġenerali u d-deputati tiegħu/tagħha. Sadanittant, din l-istess liġi ġiet ikkontestata quddiem il-Qorti Kostituzzjonali, li ddikjaratha antikostituzzjonali u għaldaqstant il-kwistjoni ta’ obbligu ta’ rendikont u tar-responsabbiltà kriminali tal-Prosekutur Ġenerali għadha problema. Għad hemm ukoll tħassib relatat mal-kompożizzjoni u l-funzjonament tal-Kunsill Superjuri tal-Maġistratura. Riforma dwar din il-kwistjoni kienet ġiet proposta fl-abbozz tal-Kostituzzjoni l-ġdida iżda fl-aħħar mill-aħħar din ma ġietx adottata. L-Ispettur Ġenerali u l-Ispetturi tal-Ispettorat tal-Kunsill Superjuri tal-Maġistratura qed ikomplu bil-ħidma tagħhom minkejja li l-mandat tagħhom intemm f’April 2020. Ir-reġim ta’ promozzjoni fi ħdan il-ġudikatura jqajjem tħassib peress li l-ħatriet ta’ mħallfin f’pożizzjonijiet ogħla ma twettqux skont il-proċedura ordinarja ta’ kompetizzjoni miftuħa. Minkejja l-isforzi leġiżlattivi, id-diġitalizzazzjoni tal-ġustizzja għadha lura fil-prattika. L-effiċjenza tas-sistema ġudizzjarja amministrattiva qed turi progress sinifikanti.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Ġiet ikkonsolidata l-implimentazzjoni tar-riformi istituzzjonali kontra l-korruzzjoni. L-istrateġija l-ġdida kontra l-korruzzjoni għall-perjodu 2021-2027 ġiet approvata, b’ġabra ġdida ta’ prijoritajiet, fosthom, it-tisħiħ tal-kapaċitajiet biex tiġi miġġielda l-korruzzjoni; żieda fl-obbligu ta’ rendikont tal-awtoritajiet lokali; u l-ħolqien ta’ ambjent kontra l-korruzzjoni li kapaċi jirreaġixxi fil-ħin. Għad fadal sfidi sinifikanti rigward l-effettività tal-miżuri relatati mal-integrità tal-amministrazzjoni pubblika, il-lobbying u l-protezzjoni tal-informaturi, fejn ma teżisti l-ebda regolamentazzjoni apposta. Minkejja ż-żieda fl-attività investigattiva u t-tisħiħ tar-riżorsi, il-kundanni finali għal każijiet ta’ korruzzjoni ta’ profil għoli għadhom baxxi u għad irid jiġi stabbilit rekord solidu ta’ kundanni finali f’dan ir-rigward.</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Fir-rigward tal-pluraliżmu tal-media, il-qafas ġuridiku Bulgaru huwa bbażat fuq ġabra ta’ salvagwardji kostituzzjonali u ta’ miżuri leġiżlattivi. Ġiet adottata leġiżlazzjoni ġdida biex tiġi trasposta d-Direttiva dwar is-Servizzi tal-Media Awdjoviżiva, li għandha l-għan li ssaħħaħ l-indipendenza tar-regolatur tal-media, il-Kunsill għall-Media Elettronika.</w:t>
      </w:r>
      <w:r>
        <w:rPr>
          <w:b/>
          <w:noProof/>
        </w:rPr>
        <w:t xml:space="preserve"> </w:t>
      </w:r>
      <w:r>
        <w:rPr>
          <w:noProof/>
        </w:rPr>
        <w:t>In-nuqqas ta’ trasparenza tas-sjieda tal-media għadha sors ta’ tħassib. L-ambjent tax-xogħol u s-sikurezza tal-ġurnalisti ma jidhrux li tjiebu. Il-pandemija tal-COVID-19 affettwat il-pluralità tal-media u l-protezzjoni tal-ġurnalisti f’termini ekonomiċi, b’mod partikolari fir-rigward tal-ġurnaliżmu reġjonali, iżda ma ġiet stabbilita l-ebda miżura ta’ appoġġ speċifika.</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Rigward il-kontrokontrolli, l-użu limitat tal-valutazzjoni tal-impatt u ta’ konsultazzjoni pubblika fil-proċess leġiżlattiv għadu ta’ tħassib, speċjalment għall-abbozzi tal-liġijiet proposti mill-Parlament. Għad hemm ukoll tħassib simili dwar il-prattika li jiġu introdotti bidliet importanti permezz ta’ emendi f’atti legali oħra mhux relatati, li jduru mar-rekwiżiti ta’ konsultazzjoni pubblika u ta’ valutazzjoni tal-impatt. L-istat ta’ emerġenza relatat mal-pandemija tal-COVID-19 għadu fis-seħħ. Ir-riżorsi tal-Istituzzjonijiet Nazzjonali tad-Drittijiet </w:t>
      </w:r>
      <w:r>
        <w:rPr>
          <w:noProof/>
        </w:rPr>
        <w:lastRenderedPageBreak/>
        <w:t xml:space="preserve">tal-Bniedem żdiedu. L-abbozz ta’ liġi dwar il-finanzjament barrani għall-Organizzazzjonijiet Mhux Governattivi ġie abbandunat, iżda l-ispazju ċiviku fil-pajjiż għadu limitat. </w:t>
      </w:r>
    </w:p>
    <w:p>
      <w:pPr>
        <w:rPr>
          <w:noProof/>
        </w:rPr>
      </w:pPr>
    </w:p>
    <w:p>
      <w:pPr>
        <w:rPr>
          <w:noProof/>
        </w:rPr>
      </w:pPr>
      <w:r>
        <w:rPr>
          <w:noProof/>
        </w:rPr>
        <w:t>Il-Mekkaniżmu għall-Kooperazzjoni u l-Verifika (CVM) ġie stabbilit bl-adeżjoni mal-Unjoni Ewropea fl-2007 bħala miżura tranżitorja li tiffaċilita l-isforzi kontinwi tal-Bulgarija biex tirriforma l-ġudikatura tagħha u biex tintensifika l-ġlieda kontra l-korruzzjoni u l-kriminalità organizzata</w:t>
      </w:r>
      <w:r>
        <w:rPr>
          <w:noProof/>
          <w:vertAlign w:val="superscript"/>
        </w:rPr>
        <w:footnoteReference w:id="2"/>
      </w:r>
      <w:r>
        <w:rPr>
          <w:noProof/>
        </w:rPr>
        <w:t>. F’konformità mad-deċiżjoni li tistabbilixxi l-mekkaniżmu u kif enfasizzat mill-Kunsill, is-CVM jintemm meta l-parametri referenzjarji kollha li japplikaw għall-Bulgarija jintlaħqu b’mod sodisfaċenti</w:t>
      </w:r>
      <w:r>
        <w:rPr>
          <w:noProof/>
          <w:vertAlign w:val="superscript"/>
        </w:rPr>
        <w:footnoteReference w:id="3"/>
      </w:r>
      <w:r>
        <w:rPr>
          <w:noProof/>
        </w:rPr>
        <w:t>. L-aħħar rapport tas-CVM tal-Kummissjoni, li ġie adottat f’Ottubru 2019, irreġistra li l-Bulgarija kienet għamlet għadd ta’ impenji ulterjuri u kkonkluda li l-progress li sar bis-saħħa tas-CVM kien biżżejjed biex jissodisfa l-impenji li l-Bulgarija ħadet fiż-żmien tal-adeżjoni tagħha mal-UE. Kif</w:t>
      </w:r>
      <w:r>
        <w:rPr>
          <w:noProof/>
          <w:sz w:val="22"/>
          <w:szCs w:val="22"/>
        </w:rPr>
        <w:t xml:space="preserve"> </w:t>
      </w:r>
      <w:r>
        <w:rPr>
          <w:noProof/>
        </w:rPr>
        <w:t>enfasizzat il-Kummissjoni wkoll, jenħtieġ li l-Bulgarija tkompli taħdem b’mod konsistenti biex tittrasforma l-impenji speċifikati fir-rapport f’leġiżlazzjoni konkreta u f’implimentazzjoni kontinwa. Kwalunkwe deċiżjoni dwar it-tmiem tas-CVM se tqis debitament il-pożizzjoni espressa mill-Kunsill u l-Parlament Ewropew</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Is-Sistema Ġudizzjarja </w:t>
      </w:r>
    </w:p>
    <w:p>
      <w:pPr>
        <w:rPr>
          <w:noProof/>
        </w:rPr>
      </w:pPr>
      <w:r>
        <w:rPr>
          <w:noProof/>
        </w:rPr>
        <w:t>Is-sistema ġudizzjarja tar-Repubblika tal-Bulgarija</w:t>
      </w:r>
      <w:r>
        <w:rPr>
          <w:noProof/>
          <w:vertAlign w:val="superscript"/>
        </w:rPr>
        <w:footnoteReference w:id="5"/>
      </w:r>
      <w:r>
        <w:rPr>
          <w:noProof/>
        </w:rPr>
        <w:t xml:space="preserve"> tinkludi l-għadd totali ta’ 182 qorti li huma ordinarji u speċjalizzati. Bħala regola ġenerali, il-qrati ordinarji jisimgħu kawżi fi tliet istanzi, u s-sistema ta’ dawn il-qrati tinkorpora fiha 113-il qorti distrettwali, 28 qorti reġjonali u ħames qrati tal-appell. Il-qrati speċjalizzati jinkludu l-qrati militari, kriminali u amministrattivi. Il-Qorti Suprema tal-Kassazzjoni hija l-qorti tal-aħħar istanza f’kawżi li jinstemgħu minn qrati ordinarji, militari u kriminali speċjalizzati, filwaqt li għall-kawżi amministrattivi, il-Qorti Amministrattiva Suprema hija l-qorti tal-aħħar istanza. Il-ġudikatura tinkludi wkoll l-Uffiċċju tal-Prosekutur, filwaqt li l-Qorti Kostituzzjonali tal-Bulgarija mhijiex parti minnha</w:t>
      </w:r>
      <w:r>
        <w:rPr>
          <w:noProof/>
          <w:vertAlign w:val="superscript"/>
        </w:rPr>
        <w:footnoteReference w:id="6"/>
      </w:r>
      <w:r>
        <w:rPr>
          <w:noProof/>
        </w:rPr>
        <w:t>. L-Uffiċċju tal-Prosekutur għandu struttura unifikata u huwa ppresedut mill-Prosekutur Ġenerali</w:t>
      </w:r>
      <w:r>
        <w:rPr>
          <w:rStyle w:val="FootnoteReference"/>
          <w:noProof/>
        </w:rPr>
        <w:footnoteReference w:id="7"/>
      </w:r>
      <w:r>
        <w:rPr>
          <w:noProof/>
        </w:rPr>
        <w:t>. Il-Bulgarija hija parteċipi fl-Uffiċċju tal-Prosekutur Pubbliku Ewropew. Il-Kunsill Superjuri tal-Maġistratura (“SJC”, Supreme Judicial Council) huwa l-ogħla awtorità amministrattiva fil-ġudikatura Bulgara. Huwa responsabbli mill-ġestjoni tal-ġudikatura u mill-iżgurar tal-indipendenza tagħha. L-imħallfin, il-prosekuturi u l-investigaturi</w:t>
      </w:r>
      <w:r>
        <w:rPr>
          <w:noProof/>
          <w:vertAlign w:val="superscript"/>
        </w:rPr>
        <w:footnoteReference w:id="8"/>
      </w:r>
      <w:r>
        <w:rPr>
          <w:noProof/>
        </w:rPr>
        <w:t xml:space="preserve"> jinħatru, jiġu promossi, trasferiti u jitneħħew mill-awla rispettiva tagħhom (tal-Imħallfin jew tal-Prosekuturi) tal-Kunsill Superjuri tal-Maġistratura</w:t>
      </w:r>
      <w:r>
        <w:rPr>
          <w:rStyle w:val="FootnoteReference"/>
          <w:noProof/>
        </w:rPr>
        <w:footnoteReference w:id="9"/>
      </w:r>
      <w:r>
        <w:rPr>
          <w:noProof/>
        </w:rPr>
        <w:t>. Il-Kunsill Suprem tal-Kamra tal-Avukati huwa korp indipendenti u awtonomu stabbilit bil-liġi</w:t>
      </w:r>
      <w:r>
        <w:rPr>
          <w:noProof/>
          <w:vertAlign w:val="superscript"/>
        </w:rPr>
        <w:footnoteReference w:id="10"/>
      </w:r>
      <w:r>
        <w:rPr>
          <w:noProof/>
        </w:rPr>
        <w:t>.</w:t>
      </w:r>
    </w:p>
    <w:p>
      <w:pPr>
        <w:rPr>
          <w:b/>
          <w:noProof/>
        </w:rPr>
      </w:pPr>
      <w:r>
        <w:rPr>
          <w:b/>
          <w:noProof/>
        </w:rPr>
        <w:t>Indipendenza</w:t>
      </w:r>
    </w:p>
    <w:p>
      <w:pPr>
        <w:rPr>
          <w:rFonts w:eastAsia="Calibri"/>
          <w:noProof/>
          <w:szCs w:val="24"/>
        </w:rPr>
      </w:pPr>
      <w:r>
        <w:rPr>
          <w:b/>
          <w:bCs/>
          <w:noProof/>
        </w:rPr>
        <w:t>Il-livell ta’ indipendenza ġudizzjarja pperċepit fil-Bulgarija għadu baxx fost il-pubbliku ġenerali</w:t>
      </w:r>
      <w:r>
        <w:rPr>
          <w:noProof/>
        </w:rPr>
        <w:t xml:space="preserve"> </w:t>
      </w:r>
      <w:r>
        <w:rPr>
          <w:b/>
          <w:bCs/>
          <w:noProof/>
        </w:rPr>
        <w:t xml:space="preserve">u medju fost il-kumpaniji, u naqas ftit meta mqabbel mal-2020. </w:t>
      </w:r>
      <w:r>
        <w:rPr>
          <w:noProof/>
        </w:rPr>
        <w:t>Mal-31 % biss fost il-pubbliku ġenerali jqisu li dan huwa “pjuttost tajjeb jew tajjeb ħafna”. Il-livell ta’ indipendenza perċepit fost il-kumpaniji jibqa’ medju, bi 43 % jikkunsidrah bħala “pjuttost tajjeb jew tajjeb ħafna”</w:t>
      </w:r>
      <w:r>
        <w:rPr>
          <w:rFonts w:eastAsia="Calibri"/>
          <w:noProof/>
          <w:vertAlign w:val="superscript"/>
          <w:lang w:eastAsia="en-US"/>
        </w:rPr>
        <w:footnoteReference w:id="11"/>
      </w:r>
      <w:r>
        <w:rPr>
          <w:noProof/>
        </w:rPr>
        <w:t>. Il-livell ta’ indipendenza ġudizzjarja perċepit baqa’ konsistentement baxx fost il-pubbliku ġenerali matul dawn l-aħħar ħames snin. Fost il-kumpaniji, il-livell ta’ indipendenza ġudizzjarja perċepit sal-2019 kien baxx ħafna, u minn dan iż-żmien baqa’ medju minkejja xi varjazzjonijiet żgħar.</w:t>
      </w:r>
    </w:p>
    <w:p>
      <w:pPr>
        <w:rPr>
          <w:rFonts w:eastAsia="Calibri"/>
          <w:noProof/>
        </w:rPr>
      </w:pPr>
      <w:r>
        <w:rPr>
          <w:b/>
          <w:bCs/>
          <w:noProof/>
        </w:rPr>
        <w:t xml:space="preserve">Il-liġi l-ġdida dwar l-obbligu ta’ rendikont u r-responsabbiltà kriminali tal-Prosekutur Ġenerali u d-deputati tiegħu jew tagħha ġiet iddikjarata bħala mhux kostituzzjonali u għad hemm xi sfidi. </w:t>
      </w:r>
      <w:r>
        <w:rPr>
          <w:noProof/>
        </w:rPr>
        <w:t>In-nuqqas ta’ possibbiltà għal investigazzjoni kriminali effettiva rigward il-Prosekutur Ġenerali u d-deputati tiegħu jew tagħha hija kwistjoni li ilha għaddejja u li tqajmet mhux biss mill-Kummissjoni Ewropea</w:t>
      </w:r>
      <w:r>
        <w:rPr>
          <w:rFonts w:eastAsia="Calibri"/>
          <w:noProof/>
          <w:vertAlign w:val="superscript"/>
        </w:rPr>
        <w:footnoteReference w:id="12"/>
      </w:r>
      <w:r>
        <w:rPr>
          <w:noProof/>
        </w:rPr>
        <w:t xml:space="preserve"> iżda wkoll mill-Qorti Ewropea tad-Drittijiet tal-Bniedem</w:t>
      </w:r>
      <w:r>
        <w:rPr>
          <w:rFonts w:eastAsia="Calibri"/>
          <w:noProof/>
          <w:vertAlign w:val="superscript"/>
        </w:rPr>
        <w:footnoteReference w:id="13"/>
      </w:r>
      <w:r>
        <w:rPr>
          <w:noProof/>
        </w:rPr>
        <w:t xml:space="preserve"> u l-Kunsill tal-Ewropa</w:t>
      </w:r>
      <w:r>
        <w:rPr>
          <w:rFonts w:eastAsia="Calibri"/>
          <w:noProof/>
          <w:vertAlign w:val="superscript"/>
        </w:rPr>
        <w:footnoteReference w:id="14"/>
      </w:r>
      <w:r>
        <w:rPr>
          <w:noProof/>
        </w:rPr>
        <w:t>. It-taħlita tas-setgħat tal-Prosekutur Ġenerali</w:t>
      </w:r>
      <w:r>
        <w:rPr>
          <w:rStyle w:val="FootnoteReference"/>
          <w:rFonts w:eastAsia="Calibri"/>
          <w:noProof/>
          <w:lang w:eastAsia="en-US"/>
        </w:rPr>
        <w:footnoteReference w:id="15"/>
      </w:r>
      <w:r>
        <w:rPr>
          <w:noProof/>
        </w:rPr>
        <w:t xml:space="preserve"> flimkien mal-pożizzjoni tiegħu fil-Kunsill Superjuri tal-Maġistratura</w:t>
      </w:r>
      <w:r>
        <w:rPr>
          <w:rStyle w:val="FootnoteReference"/>
          <w:rFonts w:eastAsia="Calibri"/>
          <w:noProof/>
          <w:lang w:eastAsia="en-US"/>
        </w:rPr>
        <w:footnoteReference w:id="16"/>
      </w:r>
      <w:r>
        <w:rPr>
          <w:noProof/>
        </w:rPr>
        <w:t xml:space="preserve"> tirriżulta f’influwenza konsiderevoli fi ħdan l-Uffiċċju tal-Prosekutur, potenzjalment fil-Kunsill Superjuri tal-Maġistratura (kemm fil-Kunsill tal-Prosekuzzjoni kif ukoll fil-Plenarja) u fi ħdan il-maġistratura</w:t>
      </w:r>
      <w:r>
        <w:rPr>
          <w:rStyle w:val="FootnoteReference"/>
          <w:rFonts w:eastAsia="Calibri"/>
          <w:noProof/>
          <w:lang w:eastAsia="en-US"/>
        </w:rPr>
        <w:footnoteReference w:id="17"/>
      </w:r>
      <w:r>
        <w:rPr>
          <w:noProof/>
        </w:rPr>
        <w:t>. Fid-29 ta’ Jannar 2021, il-Parlament approva liġi dwar l-eżekuzzjoni tas-sentenza Kolevi tal-Qorti Ewropea tad-Drittijiet tal-Bniedem</w:t>
      </w:r>
      <w:r>
        <w:rPr>
          <w:rStyle w:val="FootnoteReference"/>
          <w:rFonts w:eastAsia="Calibri"/>
          <w:noProof/>
        </w:rPr>
        <w:footnoteReference w:id="18"/>
      </w:r>
      <w:r>
        <w:rPr>
          <w:noProof/>
        </w:rPr>
        <w:t>, li tistabbilixxi qafas ġdid għal kwalunkwe investigazzjoni kontra l-Prosekutur Ġenerali u/jew id-deputati tiegħu/tagħha</w:t>
      </w:r>
      <w:r>
        <w:rPr>
          <w:rStyle w:val="FootnoteReference"/>
          <w:rFonts w:eastAsia="Calibri"/>
          <w:noProof/>
        </w:rPr>
        <w:footnoteReference w:id="19"/>
      </w:r>
      <w:r>
        <w:rPr>
          <w:noProof/>
        </w:rPr>
        <w:t>. Il-mekkaniżmu l-ġdid poġġa f’idejn prosekutur speċjali kull investigazzjoni kontra Prosekutur Ġenerali u/jew kontra d-deputati tiegħu/tagħha</w:t>
      </w:r>
      <w:r>
        <w:rPr>
          <w:rStyle w:val="FootnoteReference"/>
          <w:noProof/>
        </w:rPr>
        <w:footnoteReference w:id="20"/>
      </w:r>
      <w:r>
        <w:rPr>
          <w:noProof/>
        </w:rPr>
        <w:t xml:space="preserve">. </w:t>
      </w:r>
      <w:r>
        <w:rPr>
          <w:noProof/>
          <w:color w:val="000000" w:themeColor="text1"/>
        </w:rPr>
        <w:t>Kull rifjut mill-prosekutur speċjali li jiftaħ investigazzjoni jkun miftuħ għal stħarriġ ġudizzjarju</w:t>
      </w:r>
      <w:r>
        <w:rPr>
          <w:rStyle w:val="FootnoteReference"/>
          <w:noProof/>
          <w:color w:val="000000" w:themeColor="text1"/>
        </w:rPr>
        <w:footnoteReference w:id="21"/>
      </w:r>
      <w:r>
        <w:rPr>
          <w:noProof/>
          <w:color w:val="000000" w:themeColor="text1"/>
        </w:rPr>
        <w:t xml:space="preserve"> quddiem il-Qorti Kriminali Speċjalizzata tal-ewwel istanza</w:t>
      </w:r>
      <w:r>
        <w:rPr>
          <w:rStyle w:val="FootnoteReference"/>
          <w:noProof/>
          <w:color w:val="000000" w:themeColor="text1"/>
        </w:rPr>
        <w:footnoteReference w:id="22"/>
      </w:r>
      <w:r>
        <w:rPr>
          <w:noProof/>
          <w:color w:val="000000" w:themeColor="text1"/>
        </w:rPr>
        <w:t>. W</w:t>
      </w:r>
      <w:r>
        <w:rPr>
          <w:noProof/>
        </w:rPr>
        <w:t>ara xi wħud mis-suġġerimenti magħmula mill-Kunsill tal-Ewropa</w:t>
      </w:r>
      <w:r>
        <w:rPr>
          <w:rStyle w:val="FootnoteReference"/>
          <w:noProof/>
        </w:rPr>
        <w:footnoteReference w:id="23"/>
      </w:r>
      <w:r>
        <w:rPr>
          <w:noProof/>
        </w:rPr>
        <w:t>, il-liġi l-ġdida pprevediet il-ħatra tal-prosekutur speċjali mill-Plenarja tal-Kunsill Superjuri tal-Maġistratura minflok il-Kamra tal-Prosekuzzjoni tiegħu. Fl-10 ta’ Frar 2021, il-President tar-Repubblika kkontesta l-kostituzzjonalità tal-liġi l-ġdida quddiem il-Qorti Kostituzzjonali</w:t>
      </w:r>
      <w:r>
        <w:rPr>
          <w:rStyle w:val="FootnoteReference"/>
          <w:rFonts w:eastAsia="Calibri"/>
          <w:noProof/>
        </w:rPr>
        <w:footnoteReference w:id="24"/>
      </w:r>
      <w:r>
        <w:rPr>
          <w:noProof/>
        </w:rPr>
        <w:t>. Konsegwentement, il-Plenarja tal-Kunsill Superjuri tal-Maġistratura ddeċidiet li tissospendi l-proċedura għall-għażla tal-prosekutur speċjali sakemm toħroġ id-deċiżjoni tal-Qorti Kostituzzjonali</w:t>
      </w:r>
      <w:r>
        <w:rPr>
          <w:rStyle w:val="FootnoteReference"/>
          <w:rFonts w:eastAsia="Calibri"/>
          <w:noProof/>
        </w:rPr>
        <w:footnoteReference w:id="25"/>
      </w:r>
      <w:r>
        <w:rPr>
          <w:noProof/>
        </w:rPr>
        <w:t>. Fil-11 ta’ Mejju 2021, il-Qorti Kostituzzjonali kkomunikat id-deċiżjoni li biha ddikjarat li d-dispożizzjonijiet ikkontestati mill-President tar-Repubblika huma antikostituzzjonali, u għaldaqstant ikkunsidrat il-mekkaniżmu kollu bħala antikostituzzjonali</w:t>
      </w:r>
      <w:r>
        <w:rPr>
          <w:rStyle w:val="FootnoteReference"/>
          <w:rFonts w:eastAsia="Calibri"/>
          <w:noProof/>
        </w:rPr>
        <w:footnoteReference w:id="26"/>
      </w:r>
      <w:r>
        <w:rPr>
          <w:noProof/>
        </w:rPr>
        <w:t>. Barra minn hekk, wara rakkomandazzjoni mill-Kummissjoni, fit-23 ta’ Frar 2021, l-awtoritajiet Bulgari talbu opinjoni ġdida tal-Kummissjoni ta’ Venezja</w:t>
      </w:r>
      <w:r>
        <w:rPr>
          <w:rStyle w:val="FootnoteReference"/>
          <w:rFonts w:eastAsia="Calibri"/>
          <w:noProof/>
        </w:rPr>
        <w:footnoteReference w:id="27"/>
      </w:r>
      <w:r>
        <w:rPr>
          <w:noProof/>
        </w:rPr>
        <w:t xml:space="preserve"> dwar din il-liġi. Madankollu, minħabba d-deċiżjoni tal-qorti Kostituzzjonali, l-opinjoni mistennija mhux se tinħareġ. Il-Kunsill tal-Ewropa identifika għadd ta’ kwistjonijiet oħra li jikkonċernaw din il-liġi</w:t>
      </w:r>
      <w:r>
        <w:rPr>
          <w:rStyle w:val="FootnoteReference"/>
          <w:rFonts w:eastAsia="Calibri"/>
          <w:noProof/>
        </w:rPr>
        <w:footnoteReference w:id="28"/>
      </w:r>
      <w:r>
        <w:rPr>
          <w:noProof/>
        </w:rPr>
        <w:t>. Dawn jirriżultaw mill-influwenza konsiderevoli msemmija hawn fuq tal-Prosekutur Ġenerali</w:t>
      </w:r>
      <w:r>
        <w:rPr>
          <w:rStyle w:val="FootnoteReference"/>
          <w:rFonts w:eastAsia="Calibri"/>
          <w:noProof/>
          <w:lang w:eastAsia="en-US"/>
        </w:rPr>
        <w:footnoteReference w:id="29"/>
      </w:r>
      <w:r>
        <w:rPr>
          <w:noProof/>
        </w:rPr>
        <w:t>, li tista’ twassal għal kontroll fuq il-kandidaturi għall-prosekutur speċjali</w:t>
      </w:r>
      <w:r>
        <w:rPr>
          <w:rStyle w:val="FootnoteReference"/>
          <w:noProof/>
        </w:rPr>
        <w:footnoteReference w:id="30"/>
      </w:r>
      <w:r>
        <w:rPr>
          <w:noProof/>
        </w:rPr>
        <w:t xml:space="preserve"> u fuq il-ħatra tiegħu</w:t>
      </w:r>
      <w:r>
        <w:rPr>
          <w:rStyle w:val="FootnoteReference"/>
          <w:noProof/>
        </w:rPr>
        <w:footnoteReference w:id="31"/>
      </w:r>
      <w:r>
        <w:rPr>
          <w:noProof/>
        </w:rPr>
        <w:t>. Fil-11 ta’ Marzu 2021, il-Kumitat tal-Ministri tal-Kunsill tal-Ewropa</w:t>
      </w:r>
      <w:r>
        <w:rPr>
          <w:rStyle w:val="FootnoteReference"/>
          <w:rFonts w:eastAsia="Calibri"/>
          <w:noProof/>
        </w:rPr>
        <w:footnoteReference w:id="32"/>
      </w:r>
      <w:r>
        <w:rPr>
          <w:noProof/>
        </w:rPr>
        <w:t xml:space="preserve"> enfasizza l-importanza li titnaqqas l-influwenza tal-Prosekutur Ġenerali fl-Uffiċċju tal-Prosekutur, kwalunkwe influwenza potenzjali fl-SJC</w:t>
      </w:r>
      <w:r>
        <w:rPr>
          <w:rStyle w:val="FootnoteReference"/>
          <w:rFonts w:eastAsia="Calibri"/>
          <w:noProof/>
        </w:rPr>
        <w:footnoteReference w:id="33"/>
      </w:r>
      <w:r>
        <w:rPr>
          <w:noProof/>
        </w:rPr>
        <w:t xml:space="preserve"> u fi ħdan il-maġistratura, sabiex tkun tista’ ssir l-implimentazzjoni ta’ mekkaniżmu ta’ investigazzjoni effettiv, inkluż billi jiġi estiż l-istħarriġ ġudizzjarju għal kwalunkwe rifjut mill-prosekuzzjoni li tiftaħ investigazzjoni</w:t>
      </w:r>
      <w:r>
        <w:rPr>
          <w:rStyle w:val="FootnoteReference"/>
          <w:rFonts w:eastAsia="Calibri"/>
          <w:noProof/>
        </w:rPr>
        <w:footnoteReference w:id="34"/>
      </w:r>
      <w:r>
        <w:rPr>
          <w:noProof/>
        </w:rPr>
        <w:t xml:space="preserve">. </w:t>
      </w:r>
    </w:p>
    <w:p>
      <w:pPr>
        <w:rPr>
          <w:rFonts w:eastAsia="Calibri"/>
          <w:noProof/>
        </w:rPr>
      </w:pPr>
      <w:r>
        <w:rPr>
          <w:b/>
          <w:noProof/>
        </w:rPr>
        <w:t>In-nuqqas ta’ stħarriġ ġudizzjarju kontra deċiżjoni ta’ prosekutur li ma jiftaħx investigazzjoni jqajjem tħassib.</w:t>
      </w:r>
      <w:r>
        <w:rPr>
          <w:noProof/>
        </w:rPr>
        <w:t xml:space="preserve"> Fil-11 ta’ Marzu 2021, il-Kumitat tal-Ministri tal-Kunsill tal-Ewropa tenna r-rakkomandazzjoni tiegħu dwar l-introduzzjoni ta’ stħarriġ ġudizzjarju f’każ li l-prosekutur jirrifjuta li jiftaħ investigazzjoni, flimkien ma’ arranġamenti biex jiġi evitat ammont ta’ xogħol addizzjonali eċċessiv għall-qrati u l-prosekuturi</w:t>
      </w:r>
      <w:r>
        <w:rPr>
          <w:rStyle w:val="FootnoteReference"/>
          <w:rFonts w:eastAsia="Calibri"/>
          <w:noProof/>
        </w:rPr>
        <w:footnoteReference w:id="35"/>
      </w:r>
      <w:r>
        <w:rPr>
          <w:noProof/>
        </w:rPr>
        <w:t>. Din ir-rakkomandazzjoni saret fil-kuntest tal-mekkaniżmu ta’ superviżjoni msaħħaħ tal-Kunsill tal-Ewropa xprunat wara s-sentenza tal-Qorti Ewropea tad-Drittijiet tal-Bniedem, li tqis l-ineffettività tal-investigazzjonijiet kriminali bħala problema sistemika</w:t>
      </w:r>
      <w:r>
        <w:rPr>
          <w:rStyle w:val="FootnoteReference"/>
          <w:rFonts w:eastAsia="Calibri"/>
          <w:noProof/>
        </w:rPr>
        <w:footnoteReference w:id="36"/>
      </w:r>
      <w:r>
        <w:rPr>
          <w:noProof/>
        </w:rPr>
        <w:t xml:space="preserve">. </w:t>
      </w:r>
    </w:p>
    <w:p>
      <w:pPr>
        <w:rPr>
          <w:rFonts w:eastAsia="Calibri"/>
          <w:noProof/>
        </w:rPr>
      </w:pPr>
      <w:r>
        <w:rPr>
          <w:b/>
          <w:bCs/>
          <w:noProof/>
        </w:rPr>
        <w:t>Għad hemm tħassib relatat mal-kompożizzjoni u l-funzjonament tal-Kunsill Superjuri tal-Maġistratura.</w:t>
      </w:r>
      <w:r>
        <w:rPr>
          <w:noProof/>
        </w:rPr>
        <w:t xml:space="preserve"> Is-sitwazzjoni għadha ma nbidlitx fejn l-għadd totali ta’ mħallfin eletti mill-pari tagħhom ma jagħtux maġġoranza </w:t>
      </w:r>
      <w:r>
        <w:rPr>
          <w:rFonts w:eastAsia="Calibri"/>
          <w:noProof/>
          <w:vertAlign w:val="superscript"/>
          <w:lang w:eastAsia="en-US"/>
        </w:rPr>
        <w:footnoteReference w:id="37"/>
      </w:r>
      <w:r>
        <w:rPr>
          <w:noProof/>
        </w:rPr>
        <w:t>. Barra minn hekk, kif spjegat fil-paragrafu preċedenti, il-Prosekutur Ġenerali għad għandu rwol deċiżiv</w:t>
      </w:r>
      <w:r>
        <w:rPr>
          <w:rStyle w:val="FootnoteReference"/>
          <w:rFonts w:eastAsia="Calibri"/>
          <w:noProof/>
          <w:lang w:eastAsia="en-US"/>
        </w:rPr>
        <w:footnoteReference w:id="38"/>
      </w:r>
      <w:r>
        <w:rPr>
          <w:noProof/>
        </w:rPr>
        <w:t xml:space="preserve"> fil-kamra tal-prosekuturi</w:t>
      </w:r>
      <w:r>
        <w:rPr>
          <w:rFonts w:eastAsia="Calibri"/>
          <w:noProof/>
          <w:vertAlign w:val="superscript"/>
          <w:lang w:eastAsia="en-US"/>
        </w:rPr>
        <w:footnoteReference w:id="39"/>
      </w:r>
      <w:r>
        <w:rPr>
          <w:noProof/>
        </w:rPr>
        <w:t xml:space="preserve"> u għandu influwenza sinifikanti fuq il-Plenarja</w:t>
      </w:r>
      <w:r>
        <w:rPr>
          <w:rFonts w:eastAsia="Calibri"/>
          <w:noProof/>
          <w:vertAlign w:val="superscript"/>
          <w:lang w:eastAsia="en-US"/>
        </w:rPr>
        <w:footnoteReference w:id="40"/>
      </w:r>
      <w:r>
        <w:rPr>
          <w:noProof/>
        </w:rPr>
        <w:t>, u potenzjalment anki fuq il-kamra tal-imħallfin</w:t>
      </w:r>
      <w:r>
        <w:rPr>
          <w:rFonts w:eastAsia="Calibri"/>
          <w:noProof/>
          <w:vertAlign w:val="superscript"/>
          <w:lang w:eastAsia="en-US"/>
        </w:rPr>
        <w:footnoteReference w:id="41"/>
      </w:r>
      <w:r>
        <w:rPr>
          <w:noProof/>
        </w:rPr>
        <w:t>, peress li membri onorarji</w:t>
      </w:r>
      <w:r>
        <w:rPr>
          <w:rStyle w:val="FootnoteReference"/>
          <w:rFonts w:eastAsia="Calibri"/>
          <w:noProof/>
          <w:lang w:eastAsia="en-US"/>
        </w:rPr>
        <w:footnoteReference w:id="42"/>
      </w:r>
      <w:r>
        <w:rPr>
          <w:noProof/>
        </w:rPr>
        <w:t xml:space="preserve"> eletti fil-kamra tal-imħallfin mill-Parlament jistgħu ukoll jiġu mill-kariga ta’ prosekutur</w:t>
      </w:r>
      <w:r>
        <w:rPr>
          <w:rFonts w:eastAsia="Calibri"/>
          <w:noProof/>
          <w:vertAlign w:val="superscript"/>
          <w:lang w:eastAsia="en-US"/>
        </w:rPr>
        <w:footnoteReference w:id="43"/>
      </w:r>
      <w:r>
        <w:rPr>
          <w:noProof/>
        </w:rPr>
        <w:t>. Il-prattika tal-votazzjoni</w:t>
      </w:r>
      <w:r>
        <w:rPr>
          <w:rStyle w:val="FootnoteReference"/>
          <w:rFonts w:eastAsia="Calibri"/>
          <w:noProof/>
          <w:lang w:eastAsia="en-US"/>
        </w:rPr>
        <w:footnoteReference w:id="44"/>
      </w:r>
      <w:r>
        <w:rPr>
          <w:noProof/>
        </w:rPr>
        <w:t xml:space="preserve"> turi l-influwenza limitata fit-teħid tad-deċiżjonijiet tal-imħallfin eletti mill-pari fl-SJC u l-influwenza potenzjali tal-Prosekutur Ġenerali fuq l-SJC. Minkejja l-progress li sar permezz ta’ riformi preċedenti</w:t>
      </w:r>
      <w:r>
        <w:rPr>
          <w:rStyle w:val="FootnoteReference"/>
          <w:rFonts w:eastAsia="Calibri"/>
          <w:noProof/>
          <w:lang w:eastAsia="en-US"/>
        </w:rPr>
        <w:footnoteReference w:id="45"/>
      </w:r>
      <w:r>
        <w:rPr>
          <w:noProof/>
        </w:rPr>
        <w:t>, is-sitwazzjoni tal-SJC għadha sors ta’ tħassib għall-Kunsill tal-Ewropa</w:t>
      </w:r>
      <w:r>
        <w:rPr>
          <w:rFonts w:eastAsia="Calibri"/>
          <w:noProof/>
          <w:vertAlign w:val="superscript"/>
          <w:lang w:eastAsia="en-US"/>
        </w:rPr>
        <w:footnoteReference w:id="46"/>
      </w:r>
      <w:r>
        <w:rPr>
          <w:noProof/>
        </w:rPr>
        <w:t xml:space="preserve"> u għal diversi partijiet ikkonċernati</w:t>
      </w:r>
      <w:r>
        <w:rPr>
          <w:rFonts w:eastAsia="Calibri"/>
          <w:noProof/>
          <w:vertAlign w:val="superscript"/>
          <w:lang w:eastAsia="en-US"/>
        </w:rPr>
        <w:footnoteReference w:id="47"/>
      </w:r>
      <w:r>
        <w:rPr>
          <w:noProof/>
        </w:rPr>
        <w:t>. Għalkemm ir-riformi rriżultaw f’kompożizzjoni aktar bilanċjata tal-SJC</w:t>
      </w:r>
      <w:r>
        <w:rPr>
          <w:rFonts w:eastAsia="Calibri"/>
          <w:noProof/>
          <w:vertAlign w:val="superscript"/>
          <w:lang w:eastAsia="en-US"/>
        </w:rPr>
        <w:footnoteReference w:id="48"/>
      </w:r>
      <w:r>
        <w:rPr>
          <w:noProof/>
        </w:rPr>
        <w:t>, l-involviment tal-prosekuturi, u tal-Prosekutur Ġenerali b’mod partikolari, fil-governanza tal-imħallfin qed ikompli jqajjem tħassib</w:t>
      </w:r>
      <w:r>
        <w:rPr>
          <w:rFonts w:eastAsia="Calibri"/>
          <w:noProof/>
          <w:vertAlign w:val="superscript"/>
          <w:lang w:eastAsia="en-US"/>
        </w:rPr>
        <w:footnoteReference w:id="49"/>
      </w:r>
      <w:r>
        <w:rPr>
          <w:noProof/>
        </w:rPr>
        <w:t>. It-tentattiv ta’ emendi fil-Kostituzzjoni li jbiddlu l-kompożizzjoni tal-SJC</w:t>
      </w:r>
      <w:r>
        <w:rPr>
          <w:rStyle w:val="FootnoteReference"/>
          <w:rFonts w:eastAsia="Calibri"/>
          <w:noProof/>
          <w:lang w:eastAsia="en-US"/>
        </w:rPr>
        <w:footnoteReference w:id="50"/>
      </w:r>
      <w:r>
        <w:rPr>
          <w:noProof/>
        </w:rPr>
        <w:t>, imressqa f’Settembru 2020, kienu maħsuba biex jindirizzaw parzjalment dan it-tħassib</w:t>
      </w:r>
      <w:r>
        <w:rPr>
          <w:rStyle w:val="FootnoteReference"/>
          <w:rFonts w:eastAsia="Calibri"/>
          <w:noProof/>
          <w:lang w:eastAsia="en-US"/>
        </w:rPr>
        <w:footnoteReference w:id="51"/>
      </w:r>
      <w:r>
        <w:rPr>
          <w:noProof/>
        </w:rPr>
        <w:t>. L-indirizzar tal-kwistjoni rigward il-kompożizzjoni tal-SJC sar kwistjoni aktar urġenti minħabba li s-sistema fis-seħħ taffettwa l-elezzjonijiet futuri tal-membri tal-SJC, minħabba l-iskadenza imminenti tal-mandati attwali tagħhom, u taffettwa wkoll pożizzjonijiet importanti oħra fil-ġudikatura</w:t>
      </w:r>
      <w:r>
        <w:rPr>
          <w:rStyle w:val="FootnoteReference"/>
          <w:rFonts w:eastAsia="Calibri"/>
          <w:noProof/>
          <w:lang w:eastAsia="en-US"/>
        </w:rPr>
        <w:footnoteReference w:id="52"/>
      </w:r>
      <w:r>
        <w:rPr>
          <w:noProof/>
        </w:rPr>
        <w:t>. Rigward il-funzjonament tal-SJC, żvilupp pożittiv kien l-introduzzjoni ta’ reġistru online tal-pożizzjonijiet meħuda mill-SJC, inklużi mill-Plenarja u miż-żewġ kmamar tiegħu, kontra t-theddida għall-indipendenza ġudizzjarja</w:t>
      </w:r>
      <w:r>
        <w:rPr>
          <w:rStyle w:val="FootnoteReference"/>
          <w:rFonts w:eastAsia="Calibri"/>
          <w:noProof/>
          <w:lang w:eastAsia="en-US"/>
        </w:rPr>
        <w:footnoteReference w:id="53"/>
      </w:r>
      <w:r>
        <w:rPr>
          <w:noProof/>
        </w:rPr>
        <w:t>. Madankollu, ir-reġistru jkopri biss każijiet li fihom l-SJC jew korpi oħra tal-ġudikatura ħadu pożizzjoni u mhux il-każijiet kollha ta’ attakki kontra l-indipendenza ġudizzjarja, li xi partijiet ikkonċernati dan iqisuh bħala insuffiċjenti</w:t>
      </w:r>
      <w:r>
        <w:rPr>
          <w:rStyle w:val="FootnoteReference"/>
          <w:rFonts w:eastAsia="Calibri"/>
          <w:noProof/>
          <w:lang w:eastAsia="en-US"/>
        </w:rPr>
        <w:footnoteReference w:id="54"/>
      </w:r>
      <w:r>
        <w:rPr>
          <w:noProof/>
        </w:rPr>
        <w:t>. Barra minn hekk, il-partijiet ikkonċernati indikaw ukoll każijiet fejn xi wħud mill-pożizzjonijiet meħuda mill-SJC huma kkunsidrati li jmorru kontra l-membri tal-ġudikatura nnifisha</w:t>
      </w:r>
      <w:r>
        <w:rPr>
          <w:rStyle w:val="FootnoteReference"/>
          <w:rFonts w:eastAsia="Calibri"/>
          <w:noProof/>
          <w:lang w:eastAsia="en-US"/>
        </w:rPr>
        <w:footnoteReference w:id="55"/>
      </w:r>
      <w:r>
        <w:rPr>
          <w:noProof/>
        </w:rPr>
        <w:t>.</w:t>
      </w:r>
    </w:p>
    <w:p>
      <w:pPr>
        <w:rPr>
          <w:noProof/>
        </w:rPr>
      </w:pPr>
      <w:r>
        <w:rPr>
          <w:b/>
          <w:bCs/>
          <w:noProof/>
        </w:rPr>
        <w:t xml:space="preserve">Il-pjan </w:t>
      </w:r>
      <w:r>
        <w:rPr>
          <w:b/>
          <w:noProof/>
        </w:rPr>
        <w:t>ta’ Azzjoni adottat biex jiġu indirizzati ċerti sfidi espressi fir-Rapport tal-2020 dwar l-Istat tad-Dritt ikopri, fost l-oħrajn, ir-riforma ġudizzjarja</w:t>
      </w:r>
      <w:r>
        <w:rPr>
          <w:noProof/>
        </w:rPr>
        <w:t>. Fis-6 ta’ Novembru 2020, il-Gvern ħareġ Pjan ta’ Azzjoni</w:t>
      </w:r>
      <w:r>
        <w:rPr>
          <w:rStyle w:val="FootnoteReference"/>
          <w:noProof/>
        </w:rPr>
        <w:footnoteReference w:id="56"/>
      </w:r>
      <w:r>
        <w:rPr>
          <w:noProof/>
        </w:rPr>
        <w:t xml:space="preserve"> sabiex ilesti r-riforma dwar l-obbligu ta’ rendikont u r-responsabbiltà kriminali tal-Prosekutur Ġenerali, biex itejjeb il-funzjonament u l-kompożizzjoni tal-Ispettorat tal-Kunsill Superjuri tal-Maġistratura</w:t>
      </w:r>
      <w:r>
        <w:rPr>
          <w:rStyle w:val="FootnoteReference"/>
          <w:noProof/>
        </w:rPr>
        <w:footnoteReference w:id="57"/>
      </w:r>
      <w:r>
        <w:rPr>
          <w:noProof/>
        </w:rPr>
        <w:t xml:space="preserve">, biex jirrevedi l-kriterji li jippermettu r-remunerazzjoni addizzjonali tal-maġistrati, u biex jindirizza l-isfidi relatati mal-indipendenza ġudizzjarja. </w:t>
      </w:r>
    </w:p>
    <w:p>
      <w:pPr>
        <w:rPr>
          <w:rFonts w:eastAsia="Calibri"/>
          <w:b/>
          <w:bCs/>
          <w:noProof/>
        </w:rPr>
      </w:pPr>
      <w:r>
        <w:rPr>
          <w:b/>
          <w:bCs/>
          <w:noProof/>
        </w:rPr>
        <w:t>Ġie stabbilit grupp ta’ ħidma dwar ir-riforma possibbli fil-kompożizzjoni u l-funzjonament tal-Ispettorat tal-Kunsill Superjuri tal-Maġistratura.</w:t>
      </w:r>
      <w:r>
        <w:rPr>
          <w:noProof/>
        </w:rPr>
        <w:t xml:space="preserve"> Bħala parti mill-Pjan ta’ Azzjoni tal-Gvern imsemmi qabel, f’Diċembru 2020, il-Ministru tal-Ġustizzja stabbilixxa grupp ta’ ħidma</w:t>
      </w:r>
      <w:r>
        <w:rPr>
          <w:rStyle w:val="FootnoteReference"/>
          <w:rFonts w:eastAsia="Calibri"/>
          <w:noProof/>
          <w:lang w:eastAsia="en-US"/>
        </w:rPr>
        <w:footnoteReference w:id="58"/>
      </w:r>
      <w:r>
        <w:rPr>
          <w:noProof/>
        </w:rPr>
        <w:t xml:space="preserve"> bil-kompitu li jabbozza emendi leġiżlattivi biex jindirizza kwistjonijiet relatati mal-Ispettorat identifikati bħala tħassib fir-rapport tal-2020 dwar l-Istat tad-Dritt</w:t>
      </w:r>
      <w:r>
        <w:rPr>
          <w:rStyle w:val="FootnoteReference"/>
          <w:rFonts w:eastAsia="Calibri"/>
          <w:noProof/>
          <w:lang w:eastAsia="en-US"/>
        </w:rPr>
        <w:footnoteReference w:id="59"/>
      </w:r>
      <w:r>
        <w:rPr>
          <w:noProof/>
        </w:rPr>
        <w:t xml:space="preserve"> u mill-Kummissjoni ta’ Venezja</w:t>
      </w:r>
      <w:r>
        <w:rPr>
          <w:rFonts w:eastAsia="Calibri"/>
          <w:noProof/>
          <w:vertAlign w:val="superscript"/>
          <w:lang w:eastAsia="en-US"/>
        </w:rPr>
        <w:footnoteReference w:id="60"/>
      </w:r>
      <w:r>
        <w:rPr>
          <w:noProof/>
        </w:rPr>
        <w:t>. Fis-sistema attwali, l-Ispettorat jeżamina l-attività tal-ġudikatura, iwettaq kontrolli fuq l-integrità u l-kunflitti ta’ interess potenzjali tal-maġistrati, u jipproponi lill-SJC l-ftuħ ta’ proċedimenti dixxiplinari rigward il-maġistrati. L-Ispettorat jikkonsisti fi Spettur Ġenerali u għaxar Spetturi, li huma indipendenti u eletti mill-Assemblea Nazzjonali</w:t>
      </w:r>
      <w:r>
        <w:rPr>
          <w:rFonts w:eastAsia="Calibri"/>
          <w:noProof/>
          <w:vertAlign w:val="superscript"/>
          <w:lang w:eastAsia="en-US"/>
        </w:rPr>
        <w:footnoteReference w:id="61"/>
      </w:r>
      <w:r>
        <w:rPr>
          <w:noProof/>
        </w:rPr>
        <w:t>. Il-mandat tal-grupp ta’ ħidma jinkludi rieżami tal-kontrolli tal-integrità, ir-responsabbiltà dixxiplinarja tal-maġistrati, il-ħolqien ta’ sistema ta’ prevenzjoni deontoloġika, id-dikjarazzjonijiet</w:t>
      </w:r>
      <w:r>
        <w:rPr>
          <w:rStyle w:val="FootnoteReference"/>
          <w:rFonts w:eastAsia="Calibri"/>
          <w:noProof/>
          <w:lang w:eastAsia="en-US"/>
        </w:rPr>
        <w:footnoteReference w:id="62"/>
      </w:r>
      <w:r>
        <w:rPr>
          <w:noProof/>
        </w:rPr>
        <w:t xml:space="preserve"> tal-proprjetà u tal-interessi kif ukoll il-formalizzazzjoni tal-prattika attwali li tippermetti lill-Parlament li jaħtar lill-Ispettur Ġenerali u lill-Ispetturi minn fost il-persuni nnominati mill-plenarji tal-Qrati Supremi u l-organizzazzjonijiet professjonali</w:t>
      </w:r>
      <w:r>
        <w:rPr>
          <w:rStyle w:val="FootnoteReference"/>
          <w:rFonts w:eastAsia="Calibri"/>
          <w:noProof/>
          <w:lang w:eastAsia="en-US"/>
        </w:rPr>
        <w:footnoteReference w:id="63"/>
      </w:r>
      <w:r>
        <w:rPr>
          <w:noProof/>
        </w:rPr>
        <w:t>. Madankollu, ma hemm l-ebda skeda ta’ żmien speċifika għall-finalizzazzjoni tal-emendi u t-tħassib relatat mal-indipendenza ġudizzjarja u l-eżerċitar ta’ pressjoni fuq l-imħallfin, imqajma fir-Rapport tal-2020 dwar l-Istat tad-Dritt</w:t>
      </w:r>
      <w:r>
        <w:rPr>
          <w:rStyle w:val="FootnoteReference"/>
          <w:rFonts w:eastAsia="Calibri"/>
          <w:noProof/>
          <w:lang w:eastAsia="en-US"/>
        </w:rPr>
        <w:footnoteReference w:id="64"/>
      </w:r>
      <w:r>
        <w:rPr>
          <w:noProof/>
        </w:rPr>
        <w:t xml:space="preserve"> u l-Kummissjoni ta’Venezja</w:t>
      </w:r>
      <w:r>
        <w:rPr>
          <w:rStyle w:val="FootnoteReference"/>
          <w:rFonts w:eastAsia="Calibri"/>
          <w:noProof/>
          <w:lang w:eastAsia="en-US"/>
        </w:rPr>
        <w:footnoteReference w:id="65"/>
      </w:r>
      <w:r>
        <w:rPr>
          <w:noProof/>
        </w:rPr>
        <w:t>. L-Ispettur Ġenerali u l-Ispetturi qed ikomplu jaħdmu abbażi tal-mandat li skada</w:t>
      </w:r>
      <w:r>
        <w:rPr>
          <w:rFonts w:eastAsia="Calibri"/>
          <w:noProof/>
          <w:vertAlign w:val="superscript"/>
          <w:lang w:eastAsia="en-US"/>
        </w:rPr>
        <w:footnoteReference w:id="66"/>
      </w:r>
      <w:r>
        <w:rPr>
          <w:noProof/>
        </w:rPr>
        <w:t>, skont il-prinċipju tal-kontinwità</w:t>
      </w:r>
      <w:r>
        <w:rPr>
          <w:rFonts w:eastAsia="Calibri"/>
          <w:noProof/>
          <w:vertAlign w:val="superscript"/>
          <w:lang w:eastAsia="en-US"/>
        </w:rPr>
        <w:footnoteReference w:id="67"/>
      </w:r>
      <w:r>
        <w:rPr>
          <w:noProof/>
        </w:rPr>
        <w:t>. Ta’ min jinnota li istituzzjonijiet oħra jinsabu wkoll f’din is-sitwazzjoni: ħames awtoritajiet indipendenti u superviżorji oħra joperaw abbażi ta’ mandat li skada</w:t>
      </w:r>
      <w:r>
        <w:rPr>
          <w:rStyle w:val="FootnoteReference"/>
          <w:rFonts w:eastAsia="Calibri"/>
          <w:noProof/>
          <w:lang w:eastAsia="en-US"/>
        </w:rPr>
        <w:footnoteReference w:id="68"/>
      </w:r>
      <w:r>
        <w:rPr>
          <w:noProof/>
        </w:rPr>
        <w:t>. F’każijiet oħra, il-bidliet fir-regoli tal-elezzjoni u l-mandat ippermettew awtomatikament li ssir mill-ġdid l-elezzjoni tad-diretturi attwali tagħhom</w:t>
      </w:r>
      <w:r>
        <w:rPr>
          <w:rStyle w:val="FootnoteReference"/>
          <w:rFonts w:eastAsia="Calibri"/>
          <w:noProof/>
          <w:lang w:eastAsia="en-US"/>
        </w:rPr>
        <w:footnoteReference w:id="69"/>
      </w:r>
      <w:r>
        <w:rPr>
          <w:noProof/>
        </w:rPr>
        <w:t>.</w:t>
      </w:r>
    </w:p>
    <w:p>
      <w:pPr>
        <w:rPr>
          <w:rFonts w:eastAsia="Calibri"/>
          <w:noProof/>
        </w:rPr>
      </w:pPr>
      <w:r>
        <w:rPr>
          <w:b/>
          <w:bCs/>
          <w:noProof/>
        </w:rPr>
        <w:t>Is-sistema ta’ promozzjoni tal-maġistrati għadha tqajjem tħassib.</w:t>
      </w:r>
      <w:r>
        <w:rPr>
          <w:noProof/>
        </w:rPr>
        <w:t xml:space="preserve"> Il-maġistrati normalment jiġu promossi wara li jgħaddu minn kompetizzjoni</w:t>
      </w:r>
      <w:r>
        <w:rPr>
          <w:rStyle w:val="FootnoteReference"/>
          <w:rFonts w:eastAsia="Calibri"/>
          <w:noProof/>
          <w:lang w:eastAsia="en-US"/>
        </w:rPr>
        <w:footnoteReference w:id="70"/>
      </w:r>
      <w:r>
        <w:rPr>
          <w:noProof/>
        </w:rPr>
        <w:t>. Madankollu, fil-prattika, minn tliet snin ’l hawn, l-ebda proċedura ta’ kompetizzjoni għall-promozzjoni tal-imħallfin ma tlestiet</w:t>
      </w:r>
      <w:r>
        <w:rPr>
          <w:rStyle w:val="FootnoteReference"/>
          <w:rFonts w:eastAsia="Calibri"/>
          <w:noProof/>
          <w:lang w:eastAsia="en-US"/>
        </w:rPr>
        <w:footnoteReference w:id="71"/>
      </w:r>
      <w:r>
        <w:rPr>
          <w:noProof/>
        </w:rPr>
        <w:t>. Minbarra l-proċess normali ta’ promozzjoni permezz ta’ kompetizzjoni, hemm il-promozzjoni ta’ membri onorarji tal-SJC fi tmiem il-mandat tagħhom. Il-plenarja tal-Qorti Suprema tal-Kassazzjoni kkontestat il-kostituzzjonalità tal-liġi l-ġdida quddiem il-Qorti Kostituzzjonali</w:t>
      </w:r>
      <w:r>
        <w:rPr>
          <w:rFonts w:eastAsia="Calibri"/>
          <w:noProof/>
          <w:vertAlign w:val="superscript"/>
          <w:lang w:eastAsia="ro-RO"/>
        </w:rPr>
        <w:footnoteReference w:id="72"/>
      </w:r>
      <w:r>
        <w:rPr>
          <w:noProof/>
        </w:rPr>
        <w:t xml:space="preserve"> meta kkunsidrat li dan kien każ ta’ promozzjoni awtomatika. Fil-11 ta’ Mejju 2021, il-Qorti Kostituzzjonali ddeċidiet li l-liġi li tipprevedi l-promozzjoni ta’ membri onorarji fl-SJC fi tmiem il-mandat tagħhom hija kostituzzjonali minħabba li l-SJC għadu involut fid-deċiżjoni</w:t>
      </w:r>
      <w:r>
        <w:rPr>
          <w:rStyle w:val="FootnoteReference"/>
          <w:rFonts w:eastAsia="Calibri"/>
          <w:noProof/>
          <w:lang w:eastAsia="ro-RO"/>
        </w:rPr>
        <w:footnoteReference w:id="73"/>
      </w:r>
      <w:r>
        <w:rPr>
          <w:noProof/>
        </w:rPr>
        <w:t xml:space="preserve">. </w:t>
      </w:r>
      <w:r>
        <w:rPr>
          <w:noProof/>
          <w:color w:val="000000" w:themeColor="text1"/>
        </w:rPr>
        <w:t xml:space="preserve">Il-partijiet ikkonċernati </w:t>
      </w:r>
      <w:r>
        <w:rPr>
          <w:noProof/>
        </w:rPr>
        <w:t>kkritikaw in-nuqqas ta’ kompetizzjonijiet regolari għall-promozzjoni u l-mekkaniżmu ta’ promozzjoni tal-membri tal-SJC</w:t>
      </w:r>
      <w:r>
        <w:rPr>
          <w:rStyle w:val="FootnoteReference"/>
          <w:rFonts w:eastAsia="Calibri"/>
          <w:noProof/>
          <w:lang w:eastAsia="ro-RO"/>
        </w:rPr>
        <w:footnoteReference w:id="74"/>
      </w:r>
      <w:r>
        <w:rPr>
          <w:noProof/>
        </w:rPr>
        <w:t xml:space="preserve">. In-nuqqas ta’ kompetizzjonijiet regolari rriżulta f’għadd dejjem jikber ta’ membri ssekondati. B’mod partikolari, </w:t>
      </w:r>
      <w:r>
        <w:rPr>
          <w:noProof/>
          <w:color w:val="000000" w:themeColor="text1"/>
        </w:rPr>
        <w:t>il-partijiet ikkonċernati rrappurtaw li sa mill-2017, l-għadd ta’ mħallfin issekondati kien qed jiżdied</w:t>
      </w:r>
      <w:r>
        <w:rPr>
          <w:rStyle w:val="FootnoteReference"/>
          <w:rFonts w:eastAsia="Calibri"/>
          <w:noProof/>
          <w:color w:val="000000" w:themeColor="text1"/>
          <w:lang w:eastAsia="ro-RO"/>
        </w:rPr>
        <w:footnoteReference w:id="75"/>
      </w:r>
      <w:r>
        <w:rPr>
          <w:noProof/>
          <w:color w:val="000000" w:themeColor="text1"/>
        </w:rPr>
        <w:t xml:space="preserve"> kif ukoll l-għadd ta’ membri ssekondati fit-tul (bil-kunsens)</w:t>
      </w:r>
      <w:r>
        <w:rPr>
          <w:rStyle w:val="FootnoteReference"/>
          <w:rFonts w:eastAsia="Calibri"/>
          <w:noProof/>
          <w:color w:val="000000" w:themeColor="text1"/>
          <w:lang w:eastAsia="ro-RO"/>
        </w:rPr>
        <w:footnoteReference w:id="76"/>
      </w:r>
      <w:r>
        <w:rPr>
          <w:noProof/>
          <w:color w:val="000000" w:themeColor="text1"/>
        </w:rPr>
        <w:t>, xi drabi għal 90-100 xahar jew aktar</w:t>
      </w:r>
      <w:r>
        <w:rPr>
          <w:rStyle w:val="FootnoteReference"/>
          <w:rFonts w:eastAsia="Calibri"/>
          <w:noProof/>
          <w:color w:val="000000" w:themeColor="text1"/>
          <w:lang w:eastAsia="ro-RO"/>
        </w:rPr>
        <w:footnoteReference w:id="77"/>
      </w:r>
      <w:r>
        <w:rPr>
          <w:noProof/>
          <w:color w:val="000000" w:themeColor="text1"/>
        </w:rPr>
        <w:t>, sabiex jimtlew il-pożizzjonijiet ta’ livell ogħla</w:t>
      </w:r>
      <w:r>
        <w:rPr>
          <w:rStyle w:val="FootnoteReference"/>
          <w:rFonts w:eastAsia="Calibri"/>
          <w:noProof/>
          <w:color w:val="000000" w:themeColor="text1"/>
          <w:lang w:eastAsia="ro-RO"/>
        </w:rPr>
        <w:footnoteReference w:id="78"/>
      </w:r>
      <w:r>
        <w:rPr>
          <w:noProof/>
          <w:color w:val="000000" w:themeColor="text1"/>
        </w:rPr>
        <w:t>. L-istandards Ewropej jenfasizzaw il-promozzjoni bbażata fuq il-mertu</w:t>
      </w:r>
      <w:r>
        <w:rPr>
          <w:rStyle w:val="FootnoteReference"/>
          <w:rFonts w:eastAsia="Calibri"/>
          <w:noProof/>
          <w:color w:val="000000" w:themeColor="text1"/>
          <w:lang w:eastAsia="ro-RO"/>
        </w:rPr>
        <w:footnoteReference w:id="79"/>
      </w:r>
      <w:r>
        <w:rPr>
          <w:noProof/>
          <w:color w:val="000000" w:themeColor="text1"/>
        </w:rPr>
        <w:t>, u l-issekondar iseħħ bil-kunsens u fuq bażi temporanja, użat biss f’ċirkostanzi eċċezzjonali</w:t>
      </w:r>
      <w:r>
        <w:rPr>
          <w:rStyle w:val="FootnoteReference"/>
          <w:rFonts w:eastAsia="Calibri"/>
          <w:noProof/>
          <w:color w:val="000000" w:themeColor="text1"/>
          <w:lang w:eastAsia="ro-RO"/>
        </w:rPr>
        <w:footnoteReference w:id="80"/>
      </w:r>
      <w:r>
        <w:rPr>
          <w:noProof/>
          <w:color w:val="000000" w:themeColor="text1"/>
        </w:rPr>
        <w:t>. Is-sitwazzjoni fejn ma jkunx hemm promozzjonijiet regolari bbażati fuq il-mertu tista’ taffettwa l-indipendenza ġudizzjarja. Tqajjem ukoll tħassib</w:t>
      </w:r>
      <w:r>
        <w:rPr>
          <w:rStyle w:val="FootnoteReference"/>
          <w:rFonts w:eastAsia="Calibri"/>
          <w:noProof/>
          <w:color w:val="000000" w:themeColor="text1"/>
        </w:rPr>
        <w:footnoteReference w:id="81"/>
      </w:r>
      <w:r>
        <w:rPr>
          <w:noProof/>
          <w:color w:val="000000" w:themeColor="text1"/>
        </w:rPr>
        <w:t xml:space="preserve"> fil-kuntest tar-riforma prevista tal-mappa ġudizzjarja fejn l-imħallfin mill-qrati distrettwali, li jsiru parti mill-qrati reġjonali, jiġu promossi awtomatikament għal pożizzjoni ogħla</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Peress li d-diskussjonijiet jinsabu fi stadju bikri hemm lok għal konsultazzjoni wiesgħa dwar ir-riforma tal-mappa ġudizzjarja</w:t>
      </w:r>
      <w:r>
        <w:rPr>
          <w:rStyle w:val="FootnoteReference"/>
          <w:rFonts w:eastAsia="Calibri"/>
          <w:noProof/>
          <w:color w:val="000000" w:themeColor="text1"/>
          <w:lang w:eastAsia="ro-RO"/>
        </w:rPr>
        <w:footnoteReference w:id="83"/>
      </w:r>
      <w:r>
        <w:rPr>
          <w:noProof/>
          <w:color w:val="000000" w:themeColor="text1"/>
        </w:rPr>
        <w:t>. Barra minn hekk, huwa importanti li kwalunkwe riforma tal-mappa ġudizzjarja tkun ibbażata fuq il-valutazzjoni bir-reqqa tal-effetti probabbli tagħha, u tippreserva l-indipendenza ġudizzjarja u l-aċċess għall-ġustizzja</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L-SJC qed jimmodifika l-kriterji biex tittieħed deċiżjoni dwar ir-remunerazzjoni addizzjonali. </w:t>
      </w:r>
      <w:r>
        <w:rPr>
          <w:noProof/>
        </w:rPr>
        <w:t>Sabiex jiġi indirizzat it-tħassib tal-Kunsill tal-Ewropa rigward is-setgħat diskrezzjonali wiesgħa tal-Presidenti tal-Qrati biex tiġi allokata remunerazzjoni addizzjonali lill-maġistrati, ġew stabbiliti żewġ gruppi ta’ ħidma</w:t>
      </w:r>
      <w:r>
        <w:rPr>
          <w:rStyle w:val="FootnoteReference"/>
          <w:noProof/>
        </w:rPr>
        <w:t xml:space="preserve"> </w:t>
      </w:r>
      <w:r>
        <w:rPr>
          <w:rStyle w:val="FootnoteReference"/>
          <w:rFonts w:eastAsia="Calibri"/>
          <w:noProof/>
          <w:lang w:eastAsia="en-US"/>
        </w:rPr>
        <w:footnoteReference w:id="85"/>
      </w:r>
      <w:r>
        <w:rPr>
          <w:noProof/>
        </w:rPr>
        <w:t>. L-abbozz tar-regoli tħejja f’Marzu 2020, madankollu, ma ġiex diskuss fil-plenarja tal-SJC u ma sarx pubbliku</w:t>
      </w:r>
      <w:r>
        <w:rPr>
          <w:rStyle w:val="FootnoteReference"/>
          <w:rFonts w:eastAsia="Calibri"/>
          <w:noProof/>
        </w:rPr>
        <w:footnoteReference w:id="86"/>
      </w:r>
      <w:r>
        <w:rPr>
          <w:noProof/>
        </w:rPr>
        <w:t>. Għalhekk għadu kmieni wisq biex jiġi vvalutat jekk it-tħassib identifikat ġiex indirizzat fid-dawl tar-rakkomandazzjonijiet tal-Kunsill tal-Ewropa. Huwa importanti li kwalunkwe emenda tqis dawn ir-rakkomandazzjonijiet</w:t>
      </w:r>
      <w:r>
        <w:rPr>
          <w:rStyle w:val="FootnoteReference"/>
          <w:rFonts w:eastAsia="Calibri"/>
          <w:noProof/>
          <w:lang w:eastAsia="en-US"/>
        </w:rPr>
        <w:footnoteReference w:id="87"/>
      </w:r>
      <w:r>
        <w:rPr>
          <w:noProof/>
        </w:rPr>
        <w:t>.</w:t>
      </w:r>
    </w:p>
    <w:p>
      <w:pPr>
        <w:rPr>
          <w:rFonts w:eastAsia="Calibri"/>
          <w:b/>
          <w:noProof/>
        </w:rPr>
      </w:pPr>
      <w:r>
        <w:rPr>
          <w:b/>
          <w:noProof/>
        </w:rPr>
        <w:t xml:space="preserve">Tneħħa r-reġistru online dwar is-sħubija tal-maġistrati f’organizzazzjonijiet professjonali. </w:t>
      </w:r>
      <w:r>
        <w:rPr>
          <w:noProof/>
        </w:rPr>
        <w:t>Ir-rekwiżit li l-maġistrati jiddikjaraw is-sħubija tagħhom f’organizzazzjonijiet professjonali</w:t>
      </w:r>
      <w:r>
        <w:rPr>
          <w:rFonts w:eastAsia="Calibri"/>
          <w:noProof/>
          <w:vertAlign w:val="superscript"/>
        </w:rPr>
        <w:footnoteReference w:id="88"/>
      </w:r>
      <w:r>
        <w:rPr>
          <w:noProof/>
        </w:rPr>
        <w:t xml:space="preserve"> ġie rrevokat fl-2020. Fiż-żmien tal-pubblikazzjoni tar-Rapport tal-2020 dwar l-Istat tad-Dritt, il-bażi tad-</w:t>
      </w:r>
      <w:r>
        <w:rPr>
          <w:i/>
          <w:iCs/>
          <w:noProof/>
        </w:rPr>
        <w:t>data</w:t>
      </w:r>
      <w:r>
        <w:rPr>
          <w:noProof/>
        </w:rPr>
        <w:t xml:space="preserve"> online tal-maġistrati li jipparteċipaw f’assoċjazzjonijiet professjonali kienet għadha disponibbli fuq is-sit web tal-SJC. Sadanittant, l-awtoritajiet indirizzaw dan it-tħassib u, mill-14 ta’ Jannar 2021, ir-reġistru ma għadux disponibbli online. </w:t>
      </w:r>
    </w:p>
    <w:p>
      <w:pPr>
        <w:keepNext/>
        <w:jc w:val="left"/>
        <w:rPr>
          <w:rFonts w:eastAsiaTheme="minorHAnsi"/>
          <w:b/>
          <w:noProof/>
          <w:szCs w:val="24"/>
        </w:rPr>
      </w:pPr>
      <w:r>
        <w:rPr>
          <w:b/>
          <w:noProof/>
          <w:szCs w:val="24"/>
        </w:rPr>
        <w:t>Kwalità</w:t>
      </w:r>
    </w:p>
    <w:p>
      <w:pPr>
        <w:rPr>
          <w:rFonts w:eastAsia="Calibri"/>
          <w:noProof/>
        </w:rPr>
      </w:pPr>
      <w:r>
        <w:rPr>
          <w:b/>
          <w:noProof/>
        </w:rPr>
        <w:t xml:space="preserve">It-tariffi tal-qorti tnaqqsu għal pretensjonijiet introdotti online. </w:t>
      </w:r>
      <w:r>
        <w:rPr>
          <w:noProof/>
        </w:rPr>
        <w:t>L-emendi fil-Kodiċi tal-Proċedura Ċivili pprevedew it-tnaqqis ta’ 15 fil-mija tat-tariffa dovuta meta l-applikazzjoni għall-protezzjoni u l-assistenza tkun saret b’mod elettroniku. Madankollu, il-miżura għadha limitata wisq biex tnaqqas b’mod sostanzjali t-tariffi tal-qorti biex jinbeda proċediment</w:t>
      </w:r>
      <w:r>
        <w:rPr>
          <w:rFonts w:eastAsia="Calibri"/>
          <w:noProof/>
          <w:vertAlign w:val="superscript"/>
          <w:lang w:eastAsia="en-US"/>
        </w:rPr>
        <w:footnoteReference w:id="89"/>
      </w:r>
      <w:r>
        <w:rPr>
          <w:noProof/>
        </w:rPr>
        <w:t xml:space="preserve"> minħabba li tikkonċerna biss fajls ippreżentati elettronikament u mhux il-każijiet kollha. Barra minn hekk, din il-miżura ma tikkonċernax il-limitu għall-għajnuna legali</w:t>
      </w:r>
      <w:r>
        <w:rPr>
          <w:rStyle w:val="FootnoteReference"/>
          <w:rFonts w:eastAsia="Calibri"/>
          <w:noProof/>
          <w:lang w:eastAsia="en-US"/>
        </w:rPr>
        <w:footnoteReference w:id="90"/>
      </w:r>
      <w:r>
        <w:rPr>
          <w:noProof/>
        </w:rPr>
        <w:t>, u lanqas ma teżenta lill-benefiċjarji tal-għajnuna legali mill-miżati tal-qorti</w:t>
      </w:r>
      <w:r>
        <w:rPr>
          <w:rFonts w:eastAsia="Calibri"/>
          <w:noProof/>
          <w:vertAlign w:val="superscript"/>
          <w:lang w:eastAsia="en-US"/>
        </w:rPr>
        <w:footnoteReference w:id="91"/>
      </w:r>
      <w:r>
        <w:rPr>
          <w:noProof/>
        </w:rPr>
        <w:t>. L-impatt tar-riforma huwa wkoll ipperikolat min-nuqqas ta’ diġitalizzazzjoni</w:t>
      </w:r>
      <w:r>
        <w:rPr>
          <w:rStyle w:val="FootnoteReference"/>
          <w:rFonts w:eastAsia="Calibri"/>
          <w:noProof/>
          <w:lang w:eastAsia="en-US"/>
        </w:rPr>
        <w:footnoteReference w:id="92"/>
      </w:r>
      <w:r>
        <w:rPr>
          <w:noProof/>
        </w:rPr>
        <w:t>. Barra minn hekk, il-Kumitat tan-NU għall-Eliminazzjoni tad-Diskriminazzjoni kontra n-Nisa qajjem tħassib speċifiku dwar l-aċċess limitat għall-ġustizzja għan-nisa</w:t>
      </w:r>
      <w:r>
        <w:rPr>
          <w:rStyle w:val="FootnoteReference"/>
          <w:rFonts w:eastAsia="Calibri"/>
          <w:noProof/>
          <w:lang w:eastAsia="en-US"/>
        </w:rPr>
        <w:footnoteReference w:id="93"/>
      </w:r>
      <w:r>
        <w:rPr>
          <w:noProof/>
        </w:rPr>
        <w:t>.</w:t>
      </w:r>
    </w:p>
    <w:p>
      <w:pPr>
        <w:rPr>
          <w:rFonts w:eastAsia="Calibri"/>
          <w:noProof/>
        </w:rPr>
      </w:pPr>
      <w:r>
        <w:rPr>
          <w:b/>
          <w:noProof/>
        </w:rPr>
        <w:t xml:space="preserve">Ġew introdotti emendi li jippermettu l-użu tal-vidjokonferenzi fi proċedimenti ċivili, amministrattivi u kriminali. </w:t>
      </w:r>
      <w:r>
        <w:rPr>
          <w:noProof/>
        </w:rPr>
        <w:t>Fis-17 ta’ Diċembru 2020, ġew adottati emendi fil-Kodiċi ta’ Proċedura Ċivili, il-Kodiċi ta’ Proċedura Amministrattiva u l-Kodiċi ta’ Proċedura Kriminali. Dawn jippermettu l-użu ta’ vidjokonferenzi fi proċedimenti ċivili u amministrattivi, u fi proċedimenti kriminali għall-ġbir ta’ evidenza. Madankollu, fil-prattika jidher li s-sistema għadha mhix implimentata</w:t>
      </w:r>
      <w:r>
        <w:rPr>
          <w:rStyle w:val="FootnoteReference"/>
          <w:rFonts w:eastAsia="Calibri"/>
          <w:noProof/>
          <w:lang w:eastAsia="en-US"/>
        </w:rPr>
        <w:footnoteReference w:id="94"/>
      </w:r>
      <w:r>
        <w:rPr>
          <w:noProof/>
        </w:rPr>
        <w:t>. Tħabbar aktar titjib permezz ta’ żewġ proġetti fil-kuntest tal-Pjan Nazzjonali ta’ Rkupru u Reżiljenza tal-Bulgarija</w:t>
      </w:r>
      <w:r>
        <w:rPr>
          <w:rStyle w:val="FootnoteReference"/>
          <w:rFonts w:eastAsia="Calibri"/>
          <w:noProof/>
          <w:lang w:eastAsia="en-US"/>
        </w:rPr>
        <w:footnoteReference w:id="95"/>
      </w:r>
      <w:r>
        <w:rPr>
          <w:noProof/>
        </w:rPr>
        <w:t>. Minkejja dawn ir-riformi u l-pjanijiet, bħalissa mhuwiex possibbli għall-persunal tal-qorti u l-imħallfin li jaħdmu b’mod sikur mill-bogħod</w:t>
      </w:r>
      <w:r>
        <w:rPr>
          <w:rStyle w:val="FootnoteReference"/>
          <w:rFonts w:eastAsia="Calibri"/>
          <w:noProof/>
          <w:lang w:eastAsia="en-US"/>
        </w:rPr>
        <w:footnoteReference w:id="96"/>
      </w:r>
      <w:r>
        <w:rPr>
          <w:noProof/>
        </w:rPr>
        <w:t>, u l-komunikazzjoni elettronika sigura hija disponibbli biss għall-komunikazzjoni bejn il-qrati iżda mhux bejn professjonisti legali oħra</w:t>
      </w:r>
      <w:r>
        <w:rPr>
          <w:rStyle w:val="FootnoteReference"/>
          <w:rFonts w:eastAsia="Calibri"/>
          <w:noProof/>
          <w:lang w:eastAsia="en-US"/>
        </w:rPr>
        <w:footnoteReference w:id="97"/>
      </w:r>
      <w:r>
        <w:rPr>
          <w:noProof/>
        </w:rPr>
        <w:t>. Filwaqt li huwa possibbli taċċessa l-fajls elettroniċi għal każijiet pendenti u magħluqa u li tirċievi informazzjoni online dwar it-tariffi tal-qorti, għadu mhux possibbli tibda proċedimenti online, tippreżenta applikazzjoni għal għajnuna legali online u d-dokumenti uffiċjali tal-qorti ma jistgħux jiġu nnotifikati elettronikament</w:t>
      </w:r>
      <w:r>
        <w:rPr>
          <w:rFonts w:eastAsia="Calibri"/>
          <w:noProof/>
          <w:vertAlign w:val="superscript"/>
          <w:lang w:eastAsia="en-US"/>
        </w:rPr>
        <w:footnoteReference w:id="98"/>
      </w:r>
      <w:r>
        <w:rPr>
          <w:noProof/>
        </w:rPr>
        <w:t>. Il-proġett iffinanzjat mill-Fond Soċjali Ewropew (2016-2020) “L-iżvilupp ta’ Mudell għall-Ottimizzazzjoni tal-Mappa Ġudizzjarja tal-Qrati u tal-Uffiċċji tal-Prosekutur Bulgari u ta’ Sistema ta’ Informazzjoni Unifikata għall-Qrati”</w:t>
      </w:r>
      <w:r>
        <w:rPr>
          <w:rStyle w:val="FootnoteReference"/>
          <w:noProof/>
        </w:rPr>
        <w:t xml:space="preserve"> </w:t>
      </w:r>
      <w:r>
        <w:rPr>
          <w:rStyle w:val="FootnoteReference"/>
          <w:rFonts w:eastAsia="Calibri"/>
          <w:noProof/>
          <w:lang w:eastAsia="en-US"/>
        </w:rPr>
        <w:footnoteReference w:id="99"/>
      </w:r>
      <w:r>
        <w:rPr>
          <w:noProof/>
        </w:rPr>
        <w:t>, ikopri b’kollox seba’ attivitajiet, inklużi tnejn speċifikament marbuta mad-diġitalizzazzjoni u mal-e-Ġustizzja</w:t>
      </w:r>
      <w:r>
        <w:rPr>
          <w:rStyle w:val="FootnoteReference"/>
          <w:rFonts w:eastAsia="Calibri"/>
          <w:noProof/>
          <w:lang w:eastAsia="en-US"/>
        </w:rPr>
        <w:footnoteReference w:id="100"/>
      </w:r>
      <w:r>
        <w:rPr>
          <w:noProof/>
        </w:rPr>
        <w:t>. Tqajjem tħassib dwar l-implimentazzjoni tas-Sistema ta’ Informazzjoni Unifikata tal-Qorti (UCIS, Unified Court Information System) fin-nuqqas ta’ proċess sħiħ ta’ diġitalizzazzjoni</w:t>
      </w:r>
      <w:r>
        <w:rPr>
          <w:rFonts w:eastAsia="Calibri"/>
          <w:noProof/>
          <w:vertAlign w:val="superscript"/>
          <w:lang w:eastAsia="en-US"/>
        </w:rPr>
        <w:footnoteReference w:id="101"/>
      </w:r>
      <w:r>
        <w:rPr>
          <w:noProof/>
        </w:rPr>
        <w:t>. Il-pandemija tal-COVID-19 ħarġet fid-dieher in-nuqqasijiet tas-sistema ġudizzjarja tal-pajjiż fil-qasam tad-diġitalizzazzjoni tal-ġustizzja. Matul l-istat ta’ emerġenza</w:t>
      </w:r>
      <w:r>
        <w:rPr>
          <w:rFonts w:eastAsia="Calibri"/>
          <w:noProof/>
          <w:vertAlign w:val="superscript"/>
          <w:lang w:eastAsia="en-US"/>
        </w:rPr>
        <w:footnoteReference w:id="102"/>
      </w:r>
      <w:r>
        <w:rPr>
          <w:noProof/>
        </w:rPr>
        <w:t>, għal xahar l-ipproċessar tal-kawżi tal-qorti ġie sospiż, bl-eċċezzjoni ta’ każijiet urġenti</w:t>
      </w:r>
      <w:r>
        <w:rPr>
          <w:rFonts w:eastAsia="Calibri"/>
          <w:noProof/>
          <w:vertAlign w:val="superscript"/>
          <w:lang w:eastAsia="en-US"/>
        </w:rPr>
        <w:footnoteReference w:id="103"/>
      </w:r>
      <w:r>
        <w:rPr>
          <w:noProof/>
        </w:rPr>
        <w:t>. Ladarba l-istat ta’ emerġenza ġie ddikjarat mill-Kunsill tal-Ministri fit-13 ta’ Marzu 2020, il-Kulleġġ tal-Imħallfin tal-SJC organizza b’mod ġdid il-ħidma fil-qrati biex jiġi limitat il-kontaġju. Madankollu, saru seduti ta’ smigħ mill-bogħod f’każijiet limitati ħafna fuq l-inizjattiva ta’ qrati speċifiċi, u x-xogħol mill-bogħod kien eċċezzjoni</w:t>
      </w:r>
      <w:r>
        <w:rPr>
          <w:rStyle w:val="FootnoteReference"/>
          <w:rFonts w:eastAsia="Calibri"/>
          <w:noProof/>
          <w:lang w:eastAsia="en-US"/>
        </w:rPr>
        <w:footnoteReference w:id="104"/>
      </w:r>
      <w:r>
        <w:rPr>
          <w:noProof/>
        </w:rPr>
        <w:t>.</w:t>
      </w:r>
    </w:p>
    <w:p>
      <w:pPr>
        <w:rPr>
          <w:rFonts w:eastAsia="Calibri"/>
          <w:noProof/>
        </w:rPr>
      </w:pPr>
      <w:r>
        <w:rPr>
          <w:b/>
          <w:bCs/>
          <w:noProof/>
        </w:rPr>
        <w:t xml:space="preserve">Ir-riżorsi finanzjarji u umani tal-Qorti Kriminali Speċjalizzata żdiedu. </w:t>
      </w:r>
      <w:r>
        <w:rPr>
          <w:noProof/>
        </w:rPr>
        <w:t>Il-Qorti Kriminali Speċjalizzata tal-ewwel istanza, li kienet qed tesperjenza kwistjonijiet relatati man-nuqqas ta’ riżorsi umani jew finanzjarji, ġiet allokata żewġ pożizzjonijiet addizzjonali għall-imħallfin</w:t>
      </w:r>
      <w:r>
        <w:rPr>
          <w:rStyle w:val="FootnoteReference"/>
          <w:rFonts w:eastAsia="Calibri"/>
          <w:noProof/>
          <w:lang w:eastAsia="en-US"/>
        </w:rPr>
        <w:footnoteReference w:id="105"/>
      </w:r>
      <w:r>
        <w:rPr>
          <w:noProof/>
        </w:rPr>
        <w:t>. Dan huwa żvilupp pożittiv li indirizza tħassib li tqajjem fil-kapitolu tal-pajjiż fir-Rapport tal-2020 dwar l-Istat tad-Dritt tal-Bulgarija. L-investiment irrappurtat li sar mill-Gvern fis-sistema ġudizzjarja matul dawn l-aħħar snin kien qed jiżdied</w:t>
      </w:r>
      <w:r>
        <w:rPr>
          <w:rFonts w:eastAsia="Calibri"/>
          <w:noProof/>
          <w:vertAlign w:val="superscript"/>
          <w:lang w:eastAsia="en-US"/>
        </w:rPr>
        <w:footnoteReference w:id="106"/>
      </w:r>
      <w:r>
        <w:rPr>
          <w:noProof/>
        </w:rPr>
        <w:t>.</w:t>
      </w:r>
    </w:p>
    <w:p>
      <w:pPr>
        <w:rPr>
          <w:rFonts w:eastAsia="Calibri"/>
          <w:b/>
          <w:noProof/>
        </w:rPr>
      </w:pPr>
      <w:r>
        <w:rPr>
          <w:b/>
          <w:noProof/>
        </w:rPr>
        <w:t>Leġiżlazzjoni ġdida emendat ir-reġim applikabbli għad-ditti legali.</w:t>
      </w:r>
      <w:r>
        <w:rPr>
          <w:noProof/>
        </w:rPr>
        <w:t xml:space="preserve"> Fi Frar 2021, ġew introdotti emendi fl-Att dwar l-Avukatura, li jagħmluha possibbli li jitwaqqfu kumpaniji ta’ avukat bi proprjetarju uniku, u neħħew il-projbizzjoni li l-avukati jservu bħala maniġers u diretturi eżekuttivi ta’ kumpaniji kummerċjali</w:t>
      </w:r>
      <w:r>
        <w:rPr>
          <w:rStyle w:val="FootnoteReference"/>
          <w:rFonts w:eastAsia="Calibri"/>
          <w:noProof/>
        </w:rPr>
        <w:footnoteReference w:id="107"/>
      </w:r>
      <w:r>
        <w:rPr>
          <w:noProof/>
        </w:rPr>
        <w:t xml:space="preserve">. Dawn l-emendi joħolqu l-opportunità għat-twaqqif ta’ aktar ditti legali, li min-naħa tagħhom iżidu l-kompetizzjoni bejn l-avukati u jistgħu jippermettu aċċess akbar għall-operaturi fil-qasam tal-ġustizzja. </w:t>
      </w:r>
    </w:p>
    <w:p>
      <w:pPr>
        <w:keepNext/>
        <w:rPr>
          <w:b/>
          <w:noProof/>
          <w:szCs w:val="24"/>
        </w:rPr>
      </w:pPr>
      <w:r>
        <w:rPr>
          <w:b/>
          <w:noProof/>
          <w:szCs w:val="24"/>
        </w:rPr>
        <w:t>Effiċjenza</w:t>
      </w:r>
    </w:p>
    <w:p>
      <w:pPr>
        <w:rPr>
          <w:rFonts w:eastAsia="Calibri"/>
          <w:b/>
          <w:noProof/>
        </w:rPr>
      </w:pPr>
      <w:r>
        <w:rPr>
          <w:b/>
          <w:noProof/>
        </w:rPr>
        <w:t xml:space="preserve">L-effiċjenza tal-ġustizzja amministrattiva qed tkompli titjieb. </w:t>
      </w:r>
      <w:r>
        <w:rPr>
          <w:noProof/>
        </w:rPr>
        <w:t>Il-prestazzjoni tal-qrati amministrattivi fir-rigward tat-tul tal-proċedimenti hija fost l-aktar effiċjenti fl-UE</w:t>
      </w:r>
      <w:r>
        <w:rPr>
          <w:rStyle w:val="FootnoteReference"/>
          <w:rFonts w:eastAsia="Calibri"/>
          <w:noProof/>
          <w:lang w:eastAsia="en-US"/>
        </w:rPr>
        <w:footnoteReference w:id="108"/>
      </w:r>
      <w:r>
        <w:rPr>
          <w:noProof/>
        </w:rPr>
        <w:t xml:space="preserve">. Madankollu, in-nuqqas ta’ </w:t>
      </w:r>
      <w:r>
        <w:rPr>
          <w:i/>
          <w:iCs/>
          <w:noProof/>
        </w:rPr>
        <w:t>data</w:t>
      </w:r>
      <w:r>
        <w:rPr>
          <w:noProof/>
        </w:rPr>
        <w:t xml:space="preserve"> għall-effiċjenza ta’ kawżi ċivili u kummerċjali kontenzjużi u mhux kontenzjużi (qrati tal-ewwel istanza u tat-tieni istanza) ma jippermettix evalwazzjoni xierqa tal-effiċjenza ġenerali tas-sistema ġudizzjarja</w:t>
      </w:r>
      <w:r>
        <w:rPr>
          <w:rFonts w:eastAsia="Calibri"/>
          <w:noProof/>
          <w:vertAlign w:val="superscript"/>
          <w:lang w:eastAsia="en-US"/>
        </w:rPr>
        <w:footnoteReference w:id="109"/>
      </w:r>
      <w:r>
        <w:rPr>
          <w:noProof/>
        </w:rPr>
        <w:t>. Fir-rigward tat-tul tal-proċedimenti fil-Qorti Suprema tal-Kassazzjoni, il-Bulgarija għad għandha prestazzjoni tajba meta mqabbla mal-Istati Membri l-oħrajn</w:t>
      </w:r>
      <w:r>
        <w:rPr>
          <w:rFonts w:eastAsia="Calibri"/>
          <w:noProof/>
          <w:vertAlign w:val="superscript"/>
          <w:lang w:eastAsia="en-US"/>
        </w:rPr>
        <w:footnoteReference w:id="110"/>
      </w:r>
      <w:r>
        <w:rPr>
          <w:noProof/>
        </w:rPr>
        <w:t>. Barra minn hekk, fir-rigward tal-effiċjenza f’oqsma speċifiċi tal-liġi tal-UE, il-proċedimenti jiġu riżolti malajr fil-qasam tal-komunikazzjoni elettronika u l-protezzjoni tal-konsumatur</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Il-Qafas kontra l-korruzzjoni</w:t>
      </w:r>
    </w:p>
    <w:p>
      <w:pPr>
        <w:rPr>
          <w:rFonts w:eastAsiaTheme="minorEastAsia"/>
          <w:noProof/>
        </w:rPr>
      </w:pPr>
      <w:r>
        <w:rPr>
          <w:noProof/>
        </w:rPr>
        <w:t>Wara r-riforma komprensiva tal-2017 u l-2018, il-Bulgarija stabbiliet il-Kummissjoni għall-Ġlieda kontra l-Korruzzjoni u l-Konfiska tal-Assi Illegali (minn issa ’l quddiem il-Kummissjoni ta’ kontra l-Korruzzjoni). Din il-Kummissjoni hija prinċipalment responsabbli kemm għall-azzjonijiet preventivi kif ukoll għal dawk repressivi rigward il-korruzzjoni ta’ profil għoli, għaż-żamma u l-ġestjoni tar-reġistru pubbliku tad-dikjarazzjonijiet tal-assi, għall-monitoraġġ u l-għoti ta’ pariri dwar kwistjonijiet relatati mal-kunflitt ta’ interessi kif ukoll għall-konfiska ta’ assi akkwistati illegalment.</w:t>
      </w:r>
      <w:r>
        <w:rPr>
          <w:noProof/>
          <w:bdr w:val="none" w:sz="0" w:space="0" w:color="auto" w:frame="1"/>
        </w:rPr>
        <w:t xml:space="preserve"> </w:t>
      </w:r>
      <w:r>
        <w:rPr>
          <w:noProof/>
        </w:rPr>
        <w:t xml:space="preserve">Twettaq ukoll valutazzjonijiet tar-riskju ta’ korruzzjoni f’livell istituzzjonali sabiex tiżviluppa pjanijiet ta’ azzjoni mfassla apposta għall-integrità tal-istituzzjonijiet. Wara din il-valutazzjoni, ir-rakkomandazzjonijiet mogħtija lill-istituzzjonijiet pubbliċi huma vinkolanti u l-azzjonijiet ta’ segwitu għandhom jiġu rrappurtati regolarment lill-Kummissjoni ta’ Kontra l-Korruzzjoni. Il-kompetenza għall-każijiet ta’ korruzzjoni fil-livelli għoljin ġiet ittrasferita lill-Qorti Kriminali Speċjalizzata filwaqt li l-investigazzjoni ta’ dawn il-każijiet titwettaq taħt is-superviżjoni tal-Uffiċċju tal-Prosekutur Speċjalizzat. </w:t>
      </w:r>
    </w:p>
    <w:p>
      <w:pPr>
        <w:shd w:val="clear" w:color="auto" w:fill="FFFFFF" w:themeFill="background1"/>
        <w:rPr>
          <w:noProof/>
        </w:rPr>
      </w:pPr>
      <w:r>
        <w:rPr>
          <w:b/>
          <w:noProof/>
        </w:rPr>
        <w:t>Il-perċezzjoni fost l-esperti u l-eżekuttivi tan-negozju hija li l-livell ta’ korruzzjoni fis-settur pubbliku għadu għoli.</w:t>
      </w:r>
      <w:r>
        <w:rPr>
          <w:noProof/>
        </w:rPr>
        <w:t xml:space="preserve"> Fl-Indiċi tal-Perċezzjoni tal-Korruzzjoni għall-2020 (il-Corruption Perceptions Index) ta’ Transparency International, il-Bulgarija ġabet 44/100 u tinsab fid-19-il pożizzjoni fl-Unjoni Ewropea u fis-69 pożizzjoni fid-dinja</w:t>
      </w:r>
      <w:r>
        <w:rPr>
          <w:rStyle w:val="FootnoteReference"/>
          <w:bCs/>
          <w:noProof/>
        </w:rPr>
        <w:footnoteReference w:id="112"/>
      </w:r>
      <w:r>
        <w:rPr>
          <w:noProof/>
        </w:rPr>
        <w:t>. Din il-perċezzjoni kienet relattivament stabbli</w:t>
      </w:r>
      <w:r>
        <w:rPr>
          <w:noProof/>
          <w:vertAlign w:val="superscript"/>
        </w:rPr>
        <w:footnoteReference w:id="113"/>
      </w:r>
      <w:r>
        <w:rPr>
          <w:noProof/>
        </w:rPr>
        <w:t xml:space="preserve"> matul l-aħħar ħames snin</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Il-Kummissjoni ta’ Kontra l-Korruzzjoni kompliet tissimplifika l-istruttura organizzattiva tagħha. </w:t>
      </w:r>
      <w:r>
        <w:rPr>
          <w:noProof/>
        </w:rPr>
        <w:t>Hija rrazzjonalizzat ir-riżorsi finanzjarji, li żdiedu fil-bidu tal-2021</w:t>
      </w:r>
      <w:r>
        <w:rPr>
          <w:rStyle w:val="FootnoteReference"/>
          <w:rFonts w:eastAsiaTheme="minorEastAsia"/>
          <w:noProof/>
          <w:lang w:eastAsia="en-US"/>
        </w:rPr>
        <w:footnoteReference w:id="115"/>
      </w:r>
      <w:r>
        <w:rPr>
          <w:noProof/>
        </w:rPr>
        <w:t>. Hija kompliet ukoll iżżid il-persunal tagħha, inkluż permezz ta’ reklutaġġi ġodda ta’ spetturi fid-direttorat responsabbli mill-ġlieda kontra l-korruzzjoni. Fl-2020, il-Kummissjoni ta’ Kontra l-Korruzzjoni kkonfiskat EUR 6,2 miljun</w:t>
      </w:r>
      <w:r>
        <w:rPr>
          <w:rStyle w:val="FootnoteReference"/>
          <w:rFonts w:eastAsiaTheme="minorEastAsia"/>
          <w:noProof/>
          <w:lang w:eastAsia="en-US"/>
        </w:rPr>
        <w:footnoteReference w:id="116"/>
      </w:r>
      <w:r>
        <w:rPr>
          <w:noProof/>
        </w:rPr>
        <w:t xml:space="preserve"> ta’ proprjetajiet akkwistati illegalment, filwaqt li 30 individwu ġew sanzjonati għall-kunflitt ta’ interess. Meta mqabbel mal-2019, kien hemm tnaqqis (ta’ madwar 20 %) fl-għadd ta’ spezzjonijiet imwettqa kif ukoll fir-rapporti li waslu dwar l-allegat ksur relatat mal-korruzzjoni</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L-istrateġija l-ġdida kontra l-korruzzjoni għall-2021-2027 ġiet adottata f’Marzu 2021</w:t>
      </w:r>
      <w:r>
        <w:rPr>
          <w:noProof/>
        </w:rPr>
        <w:t>. Abbażi tat-tagħlimiet meħuda mill-istrateġija preċedenti, ġew stabbiliti prijoritajiet ġodda fir-rigward tas-setturi b’riskju għoli, inkluż it-tisħiħ tal-kapaċità għall-ġlieda kontra l-korruzzjoni; żieda fl-obbligu ta’ rendikont tal-awtoritajiet lokali; u l-ħolqien ta’ ambjent kontra l-korruzzjoni li kapaċi jirreaġixxi fil-ħin. L-istrateġija fiha wkoll lista ta’ għanijiet rilevanti, indikaturi tal-prestazzjoni, u entitajiet ta’ implimentazzjoni responsabbli</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bCs/>
          <w:noProof/>
        </w:rPr>
        <w:t xml:space="preserve">Il-pjan </w:t>
      </w:r>
      <w:r>
        <w:rPr>
          <w:b/>
          <w:noProof/>
        </w:rPr>
        <w:t xml:space="preserve">ta’ Azzjoni adottat f’Novembru 2020 biex jiġu indirizzati ċerti sfidi indikati fir-Rapport tal-2020 dwar l-Istat tad-Dritt ikopri ukoll kwistjonijiet relatati mal-korruzzjoni. </w:t>
      </w:r>
      <w:r>
        <w:rPr>
          <w:noProof/>
        </w:rPr>
        <w:t xml:space="preserve">Il-Pjan ta’ Azzjoni għandu l-għan li jtejjeb l-investigazzjonijiet u jkompli jsaħħaħ l-operazzjonijiet tal-Kummissjoni ta’ Kontra l-Korruzzjoni. Barra minn hekk, kif imħabbar fil-Pjan ta’ Azzjoni, għadu qed jiġi analizzat kif tista’ titjieb l-effiċjenza tal-investigazzjonijiet u tal-proċessi. </w:t>
      </w:r>
      <w:r>
        <w:rPr>
          <w:noProof/>
          <w:szCs w:val="24"/>
          <w:bdr w:val="none" w:sz="0" w:space="0" w:color="auto" w:frame="1"/>
        </w:rPr>
        <w:t>Fit-30 ta’ Marzu 2021, grupp ta’ ħidma ngħata l-kompitu li jirrakkomanda bidliet fil-Kodiċi Kriminali sabiex titjieb l-effiċjenza tal-investigazzjonijiet u l-proċessi</w:t>
      </w:r>
      <w:r>
        <w:rPr>
          <w:rStyle w:val="FootnoteReference"/>
          <w:rFonts w:eastAsiaTheme="minorEastAsia"/>
          <w:noProof/>
          <w:szCs w:val="24"/>
          <w:bdr w:val="none" w:sz="0" w:space="0" w:color="auto" w:frame="1"/>
          <w:lang w:eastAsia="en-US"/>
        </w:rPr>
        <w:footnoteReference w:id="119"/>
      </w:r>
      <w:r>
        <w:rPr>
          <w:noProof/>
          <w:szCs w:val="24"/>
          <w:bdr w:val="none" w:sz="0" w:space="0" w:color="auto" w:frame="1"/>
        </w:rPr>
        <w:t>.</w:t>
      </w:r>
    </w:p>
    <w:p>
      <w:pPr>
        <w:rPr>
          <w:rFonts w:eastAsiaTheme="minorEastAsia"/>
          <w:noProof/>
          <w:bdr w:val="none" w:sz="0" w:space="0" w:color="auto" w:frame="1"/>
        </w:rPr>
      </w:pPr>
      <w:r>
        <w:rPr>
          <w:b/>
          <w:bCs/>
          <w:noProof/>
        </w:rPr>
        <w:t>Minkejja żieda fl-attività investigattiva, ir-riżultati f’kundanni finali ta’ korruzzjoni f’livell għoli għadhom baxxi mingħajr rekord solidu ta’ kundanni finali</w:t>
      </w:r>
      <w:r>
        <w:rPr>
          <w:noProof/>
        </w:rPr>
        <w:t>. Fl-2020, inħarġu 33 deċiżjoni tal-Qorti Suprema tal-Kassazzjoni dwar każijiet ta’ korruzzjoni ġenerali. F’19-il każ id-deċiżjonijiet ġew ikkonfermati, fi 8 każijiet l-atti tal-qorti tal-appell ġew revokati u mgħoddija lura biex jerġgħu jitqiesu, f’erba’ każijiet id-deċiżjonijiet tal-istanza tal-appell ġew emendati u fi tnejn minnhom il-proċedimenti kriminali reġgħu bdew</w:t>
      </w:r>
      <w:r>
        <w:rPr>
          <w:rStyle w:val="FootnoteReference"/>
          <w:rFonts w:eastAsiaTheme="minorEastAsia"/>
          <w:noProof/>
          <w:lang w:eastAsia="en-US"/>
        </w:rPr>
        <w:footnoteReference w:id="120"/>
      </w:r>
      <w:r>
        <w:rPr>
          <w:noProof/>
        </w:rPr>
        <w:t>. Fis-17 ta’ Diċembru 2020, l-OLAF irrakkomanda li jiġu rkuprati kważi EUR 6 miljun wara l-allegat abbuż ta’ poter f’ministeru Bulgaru</w:t>
      </w:r>
      <w:r>
        <w:rPr>
          <w:rStyle w:val="FootnoteReference"/>
          <w:noProof/>
        </w:rPr>
        <w:footnoteReference w:id="121"/>
      </w:r>
      <w:r>
        <w:rPr>
          <w:noProof/>
        </w:rPr>
        <w:t>. Fl-aħħar nett, għad irid jiġi stabbilit rekord sod ta’ kundanni finali f’każijiet ta’ korruzzjoni f’livell għoli</w:t>
      </w:r>
      <w:r>
        <w:rPr>
          <w:rStyle w:val="FootnoteReference"/>
          <w:noProof/>
        </w:rPr>
        <w:footnoteReference w:id="122"/>
      </w:r>
      <w:r>
        <w:rPr>
          <w:noProof/>
        </w:rPr>
        <w:t>.</w:t>
      </w:r>
    </w:p>
    <w:p>
      <w:pPr>
        <w:rPr>
          <w:rFonts w:eastAsiaTheme="minorEastAsia"/>
          <w:noProof/>
          <w:bdr w:val="none" w:sz="0" w:space="0" w:color="auto" w:frame="1"/>
        </w:rPr>
      </w:pPr>
      <w:r>
        <w:rPr>
          <w:b/>
          <w:bCs/>
          <w:noProof/>
        </w:rPr>
        <w:t>Hemm evidenza limitata dwar l-effettività tal-miżuri relatati mal-integrità tal-amministrazzjoni pubblika.</w:t>
      </w:r>
      <w:r>
        <w:rPr>
          <w:noProof/>
        </w:rPr>
        <w:t xml:space="preserve"> L-infurzar tal-kodiċi ta’ kondotta tal-impjegati taċ-ċivil</w:t>
      </w:r>
      <w:r>
        <w:rPr>
          <w:rFonts w:eastAsiaTheme="minorEastAsia"/>
          <w:noProof/>
          <w:vertAlign w:val="superscript"/>
          <w:lang w:eastAsia="en-US"/>
        </w:rPr>
        <w:footnoteReference w:id="123"/>
      </w:r>
      <w:r>
        <w:rPr>
          <w:noProof/>
        </w:rPr>
        <w:t xml:space="preserve"> huwa taħt ir-responsabbiltà tal-kummissjonijiet dixxiplinarji istituzzjonali fi ħdan kull servizz pubbliku. L-iżvilupp ta’ standards etiċi ta’ kondotta ta’ uffiċjali għolja (inklużi ministri u sindki), sistemi għall-verifika tal-integrità u għall-assistenza fl-implimentazzjoni tagħhom jaqgħu taħt il-kompetenza tal-Kummissjoni ta’ Kontra l-Korruzzjoni</w:t>
      </w:r>
      <w:r>
        <w:rPr>
          <w:rStyle w:val="FootnoteReference"/>
          <w:rFonts w:eastAsiaTheme="minorEastAsia"/>
          <w:noProof/>
          <w:lang w:eastAsia="en-US"/>
        </w:rPr>
        <w:footnoteReference w:id="124"/>
      </w:r>
      <w:r>
        <w:rPr>
          <w:noProof/>
        </w:rPr>
        <w:t>. Id-dispożizzjonijiet etiċi għall-membri tal-Parlament huma stabbiliti fir-regoli ta’ organizzazzjoni u ta’ proċedura tal-Assemblea Nazzjonali</w:t>
      </w:r>
      <w:r>
        <w:rPr>
          <w:rFonts w:eastAsiaTheme="minorEastAsia"/>
          <w:noProof/>
          <w:vertAlign w:val="superscript"/>
          <w:lang w:eastAsia="en-US"/>
        </w:rPr>
        <w:footnoteReference w:id="125"/>
      </w:r>
      <w:r>
        <w:rPr>
          <w:noProof/>
        </w:rPr>
        <w:t>, li l-implimentazzjoni tagħha hija r-responsabbiltà ta’ kumitat tal-Assemblea Nazzjonali. Filwaqt li d-dispożizzjonijiet legali huma fis-seħħ, ma hemm l-ebda evidenza fattwali tal-implimentazzjoni jew tal-effettività tagħhom</w:t>
      </w:r>
      <w:r>
        <w:rPr>
          <w:rFonts w:eastAsiaTheme="minorEastAsia"/>
          <w:noProof/>
          <w:vertAlign w:val="superscript"/>
          <w:lang w:eastAsia="en-US"/>
        </w:rPr>
        <w:footnoteReference w:id="126"/>
      </w:r>
      <w:r>
        <w:rPr>
          <w:noProof/>
        </w:rPr>
        <w:t xml:space="preserve">. Fir-rigward tal-membri tal-ġudikatura, </w:t>
      </w:r>
      <w:r>
        <w:rPr>
          <w:noProof/>
          <w:bdr w:val="none" w:sz="0" w:space="0" w:color="auto" w:frame="1"/>
        </w:rPr>
        <w:t xml:space="preserve">la hemm evidenza li qed jiġi pprovdut taħriġ kontra l-korruzzjoni u lanqas li ġie stabbilit kumitat konsultattiv għal kwistjonijiet relatati mal-etika. </w:t>
      </w:r>
      <w:r>
        <w:rPr>
          <w:noProof/>
        </w:rPr>
        <w:t xml:space="preserve">Fir-rigward tal-forza tal-pulizija, mill-2021, l-ispettorat </w:t>
      </w:r>
      <w:r>
        <w:rPr>
          <w:noProof/>
          <w:bdr w:val="none" w:sz="0" w:space="0" w:color="auto" w:frame="1"/>
        </w:rPr>
        <w:t>tal-Ministeru tal-Intern qed juża sistema ġdida</w:t>
      </w:r>
      <w:r>
        <w:rPr>
          <w:noProof/>
        </w:rPr>
        <w:t xml:space="preserve"> </w:t>
      </w:r>
      <w:r>
        <w:rPr>
          <w:noProof/>
          <w:bdr w:val="none" w:sz="0" w:space="0" w:color="auto" w:frame="1"/>
        </w:rPr>
        <w:t>għar-reġistrazzjoni bil-vidjo ta’ azzjonijiet minn uffiċjali tas-sigurtà u waqt pattulji fit-triq</w:t>
      </w:r>
      <w:r>
        <w:rPr>
          <w:rStyle w:val="FootnoteReference"/>
          <w:rFonts w:eastAsiaTheme="minorEastAsia"/>
          <w:noProof/>
          <w:bdr w:val="none" w:sz="0" w:space="0" w:color="auto" w:frame="1"/>
          <w:lang w:eastAsia="en-US"/>
        </w:rPr>
        <w:footnoteReference w:id="127"/>
      </w:r>
      <w:r>
        <w:rPr>
          <w:noProof/>
          <w:bdr w:val="none" w:sz="0" w:space="0" w:color="auto" w:frame="1"/>
        </w:rPr>
        <w:t xml:space="preserve">. </w:t>
      </w:r>
      <w:r>
        <w:rPr>
          <w:noProof/>
        </w:rPr>
        <w:t>Intużat evidenza dwar il-ksur tar-regoli tal-integrità, inkluża korruzzjoni, miġbura permezz ta’ strument għar-reġistrazzjoni bil-vidjo, biex jiġu ddixxiplinati, sanzjonati jew ikkundannati uffiċjali tal-pulizija minn dipartimenti differenti</w:t>
      </w:r>
      <w:r>
        <w:rPr>
          <w:rFonts w:eastAsiaTheme="minorEastAsia"/>
          <w:noProof/>
          <w:vertAlign w:val="superscript"/>
          <w:lang w:eastAsia="en-US"/>
        </w:rPr>
        <w:footnoteReference w:id="128"/>
      </w:r>
      <w:r>
        <w:rPr>
          <w:noProof/>
        </w:rPr>
        <w:t>.</w:t>
      </w:r>
    </w:p>
    <w:p>
      <w:pPr>
        <w:rPr>
          <w:noProof/>
          <w:szCs w:val="24"/>
        </w:rPr>
      </w:pPr>
      <w:r>
        <w:rPr>
          <w:b/>
          <w:noProof/>
          <w:bdr w:val="none" w:sz="0" w:space="0" w:color="auto" w:frame="1"/>
        </w:rPr>
        <w:t>Hemm fis-seħħ sistema ta’ verifika għad-dikjarazzjoni tal-assi u l-kunflitti ta’ interess.</w:t>
      </w:r>
      <w:r>
        <w:rPr>
          <w:noProof/>
          <w:bdr w:val="none" w:sz="0" w:space="0" w:color="auto" w:frame="1"/>
        </w:rPr>
        <w:t xml:space="preserve"> </w:t>
      </w:r>
      <w:r>
        <w:rPr>
          <w:noProof/>
        </w:rPr>
        <w:t>Fl-2020, il-Kummissjoni ta’ Kontra l-Korruzzjoni wettqet 21,587 verifika ta’ dikjarazzjonijiet ta’ proprjetà u ta’ interessi ta’ persuni li kellhom pożizzjonijiet pubbliċi għolja (meta mqabbla ma’ 9,900 verifika mwettqa fl-2019), inklużi dawk ta’ persuni li pparteċipaw fl-elezzjonijiet lokali</w:t>
      </w:r>
      <w:r>
        <w:rPr>
          <w:rStyle w:val="FootnoteReference"/>
          <w:noProof/>
          <w:szCs w:val="24"/>
          <w:lang w:bidi="en-US"/>
        </w:rPr>
        <w:footnoteReference w:id="129"/>
      </w:r>
      <w:r>
        <w:rPr>
          <w:noProof/>
        </w:rPr>
        <w:t>. Id-dikjarazzjonijiet huma aċċessibbli għall-pubbliku permezz tar-Reġistru tad-Detenturi ta’ Karigi Pubbliċi Għoljin fuq il-paġna web tal-Kummissjoni ta’ Kontra l-Korruzzjoni. Miżuri ta’ kunflitt ta’ interess u inkompatibbiltà għall-impjegati taċ-ċivil (applikabbli għall-impjegati tal-amministrazzjoni tal-gvern ċentrali u lokali) huma definiti fl-Att dwar l-Impjegati taċ-Ċivil, il-Kodiċi tax-Xogħol, l-Att tal-Ministeru tal-Intern, l-Att dwar l-Aġenzija tal-Istat għas-Sigurtà Nazzjonali, l-Att dwar id-Dwana u liġijiet organiċi oħra</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rPr>
        <w:t>Il-lobbying għad ma għandux regolamentazzjoni speċifika.</w:t>
      </w:r>
      <w:r>
        <w:rPr>
          <w:rFonts w:asciiTheme="minorHAnsi" w:hAnsiTheme="minorHAnsi"/>
          <w:noProof/>
          <w:color w:val="000000"/>
          <w:sz w:val="22"/>
          <w:szCs w:val="22"/>
          <w:bdr w:val="none" w:sz="0" w:space="0" w:color="auto" w:frame="1"/>
        </w:rPr>
        <w:t xml:space="preserve"> </w:t>
      </w:r>
      <w:r>
        <w:rPr>
          <w:noProof/>
        </w:rPr>
        <w:t>Għalkemm ir-regolmentazzjoni tal-lobbying hija parti mill-pjan ta’ azzjoni nazzjonali bħala rispons għar-Rapport tal-2020 dwar l-Istat tad-Dritt</w:t>
      </w:r>
      <w:r>
        <w:rPr>
          <w:rStyle w:val="FootnoteReference"/>
          <w:rFonts w:eastAsiaTheme="minorEastAsia"/>
          <w:noProof/>
          <w:bdr w:val="none" w:sz="0" w:space="0" w:color="auto" w:frame="1"/>
          <w:lang w:eastAsia="en-US"/>
        </w:rPr>
        <w:footnoteReference w:id="131"/>
      </w:r>
      <w:r>
        <w:rPr>
          <w:noProof/>
        </w:rPr>
        <w:t>, għad iridu jittieħdu passi konkreti.</w:t>
      </w:r>
      <w:r>
        <w:rPr>
          <w:noProof/>
          <w:bdr w:val="none" w:sz="0" w:space="0" w:color="auto" w:frame="1"/>
        </w:rPr>
        <w:t xml:space="preserve"> </w:t>
      </w:r>
    </w:p>
    <w:p>
      <w:pPr>
        <w:rPr>
          <w:rFonts w:eastAsiaTheme="minorEastAsia"/>
          <w:noProof/>
        </w:rPr>
      </w:pPr>
      <w:r>
        <w:rPr>
          <w:b/>
          <w:bCs/>
          <w:noProof/>
          <w:bdr w:val="none" w:sz="0" w:space="0" w:color="auto" w:frame="1"/>
        </w:rPr>
        <w:t>M</w:t>
      </w:r>
      <w:r>
        <w:rPr>
          <w:b/>
          <w:bCs/>
          <w:noProof/>
        </w:rPr>
        <w:t xml:space="preserve">a hemmx liġi speċifika dwar il-protezzjoni għall-informaturi </w:t>
      </w:r>
      <w:r>
        <w:rPr>
          <w:noProof/>
        </w:rPr>
        <w:t>. Madankollu, il-leġiżlazzjoni kriminali eżistenti</w:t>
      </w:r>
      <w:r>
        <w:rPr>
          <w:rStyle w:val="FootnoteReference"/>
          <w:rFonts w:eastAsiaTheme="minorEastAsia"/>
          <w:noProof/>
          <w:lang w:eastAsia="en-US"/>
        </w:rPr>
        <w:footnoteReference w:id="132"/>
      </w:r>
      <w:r>
        <w:rPr>
          <w:noProof/>
        </w:rPr>
        <w:t xml:space="preserve">, applikabbli għax-xhieda, tipprovdi protezzjoni </w:t>
      </w:r>
      <w:r>
        <w:rPr>
          <w:i/>
          <w:iCs/>
          <w:noProof/>
        </w:rPr>
        <w:t>mutatis mutandis</w:t>
      </w:r>
      <w:r>
        <w:rPr>
          <w:noProof/>
        </w:rPr>
        <w:t xml:space="preserve"> lill-individwi li jirrapportaw każijiet ta’ reati, inkluża l-korruzzjoni. Ilmenti anonimi la huma permessi u lanqas protetti, u għalhekk il-Kummissjoni ta’ Kontra l-Korruzzjoni ma tistax tuża l-informazzjoni li tirċievi minn individwi jew minn sorsi mhux magħrufin. </w:t>
      </w:r>
    </w:p>
    <w:p>
      <w:pPr>
        <w:rPr>
          <w:rFonts w:eastAsiaTheme="minorHAnsi" w:cstheme="minorBidi"/>
          <w:noProof/>
          <w:szCs w:val="22"/>
        </w:rPr>
      </w:pPr>
      <w:r>
        <w:rPr>
          <w:b/>
          <w:bCs/>
          <w:noProof/>
        </w:rPr>
        <w:t xml:space="preserve">L-awtoritajiet ħadu xi miżuri biex jiġġieldu kontra r-riskji ta’ korruzzjoni relatati mal-miżuri tal-pandemija tal-COVID-19. </w:t>
      </w:r>
      <w:r>
        <w:rPr>
          <w:noProof/>
        </w:rPr>
        <w:t>Dawn il-miżuri jkopru setturi b’riskju għoli ta’ korruzzjoni, bħall-kura tas-saħħa u l-akkwist pubbliku.</w:t>
      </w:r>
      <w:r>
        <w:rPr>
          <w:b/>
          <w:bCs/>
          <w:noProof/>
        </w:rPr>
        <w:t xml:space="preserve"> </w:t>
      </w:r>
      <w:r>
        <w:rPr>
          <w:noProof/>
        </w:rPr>
        <w:t>Intużaw proċeduri ta’ akkwist pubbliku urġenti, b’użu sinifikanti ta’ proċeduri nnegozjati mingħajr pubblikazzjoni u bi proċeduri simplifikati (jiġifieri ma’ bejjiegħ uniku jew bejjiegħ li la għandu esperjenza ppruvata qabel u lanqas il-kapaċità korporattiva għall-kuntratt speċifiku). Bħala parti mill-approċċ politiku tal-ġlieda kontra l-pandemija tal-COVID-19, ir-rappreżentanti tal-Ministeru tal-Intern</w:t>
      </w:r>
      <w:r>
        <w:rPr>
          <w:rStyle w:val="FootnoteReference"/>
          <w:noProof/>
          <w:szCs w:val="24"/>
          <w:lang w:bidi="en-US"/>
        </w:rPr>
        <w:footnoteReference w:id="133"/>
      </w:r>
      <w:r>
        <w:rPr>
          <w:noProof/>
        </w:rPr>
        <w:t>, il-Ministeru tas-Saħħa u l-awtoritajiet tal-kontroll jiltaqgħu perjodikament biex jiskambjaw informazzjoni operazzjonali u jiddeċiedu dwar il-miżuri li għandhom jittieħdu, inkluż il-ġlieda kontra r-riskju tal-korruzzjoni. Ġiet stabbilita unità separata fid-Direttorat Ġenerali tal-Ministeru tal-Intern għall-Ġlieda Kontra l-Kriminalità Organizzata biex tiġi miġġielda l-korruzzjoni fil-kura tas-saħħa</w:t>
      </w:r>
      <w:r>
        <w:rPr>
          <w:rStyle w:val="FootnoteReference"/>
          <w:noProof/>
          <w:szCs w:val="24"/>
          <w:lang w:bidi="en-US"/>
        </w:rPr>
        <w:footnoteReference w:id="134"/>
      </w:r>
    </w:p>
    <w:p>
      <w:pPr>
        <w:keepNext/>
        <w:numPr>
          <w:ilvl w:val="0"/>
          <w:numId w:val="21"/>
        </w:numPr>
        <w:ind w:left="490" w:hanging="140"/>
        <w:jc w:val="left"/>
        <w:rPr>
          <w:rFonts w:eastAsiaTheme="minorHAnsi"/>
          <w:b/>
          <w:smallCaps/>
          <w:noProof/>
          <w:szCs w:val="24"/>
          <w:u w:val="single"/>
        </w:rPr>
      </w:pPr>
      <w:r>
        <w:rPr>
          <w:b/>
          <w:smallCaps/>
          <w:noProof/>
          <w:szCs w:val="24"/>
          <w:u w:val="single"/>
        </w:rPr>
        <w:t>Il-pluraliżmu tal-media u l-libertà tal-media</w:t>
      </w:r>
    </w:p>
    <w:p>
      <w:pPr>
        <w:rPr>
          <w:noProof/>
        </w:rPr>
      </w:pPr>
      <w:r>
        <w:rPr>
          <w:noProof/>
        </w:rPr>
        <w:t>Il-qafas legali Bulgaru</w:t>
      </w:r>
      <w:r>
        <w:rPr>
          <w:rStyle w:val="FootnoteReference"/>
          <w:noProof/>
          <w:lang w:eastAsia="fr-FR"/>
        </w:rPr>
        <w:footnoteReference w:id="135"/>
      </w:r>
      <w:r>
        <w:rPr>
          <w:noProof/>
        </w:rPr>
        <w:t xml:space="preserve"> huwa bbażat fuq ġabra ta’ salvagwardji kostituzzjonali u miżuri leġiżlattivi, bħall-Att dwar ir-Radju u t-Televiżjoni</w:t>
      </w:r>
      <w:r>
        <w:rPr>
          <w:noProof/>
          <w:vertAlign w:val="superscript"/>
          <w:lang w:eastAsia="fr-FR"/>
        </w:rPr>
        <w:footnoteReference w:id="136"/>
      </w:r>
      <w:r>
        <w:rPr>
          <w:noProof/>
        </w:rPr>
        <w:t>. L-Att dwar l-Aċċess għall-Informazzjoni Pubblika jirregola l-aċċess għall-informazzjoni pubblika u l-użu mill-ġdid ta’ informazzjoni tas-settur pubbliku. Ir-regolatur tal-media, il-Kunsill għall-Media Elettronika (CEM, Council for Electronic Media), huwa stabbilit mill-Att dwar ir-Radju u t-Televiżjoni u jiffunzjona f’konformità miegħu.</w:t>
      </w:r>
    </w:p>
    <w:p>
      <w:pPr>
        <w:rPr>
          <w:noProof/>
        </w:rPr>
      </w:pPr>
      <w:r>
        <w:rPr>
          <w:b/>
          <w:bCs/>
          <w:noProof/>
        </w:rPr>
        <w:t xml:space="preserve">Ġiet adottata leġiżlazzjoni ġdida biex issaħħaħ l-indipendenza tar-regolatur tal-media – is-CEM – u ttieħdu passi biex jiżdiedu r-riżorsi tiegħu. </w:t>
      </w:r>
      <w:r>
        <w:rPr>
          <w:noProof/>
        </w:rPr>
        <w:t>F’Diċembru 2020, l-Assemblea Nazzjonali adottat l-Att</w:t>
      </w:r>
      <w:r>
        <w:rPr>
          <w:noProof/>
          <w:vertAlign w:val="superscript"/>
          <w:lang w:eastAsia="fr-FR"/>
        </w:rPr>
        <w:footnoteReference w:id="137"/>
      </w:r>
      <w:r>
        <w:rPr>
          <w:noProof/>
        </w:rPr>
        <w:t xml:space="preserve"> li jemenda l-Att dwar ir-Radju u t-Televiżjoni, biex tiġi trasposta d-Direttiva riveduta dwar is-Servizzi tal-Media Awdjoviżiva (AVMSD, Audiovisual media Services Directive). Dan se jsaħħaħ l-indipendenza tas-CEM, b’mod partikolari billi jiżgura li dan isegwi l-interess pubbliku, u jieħu azzjonijiet għall-protezzjoni tal-libertà u tal-pluraliżmu tal-kelma u tal-informazzjoni, kif ukoll għall-indipendenza tal-fornituri tas-servizzi tal-media. Iż-żieda ta’ EUR 574 867 (BGN 1,12 miljun) għall-baġit tas-CEM, prevista fil-Baġit tal-Istat tal-2021, għandha l-għan li tindirizza t-tħassib imqajjem fir-Rapport tal-2020 dwar l-Istat tad-Dritt rigward in-nuqqas ta’ riżorsi meħtieġa tas-CEM biex iwettaq il-kompiti tiegħu b’mod effettiv</w:t>
      </w:r>
      <w:r>
        <w:rPr>
          <w:noProof/>
          <w:vertAlign w:val="superscript"/>
          <w:lang w:bidi="en-US"/>
        </w:rPr>
        <w:footnoteReference w:id="138"/>
      </w:r>
      <w:r>
        <w:rPr>
          <w:noProof/>
        </w:rPr>
        <w:t>. Għalkemm dan huwa żvilupp pożittiv, dan l-aħħar f’Marzu u April 2021 il-Gvern naqqas il-baġit għar-regolatur</w:t>
      </w:r>
      <w:r>
        <w:rPr>
          <w:rStyle w:val="FootnoteReference"/>
          <w:noProof/>
          <w:lang w:bidi="en-US"/>
        </w:rPr>
        <w:footnoteReference w:id="139"/>
      </w:r>
      <w:r>
        <w:rPr>
          <w:noProof/>
        </w:rPr>
        <w:t>. Barra minn hekk, wieħed għad irid jara jekk iż-żieda ppjanata fil-baġit hijiex se tkun adegwata fid-dawl tal-kompiti addizzjonali marbuta mal-implimentazzjoni tal-AVMSD riveduta</w:t>
      </w:r>
      <w:r>
        <w:rPr>
          <w:noProof/>
          <w:szCs w:val="24"/>
          <w:vertAlign w:val="superscript"/>
          <w:lang w:bidi="en-US"/>
        </w:rPr>
        <w:footnoteReference w:id="140"/>
      </w:r>
      <w:r>
        <w:rPr>
          <w:noProof/>
        </w:rPr>
        <w:t xml:space="preserve">. </w:t>
      </w:r>
    </w:p>
    <w:p>
      <w:pPr>
        <w:rPr>
          <w:noProof/>
        </w:rPr>
      </w:pPr>
      <w:r>
        <w:rPr>
          <w:b/>
          <w:noProof/>
        </w:rPr>
        <w:t xml:space="preserve">In-nuqqas ta’ trasparenza tas-sjieda tal-media għadha sors ta’ tħassib. </w:t>
      </w:r>
      <w:r>
        <w:rPr>
          <w:noProof/>
        </w:rPr>
        <w:t>Minkejja l-aġġornamenti regolari, fir-reġistru pubbliku tas-CEM, rigward is-servizzi tal-media lineari u mhux lineari msemmijin fir-rapport tal-2020 dwar l-Istat tad-Dritt, id-</w:t>
      </w:r>
      <w:r>
        <w:rPr>
          <w:i/>
          <w:iCs/>
          <w:noProof/>
        </w:rPr>
        <w:t>data</w:t>
      </w:r>
      <w:r>
        <w:rPr>
          <w:noProof/>
        </w:rPr>
        <w:t xml:space="preserve"> dwar is-sjieda tal-media għadha ma ġietx żvelata lill-pubbliku. Xi partijiet ikkonċernati qajmu t-tħassib li l-kwistjoni tat-trasparenza tal-media tista’ tiġi aggravata mill-konċentrazzjoni sinifikanti fil-media tal-aħbarijiet li seħħet fl-2020</w:t>
      </w:r>
      <w:r>
        <w:rPr>
          <w:noProof/>
          <w:vertAlign w:val="superscript"/>
        </w:rPr>
        <w:footnoteReference w:id="141"/>
      </w:r>
      <w:r>
        <w:rPr>
          <w:noProof/>
        </w:rPr>
        <w:t xml:space="preserve">. </w:t>
      </w:r>
    </w:p>
    <w:p>
      <w:pPr>
        <w:rPr>
          <w:noProof/>
          <w:szCs w:val="24"/>
        </w:rPr>
      </w:pPr>
      <w:r>
        <w:rPr>
          <w:b/>
          <w:noProof/>
        </w:rPr>
        <w:t>In-nuqqas ta’ salvagwardji regolatorji għall-allokazzjoni ġusta u trasparenti tar-reklamar</w:t>
      </w:r>
      <w:r>
        <w:rPr>
          <w:rStyle w:val="FootnoteReference"/>
          <w:b/>
          <w:noProof/>
        </w:rPr>
        <w:footnoteReference w:id="142"/>
      </w:r>
      <w:r>
        <w:rPr>
          <w:b/>
          <w:noProof/>
        </w:rPr>
        <w:t xml:space="preserve"> tal-Istat ikompli jqajjem tħassib</w:t>
      </w:r>
      <w:r>
        <w:rPr>
          <w:noProof/>
        </w:rPr>
        <w:t>. Barra minn hekk, il-partijiet ikkonċernati enfasizzaw li t-trasparenza fl-allokazzjoni tal-finanzjament pubbliku lil strumenti tal-media tibqa’ problematika</w:t>
      </w:r>
      <w:r>
        <w:rPr>
          <w:rStyle w:val="FootnoteReference"/>
          <w:noProof/>
        </w:rPr>
        <w:footnoteReference w:id="143"/>
      </w:r>
      <w:r>
        <w:rPr>
          <w:noProof/>
        </w:rPr>
        <w:t>.</w:t>
      </w:r>
    </w:p>
    <w:p>
      <w:pPr>
        <w:rPr>
          <w:noProof/>
        </w:rPr>
      </w:pPr>
      <w:r>
        <w:rPr>
          <w:b/>
          <w:noProof/>
        </w:rPr>
        <w:t>L-indħil politiku fil-media għadu kwistjoni urġenti</w:t>
      </w:r>
      <w:r>
        <w:rPr>
          <w:noProof/>
        </w:rPr>
        <w:t>. In-nuqqas ta’ leġiżlazzjoni li tipprevjeni lill-politiċi u lill-partiti milli jkollhom mezzi tax-xandir jidher li huwa fattur importanti, u fis-setturi tat-televiżjoni u tal-gazzetti ġie rreġistrat bħala riskju ogħla f’dan ir-rigward</w:t>
      </w:r>
      <w:r>
        <w:rPr>
          <w:rStyle w:val="FootnoteReference"/>
          <w:noProof/>
        </w:rPr>
        <w:footnoteReference w:id="144"/>
      </w:r>
      <w:r>
        <w:rPr>
          <w:noProof/>
        </w:rPr>
        <w:t>. L-awtoritajiet ippreżentaw Pjan ta’ Azzjoni li jinkludi din il-kwistjoni bħala waħda mill-prijoritajiet fil-Programm ta’ Żvilupp Nazzjonali tal-Bulgarija tal-2030</w:t>
      </w:r>
      <w:r>
        <w:rPr>
          <w:rStyle w:val="FootnoteReference"/>
          <w:noProof/>
          <w:lang w:bidi="en-US"/>
        </w:rPr>
        <w:footnoteReference w:id="145"/>
      </w:r>
      <w:r>
        <w:rPr>
          <w:noProof/>
        </w:rPr>
        <w:t xml:space="preserve">. Madankollu, l-ebda miżura konkreta għadha ma ġiet speċifikata. </w:t>
      </w:r>
    </w:p>
    <w:p>
      <w:pPr>
        <w:rPr>
          <w:noProof/>
        </w:rPr>
      </w:pPr>
      <w:r>
        <w:rPr>
          <w:b/>
          <w:noProof/>
        </w:rPr>
        <w:t>Il-pandemija tal-COVID-19 affettwat b’mod negattiv il-pluraliżmu tal-media</w:t>
      </w:r>
      <w:r>
        <w:rPr>
          <w:noProof/>
        </w:rPr>
        <w:t xml:space="preserve"> </w:t>
      </w:r>
      <w:r>
        <w:rPr>
          <w:b/>
          <w:noProof/>
        </w:rPr>
        <w:t>u ma ġiet stabbilita l-ebda miżura li tappoġġa direttament lis-settur tal-media</w:t>
      </w:r>
      <w:r>
        <w:rPr>
          <w:noProof/>
        </w:rPr>
        <w:t>.</w:t>
      </w:r>
      <w:r>
        <w:rPr>
          <w:b/>
          <w:noProof/>
        </w:rPr>
        <w:t xml:space="preserve"> </w:t>
      </w:r>
      <w:r>
        <w:rPr>
          <w:noProof/>
        </w:rPr>
        <w:t>Il-pandemija affettwat il-pluraliżmu tal-midja u l-protezzjoni tal-ġurnalisti, prinċipalment f’termini ekonomiċi, minħabba tnaqqis fis-salarji u dewmien fil-pagamenti, b’impatt serju fuq il-ġurnaliżmu reġjonali, kif enfasizzat mill-partijiet ikkonċernati</w:t>
      </w:r>
      <w:r>
        <w:rPr>
          <w:noProof/>
          <w:vertAlign w:val="superscript"/>
        </w:rPr>
        <w:footnoteReference w:id="146"/>
      </w:r>
      <w:r>
        <w:rPr>
          <w:noProof/>
        </w:rPr>
        <w:t>. Huwa rrappurtat li xi media iżgħar u reġjonali fallew bħala konsegwenza tal-pandemija</w:t>
      </w:r>
      <w:r>
        <w:rPr>
          <w:rStyle w:val="FootnoteReference"/>
          <w:noProof/>
        </w:rPr>
        <w:footnoteReference w:id="147"/>
      </w:r>
      <w:r>
        <w:rPr>
          <w:noProof/>
        </w:rPr>
        <w:t>.</w:t>
      </w:r>
    </w:p>
    <w:p>
      <w:pPr>
        <w:rPr>
          <w:noProof/>
        </w:rPr>
      </w:pPr>
      <w:r>
        <w:rPr>
          <w:b/>
          <w:noProof/>
        </w:rPr>
        <w:t xml:space="preserve">L-ambjent tax-xogħol u s-sikurezza tal-ġurnalisti </w:t>
      </w:r>
      <w:r>
        <w:rPr>
          <w:b/>
          <w:bCs/>
          <w:noProof/>
        </w:rPr>
        <w:t>qed ikomplu jikkawżaw tħassib</w:t>
      </w:r>
      <w:r>
        <w:rPr>
          <w:noProof/>
          <w:vertAlign w:val="superscript"/>
          <w:lang w:eastAsia="fr-FR"/>
        </w:rPr>
        <w:footnoteReference w:id="148"/>
      </w:r>
      <w:r>
        <w:rPr>
          <w:b/>
          <w:bCs/>
          <w:noProof/>
        </w:rPr>
        <w:t>.</w:t>
      </w:r>
      <w:r>
        <w:rPr>
          <w:noProof/>
        </w:rPr>
        <w:t xml:space="preserve"> L-aċċess għall-informazzjoni pubblika għadu diffiċli u l-ġurnalisti għadhom qed iħabbtu wiċċhom ma’ pressjoni politika u mal-awtoċensura</w:t>
      </w:r>
      <w:r>
        <w:rPr>
          <w:noProof/>
          <w:vertAlign w:val="superscript"/>
          <w:lang w:eastAsia="fr-FR"/>
        </w:rPr>
        <w:footnoteReference w:id="149"/>
      </w:r>
      <w:r>
        <w:rPr>
          <w:noProof/>
        </w:rPr>
        <w:t>. Sitt allerti ġodda dwar l-attakki u l-fastidju tal-ġurnalisti ġew irreġistrati fuq il-Pjattaforma tal-Kunsill tal-Ewropa għall-promozzjoni tal-protezzjoni tal-ġurnaliżmu u s-sikurezza tal-ġurnalisti</w:t>
      </w:r>
      <w:r>
        <w:rPr>
          <w:rStyle w:val="FootnoteReference"/>
          <w:noProof/>
          <w:lang w:eastAsia="fr-FR"/>
        </w:rPr>
        <w:footnoteReference w:id="150"/>
      </w:r>
      <w:r>
        <w:rPr>
          <w:noProof/>
        </w:rPr>
        <w:t xml:space="preserve"> mill-aħħar rapport. Dan jinkludi twissija li tirrigwarda l-każ ta’ ġurnalista li allegatament ġie msawwat mill-pulizija u arrestat għal 24 siegħa, li l-uffiċċju tal-Prosekutur irrifjuta li jinvestiga. L-allerti l-oħra jirrigwardaw l-attakki u l-fastidju fuq il-ġurnalisti u fuq atturi oħra tal-media, kif ukoll il-kawżi abbużivi. Barra minn hekk, il-pandemija tal-COVID-19 wasslet għas-sospensjoni tal-ħidma fuq il-pjan direzzjonali, mibgħut f’Marzu 2020 lill-awtoritajiet Bulgari mir-Reporters mingħajr fruntieri, biex jiġi indirizzat it-tħassib dwar il-libertà tal-istampa fil-Bulgarija, inklużi aspetti bħas-sikurezza tal-ġurnalisti, l-aċċess għall-informazzjoni, l-allokazzjoni tar-reklamar tal-Istat u l-finanzjament tal-media</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Kwistjonijiet istituzzjonali oħrajn relatati mas-sistema ta’ kontrokontrolli</w:t>
      </w:r>
    </w:p>
    <w:p>
      <w:pPr>
        <w:rPr>
          <w:noProof/>
          <w:szCs w:val="24"/>
        </w:rPr>
      </w:pPr>
      <w:r>
        <w:rPr>
          <w:noProof/>
        </w:rPr>
        <w:t>Il-Bulgarija hija repubblika demokratika rappreżentattiva bi President elett direttament, Assemblea Nazzjonali unikamerali u Qorti Kostituzzjonali responsabbli mir-rieżami kostituzzjonali tal-liġijiet. L-Assemblea Nazzjonali għandha s-setgħa finali li tieħu deċiżjonijiet meta tadotta l-liġijiet</w:t>
      </w:r>
      <w:r>
        <w:rPr>
          <w:noProof/>
          <w:vertAlign w:val="superscript"/>
        </w:rPr>
        <w:footnoteReference w:id="152"/>
      </w:r>
      <w:r>
        <w:rPr>
          <w:noProof/>
        </w:rPr>
        <w:t xml:space="preserve">. Il-Bulgarija għandha żewġ istituzzjonijiet nazzjonali għad-drittijiet tal-bniedem. L-ewwel, l-Ombudsperson huwa korp kostituzzjonali indipendenti, elett mill-Assemblea Nazzjonali u inkarigat bil-promozzjoni u l-protezzjoni tad-drittijiet tal-bniedem u l-libertajiet fundamentali. It-tieni, il-Kummissjoni għall-protezzjoni kontra d-Diskriminazzjoni hija korp li jimplimenta politiki fl-oqsma tal-ugwaljanza bejn il-ġeneri u n-nondiskriminazzjoni. </w:t>
      </w:r>
    </w:p>
    <w:p>
      <w:pPr>
        <w:rPr>
          <w:b/>
          <w:noProof/>
          <w:szCs w:val="24"/>
        </w:rPr>
      </w:pPr>
      <w:r>
        <w:rPr>
          <w:b/>
          <w:bCs/>
          <w:noProof/>
        </w:rPr>
        <w:t>L-istabbiliment ta’ mekkaniżmu ta’ wara l-monitoraġġ għad irid jiġi finalizzat</w:t>
      </w:r>
      <w:r>
        <w:rPr>
          <w:noProof/>
        </w:rPr>
        <w:t>. Kif irrapportat fir-rapport dwar is-CVM ta’ Ottubru 2019</w:t>
      </w:r>
      <w:r>
        <w:rPr>
          <w:noProof/>
          <w:vertAlign w:val="superscript"/>
        </w:rPr>
        <w:footnoteReference w:id="153"/>
      </w:r>
      <w:r>
        <w:rPr>
          <w:noProof/>
        </w:rPr>
        <w:t>, u msemmi fir-Rapport tal-2020 dwar l-Istat tad-Dritt, il-Gvern iddeċieda li jistabbilixxi mekkaniżmu addizzjonali u aktar komprensiv għall-monitoraġġ domestiku ċċentrat f’Kunsill għall-Koordinazzjoni u l-Kooperazzjoni (“kunsill ta’ wara l-monitoraġġ”). L-għan tal-Kunsill huwa li jivvaluta l-progress tal-Bulgarija fir-riforma ġudizzjarja, il-ġlieda kontra l-korruzzjoni u l-kriminalità organizzata b’mod indipendenti, trasparenti u oġġettiv</w:t>
      </w:r>
      <w:r>
        <w:rPr>
          <w:noProof/>
          <w:vertAlign w:val="superscript"/>
        </w:rPr>
        <w:footnoteReference w:id="154"/>
      </w:r>
      <w:r>
        <w:rPr>
          <w:noProof/>
        </w:rPr>
        <w:t>. L-attività tal-kunsill tibda ġaladarba s-CVM jasal formalment fi tmiemu. Madankollu, l-istabbiliment tal-Kunsill Ċiviku – il-korp tal-Kunsill għall-Koordinazzjoni u l-Kooperazzjoni magħmul minn membri tas-soċjetà ċivili u li għalih inbdiet proċedura ta’ għażla – ġie sospiż, sakemm tittieħed id-deċiżjoni tal-Qorti Amministrattiva Suprema dwar l-appell marbut mal-kwistjoni</w:t>
      </w:r>
      <w:r>
        <w:rPr>
          <w:rStyle w:val="FootnoteReference"/>
          <w:noProof/>
        </w:rPr>
        <w:footnoteReference w:id="155"/>
      </w:r>
      <w:r>
        <w:rPr>
          <w:noProof/>
        </w:rPr>
        <w:t>.</w:t>
      </w:r>
    </w:p>
    <w:p>
      <w:pPr>
        <w:rPr>
          <w:noProof/>
        </w:rPr>
      </w:pPr>
      <w:r>
        <w:rPr>
          <w:b/>
          <w:bCs/>
          <w:noProof/>
        </w:rPr>
        <w:t>Il-pjan</w:t>
      </w:r>
      <w:r>
        <w:rPr>
          <w:b/>
          <w:noProof/>
        </w:rPr>
        <w:t xml:space="preserve"> ta’Azzjoni adottat b’reazzjoni għar-rapport tal-2020 dwar l-istat tad-dritt jinkludi miżuri li jfittxu li jindirizzaw xi sfidi identifikati dwar il-kontrolli u l-bilanċi</w:t>
      </w:r>
      <w:r>
        <w:rPr>
          <w:noProof/>
        </w:rPr>
        <w:t xml:space="preserve">. Dan jinkludi passi biex jiżdiedu l-fondi għall-Istituzzjonijiet Nazzjonali tad-Drittijiet tal-Bniedem (NHRIs), u biex jittejjeb il-proċess tat-teħid tad-deċiżjonijiet. Għal dawn tal-aħħar, ġew previsti żewġ inizjattivi, il-ħolqien ta’ Gwida għall-valutazzjoni tal-impatt </w:t>
      </w:r>
      <w:r>
        <w:rPr>
          <w:i/>
          <w:iCs/>
          <w:noProof/>
        </w:rPr>
        <w:t>ex-post</w:t>
      </w:r>
      <w:r>
        <w:rPr>
          <w:rStyle w:val="FootnoteReference"/>
          <w:noProof/>
          <w:lang w:val="en-IE"/>
        </w:rPr>
        <w:footnoteReference w:id="156"/>
      </w:r>
      <w:r>
        <w:rPr>
          <w:noProof/>
        </w:rPr>
        <w:t xml:space="preserve"> u t-twettiq ta’ valutazzjonijiet tal-impatt </w:t>
      </w:r>
      <w:r>
        <w:rPr>
          <w:i/>
          <w:iCs/>
          <w:noProof/>
        </w:rPr>
        <w:t>ex-post</w:t>
      </w:r>
      <w:r>
        <w:rPr>
          <w:noProof/>
        </w:rPr>
        <w:t xml:space="preserve"> għal-liġijiet ewlenin</w:t>
      </w:r>
      <w:r>
        <w:rPr>
          <w:rStyle w:val="FootnoteReference"/>
          <w:noProof/>
          <w:lang w:val="en-IE"/>
        </w:rPr>
        <w:footnoteReference w:id="157"/>
      </w:r>
      <w:r>
        <w:rPr>
          <w:noProof/>
        </w:rPr>
        <w:t>.</w:t>
      </w:r>
    </w:p>
    <w:p>
      <w:pPr>
        <w:rPr>
          <w:noProof/>
        </w:rPr>
      </w:pPr>
      <w:r>
        <w:rPr>
          <w:b/>
          <w:bCs/>
          <w:noProof/>
        </w:rPr>
        <w:t xml:space="preserve">Studju reċenti jikkonferma l-użu limitat tal-konsultazzjoni pubblika u l-valutazzjoni tal-impatt, speċjalment għal-leġiżlazzjoni proposta mill-Membri tal-Parlament. </w:t>
      </w:r>
      <w:r>
        <w:rPr>
          <w:noProof/>
        </w:rPr>
        <w:t>L-istudju mwettaq miċ-Ċentru Nazzjonali għar-Riċerka Parlamentari, parti mill-Assemblea Nazzjonali, jeżamina l-attività tat-tfassil tal-liġijiet tal-Assemblea Nazzjonali minn April 2017 sa Marzu 2021</w:t>
      </w:r>
      <w:r>
        <w:rPr>
          <w:rStyle w:val="FootnoteReference"/>
          <w:noProof/>
        </w:rPr>
        <w:footnoteReference w:id="158"/>
      </w:r>
      <w:r>
        <w:rPr>
          <w:noProof/>
        </w:rPr>
        <w:t>. Il-konstatazzjonijiet ewlenin jikkonfermaw iż-żieda fl-għadd ta’ abbozzi ta’ liġijiet proposti mill-Membri tal-Parlament</w:t>
      </w:r>
      <w:r>
        <w:rPr>
          <w:rStyle w:val="FootnoteReference"/>
          <w:noProof/>
        </w:rPr>
        <w:footnoteReference w:id="159"/>
      </w:r>
      <w:r>
        <w:rPr>
          <w:noProof/>
        </w:rPr>
        <w:t>, mingħajr il-konsultazzjoni obbligatorja mal-partijiet ikkonċernati, il-valutazzjoni tal-impatt u l-verifika tal-kompatibbiltà mal-leġiżlazzjoni tal-UE</w:t>
      </w:r>
      <w:r>
        <w:rPr>
          <w:rStyle w:val="FootnoteReference"/>
          <w:noProof/>
        </w:rPr>
        <w:footnoteReference w:id="160"/>
      </w:r>
      <w:r>
        <w:rPr>
          <w:noProof/>
        </w:rPr>
        <w:t xml:space="preserve"> li tapplika għall-abbozz ta’ leġiżlazzjoni propost mill-Gvern. L-awtoritajiet impenjaw ruħhom li jaderixxu mar-regoli reċentement imsaħħa</w:t>
      </w:r>
      <w:r>
        <w:rPr>
          <w:noProof/>
          <w:vertAlign w:val="superscript"/>
        </w:rPr>
        <w:footnoteReference w:id="161"/>
      </w:r>
      <w:r>
        <w:rPr>
          <w:noProof/>
        </w:rPr>
        <w:t xml:space="preserve"> u li jkomplu l-prattika tal-Gvern li jissottomettu abbozzi ta’ liġijiet lill-Parlament b’valutazzjoni tal-impatt sħiħa jew parzjali</w:t>
      </w:r>
      <w:r>
        <w:rPr>
          <w:noProof/>
          <w:vertAlign w:val="superscript"/>
        </w:rPr>
        <w:footnoteReference w:id="162"/>
      </w:r>
      <w:r>
        <w:rPr>
          <w:noProof/>
        </w:rPr>
        <w:t>. Madankollu, dawn l-isforzi biex titjieb il-kwalità tal-valutazzjoni tal-impatt u l-konsultazzjonijiet pubbliċi ma jkoprux l-abbozzi ta’ liġijiet proposti mill-Membri tal-Parlament. Barra minn hekk, għalkemm l-abbozzar ta’ valutazzjoni tal-impatt huwa pass obbligatorju fil-proċess leġiżlattiv sa mill-2016, l-intervent leġiżlattiv huwa bbażat biss fuq għadd limitat ta’ abbozzi dwar l-għarfien espert xjentifiku</w:t>
      </w:r>
      <w:r>
        <w:rPr>
          <w:rStyle w:val="FootnoteReference"/>
          <w:noProof/>
        </w:rPr>
        <w:footnoteReference w:id="163"/>
      </w:r>
      <w:r>
        <w:rPr>
          <w:noProof/>
        </w:rPr>
        <w:t xml:space="preserve">. Biex jindirizzaw dan, l-awtoritajiet impenjaw ruħhom li jibdew iwettqu valutazzjonijiet tal-impatt </w:t>
      </w:r>
      <w:r>
        <w:rPr>
          <w:i/>
          <w:iCs/>
          <w:noProof/>
        </w:rPr>
        <w:t>ex-post</w:t>
      </w:r>
      <w:r>
        <w:rPr>
          <w:noProof/>
        </w:rPr>
        <w:t xml:space="preserve"> tal-leġiżlazzjoni ewlenija, li għalihom ġiet adottata Gwida mill-Kunsill tal-Ministri fit-3 ta’ Diċembru 2020</w:t>
      </w:r>
      <w:r>
        <w:rPr>
          <w:rStyle w:val="FootnoteReference"/>
          <w:noProof/>
        </w:rPr>
        <w:footnoteReference w:id="164"/>
      </w:r>
      <w:r>
        <w:rPr>
          <w:noProof/>
        </w:rPr>
        <w:t>. Barra minn hekk, il-konsultazzjoni pubblika u l-feedback tal-partijiet ikkonċernati huma wkoll parti integrali mill-proċess. Madankollu, fil-biċċa l-kbira tal-abbozz tal-leġiżlazzjoni proposta</w:t>
      </w:r>
      <w:r>
        <w:rPr>
          <w:rStyle w:val="FootnoteReference"/>
          <w:noProof/>
        </w:rPr>
        <w:footnoteReference w:id="165"/>
      </w:r>
      <w:r>
        <w:rPr>
          <w:noProof/>
        </w:rPr>
        <w:t xml:space="preserve"> ma hemm l-ebda informazzjoni dwar konsultazzjonijiet pubbliċi jew diskussjonijiet organizzati mill-Membri tal-Parlament jew tal-Gvern biex jiġu determinati l-problemi u r-raġunijiet għall-adozzjoni tal-abbozz ta’ liġi</w:t>
      </w:r>
      <w:r>
        <w:rPr>
          <w:rStyle w:val="FootnoteReference"/>
          <w:noProof/>
        </w:rPr>
        <w:footnoteReference w:id="166"/>
      </w:r>
      <w:r>
        <w:rPr>
          <w:noProof/>
        </w:rPr>
        <w:t>. Barra minn hekk, ir-raġunijiet għall-adozzjoni ta’ liġi inkludew il-fehmiet ta’ xi wħud mill-partijiet ikkonċernati jew tal-partijiet ikkonċernati kollha f’xi ftit mill-abbozzi ta’ liġijiet proposti</w:t>
      </w:r>
      <w:r>
        <w:rPr>
          <w:rStyle w:val="FootnoteReference"/>
          <w:noProof/>
        </w:rPr>
        <w:footnoteReference w:id="167"/>
      </w:r>
      <w:r>
        <w:rPr>
          <w:noProof/>
        </w:rPr>
        <w:t>.</w:t>
      </w:r>
    </w:p>
    <w:p>
      <w:pPr>
        <w:rPr>
          <w:noProof/>
        </w:rPr>
      </w:pPr>
      <w:r>
        <w:rPr>
          <w:b/>
          <w:bCs/>
          <w:noProof/>
        </w:rPr>
        <w:t>Il-prattika tal-introduzzjoni ta’ emendi leġiżlattivi importanti permezz ta’ emendi f’atti legali oħra tkompli tqajjem tħassib.</w:t>
      </w:r>
      <w:r>
        <w:rPr>
          <w:noProof/>
        </w:rPr>
        <w:t xml:space="preserve"> It-teknika leġiżlattiva li jintużaw id-dispożizzjonijiet tranżitorji ta’ att legali biex jiġu introdotti emendi maġġuri f’att mhux relatat ieħor kompliet għaddejja</w:t>
      </w:r>
      <w:r>
        <w:rPr>
          <w:rStyle w:val="FootnoteReference"/>
          <w:noProof/>
        </w:rPr>
        <w:footnoteReference w:id="168"/>
      </w:r>
      <w:r>
        <w:rPr>
          <w:noProof/>
        </w:rPr>
        <w:t>. Dan jikkonferma t-tħassib imqajjem fir-Rapport tal-2020 dwar l-Istat tad-Dritt peress li tali emendi jduru mar-rekwiżiti għall-konsultazzjoni pubblika u l-valutazzjoni tal-impatt</w:t>
      </w:r>
      <w:r>
        <w:rPr>
          <w:rStyle w:val="FootnoteReference"/>
          <w:noProof/>
        </w:rPr>
        <w:footnoteReference w:id="169"/>
      </w:r>
      <w:r>
        <w:rPr>
          <w:noProof/>
        </w:rPr>
        <w:t>. Barra minn hekk, xejra oħra, li ġiet identifikata fir-Rapport tal-2020 dwar l-Istat tad-Dritt, u li għadha tqajjem tħassib, hija l-prattika leġiżlattiva li jiġu adottati emendi kbar bejn l-ewwel u t-tieni qari fl-Assemblea Nazzjonali mingħajr konsultazzjoni pubblika</w:t>
      </w:r>
      <w:r>
        <w:rPr>
          <w:rStyle w:val="FootnoteReference"/>
          <w:noProof/>
        </w:rPr>
        <w:t xml:space="preserve"> </w:t>
      </w:r>
      <w:r>
        <w:rPr>
          <w:rStyle w:val="FootnoteReference"/>
          <w:noProof/>
        </w:rPr>
        <w:footnoteReference w:id="170"/>
      </w:r>
      <w:r>
        <w:rPr>
          <w:noProof/>
        </w:rPr>
        <w:t>.</w:t>
      </w:r>
    </w:p>
    <w:p>
      <w:pPr>
        <w:rPr>
          <w:noProof/>
        </w:rPr>
      </w:pPr>
      <w:r>
        <w:rPr>
          <w:b/>
          <w:bCs/>
          <w:noProof/>
        </w:rPr>
        <w:t>L-istat ta’ emerġenza relatat mal-pandemija tal-COVID-19 għadu fis-seħħ.</w:t>
      </w:r>
      <w:r>
        <w:rPr>
          <w:noProof/>
        </w:rPr>
        <w:t xml:space="preserve"> Wara li ġie adottat l-“istat ta’ emerġenza” mit-13 ta’ Marzu sal-13 ta’ Mejju 2020</w:t>
      </w:r>
      <w:r>
        <w:rPr>
          <w:noProof/>
          <w:vertAlign w:val="superscript"/>
        </w:rPr>
        <w:footnoteReference w:id="171"/>
      </w:r>
      <w:r>
        <w:rPr>
          <w:noProof/>
        </w:rPr>
        <w:t>, fit-12 ta’ Mejju 2020, ġiet adottata emenda fl-Att dwar is-Saħħa</w:t>
      </w:r>
      <w:r>
        <w:rPr>
          <w:noProof/>
          <w:vertAlign w:val="superscript"/>
        </w:rPr>
        <w:footnoteReference w:id="172"/>
      </w:r>
      <w:r>
        <w:rPr>
          <w:noProof/>
        </w:rPr>
        <w:t xml:space="preserve"> li introduċiet stat ġdid ta’ emerġenza (“sitwazzjoni ta’ emerġenza epidemika”)</w:t>
      </w:r>
      <w:r>
        <w:rPr>
          <w:noProof/>
          <w:vertAlign w:val="superscript"/>
        </w:rPr>
        <w:footnoteReference w:id="173"/>
      </w:r>
      <w:r>
        <w:rPr>
          <w:noProof/>
        </w:rPr>
        <w:t>. Fit-13 ta’ Mejju 2020, il-Kunsill tal-Ministri, wara proposta mill-Ministru tas-Saħħa, iddeċieda li jiddikjara sitwazzjoni ta’ emerġenza epidemika għal perjodu ta’ xahar, li ġġeddet regolarment u li attwalment għadha fis-seħħ sal-[31 ta’ Lulju 2021]. Din is-sistema ġdida ta’ emerġenza ġiet rieżaminata mill-Qorti Kostituzzjonali</w:t>
      </w:r>
      <w:r>
        <w:rPr>
          <w:noProof/>
          <w:vertAlign w:val="superscript"/>
        </w:rPr>
        <w:footnoteReference w:id="174"/>
      </w:r>
      <w:r>
        <w:rPr>
          <w:noProof/>
        </w:rPr>
        <w:t xml:space="preserve"> li fit-23 ta’ Lulju 2020 iddeċidiet li s-sistema hija konformi mal-Kostituzzjoni</w:t>
      </w:r>
      <w:r>
        <w:rPr>
          <w:noProof/>
          <w:vertAlign w:val="superscript"/>
        </w:rPr>
        <w:footnoteReference w:id="175"/>
      </w:r>
      <w:r>
        <w:rPr>
          <w:noProof/>
        </w:rPr>
        <w:t xml:space="preserve">. </w:t>
      </w:r>
    </w:p>
    <w:p>
      <w:pPr>
        <w:rPr>
          <w:rFonts w:eastAsiaTheme="minorHAnsi"/>
          <w:noProof/>
          <w:szCs w:val="24"/>
        </w:rPr>
      </w:pPr>
      <w:r>
        <w:rPr>
          <w:b/>
          <w:noProof/>
        </w:rPr>
        <w:t>L-Assemblea Nazzjonali adottat regoli biex tiżgura l-kontinwità waqt il-pandemija tal-COVID-19.</w:t>
      </w:r>
      <w:r>
        <w:rPr>
          <w:noProof/>
        </w:rPr>
        <w:t xml:space="preserve"> Sabiex tadatta għas-sitwazzjoni, l-Assemblea Nazzjonali kompliet il-ħidma regolari tagħha u fis-6 ta’ Novembru 2020 adottat regoli, biż-żieda tal-għażla ta’ parteċipazzjoni b’vidjokonferenza fil-laqgħat plenarji għall-Membri tal-Parlament li jitqiegħdu taħt iżolament jew kwarantina obbligatorja minħabba l-COVID-19</w:t>
      </w:r>
      <w:r>
        <w:rPr>
          <w:rStyle w:val="FootnoteReference"/>
          <w:noProof/>
        </w:rPr>
        <w:footnoteReference w:id="176"/>
      </w:r>
      <w:r>
        <w:rPr>
          <w:noProof/>
        </w:rPr>
        <w:t>. Fit-23 ta’ Novembru 2020, 54 Membru tal-Parlament ikkontestaw il-kostituzzjonalità ta’ dawn ir-regoli quddiem il-qorti Kostituzzjonali</w:t>
      </w:r>
      <w:r>
        <w:rPr>
          <w:rStyle w:val="FootnoteReference"/>
          <w:noProof/>
        </w:rPr>
        <w:footnoteReference w:id="177"/>
      </w:r>
      <w:r>
        <w:rPr>
          <w:noProof/>
        </w:rPr>
        <w:t>, li kkunsidrathom kompatibbli mal-Kostituzzjoni</w:t>
      </w:r>
      <w:r>
        <w:rPr>
          <w:rStyle w:val="FootnoteReference"/>
          <w:noProof/>
        </w:rPr>
        <w:footnoteReference w:id="178"/>
      </w:r>
      <w:r>
        <w:rPr>
          <w:noProof/>
        </w:rPr>
        <w:t>.</w:t>
      </w:r>
    </w:p>
    <w:p>
      <w:pPr>
        <w:rPr>
          <w:noProof/>
        </w:rPr>
      </w:pPr>
      <w:r>
        <w:rPr>
          <w:b/>
          <w:bCs/>
          <w:noProof/>
        </w:rPr>
        <w:t xml:space="preserve">Ir-riżorsi finanzjarji u umani tal-Istituzzjonijiet Nazzjonali tad-Drittijiet tal-Bniedem żdiedu. </w:t>
      </w:r>
      <w:r>
        <w:rPr>
          <w:noProof/>
        </w:rPr>
        <w:t>Kien hemm żidiet fil-baġits tal-Ombudsperson u tal-Kummissjoni għall-Protezzjoni kontra d-Diskriminazzjoni. L-awtoritajiet Bulgari infurmaw li l-previżjoni tal-baġit għall-perjodu 2021–2023 tipprevedi żieda ta’ 10 % fil-fondi tal-persunal għaż-żewġ istituzzjonijiet. Barra minn hekk, fid-dawl tat-titjib tal-kapaċità tal-istituzzjoni tal-Ombudsperson, l-abbozz tal-baġit jipprevedi nefqa addizzjonali</w:t>
      </w:r>
      <w:r>
        <w:rPr>
          <w:rStyle w:val="FootnoteReference"/>
          <w:noProof/>
        </w:rPr>
        <w:footnoteReference w:id="179"/>
      </w:r>
      <w:r>
        <w:rPr>
          <w:noProof/>
        </w:rPr>
        <w:t>.</w:t>
      </w:r>
    </w:p>
    <w:p>
      <w:pPr>
        <w:rPr>
          <w:rFonts w:eastAsiaTheme="minorEastAsia"/>
          <w:noProof/>
        </w:rPr>
      </w:pPr>
      <w:r>
        <w:rPr>
          <w:b/>
          <w:noProof/>
        </w:rPr>
        <w:t xml:space="preserve">L-abbozz tal-leġiżlazzjoni dwar aktar trasparenza fil-finanzjament barrani għall-NGOs ma kompliex jiġi segwit. </w:t>
      </w:r>
      <w:r>
        <w:rPr>
          <w:noProof/>
        </w:rPr>
        <w:t>L-abbozz ta’ liġi li tressaq fit-3 ta’ Lulju 2020</w:t>
      </w:r>
      <w:r>
        <w:rPr>
          <w:rFonts w:eastAsiaTheme="minorEastAsia"/>
          <w:noProof/>
          <w:vertAlign w:val="superscript"/>
          <w:lang w:val="en-IE"/>
        </w:rPr>
        <w:footnoteReference w:id="180"/>
      </w:r>
      <w:r>
        <w:rPr>
          <w:noProof/>
        </w:rPr>
        <w:t xml:space="preserve"> u li kellu l-għan li jimponi obbligi ġodda fuq organizzazzjonijiet mingħajr skop ta’ qligħ kien qajjem tħassib fost il-partijiet ikkonċernati</w:t>
      </w:r>
      <w:r>
        <w:rPr>
          <w:rFonts w:eastAsiaTheme="minorEastAsia"/>
          <w:noProof/>
          <w:vertAlign w:val="superscript"/>
          <w:lang w:val="en-IE"/>
        </w:rPr>
        <w:footnoteReference w:id="181"/>
      </w:r>
      <w:r>
        <w:rPr>
          <w:noProof/>
        </w:rPr>
        <w:t xml:space="preserve"> fir-rigward tal-konformità tiegħu mal-liġi tal-UE</w:t>
      </w:r>
      <w:r>
        <w:rPr>
          <w:rFonts w:eastAsiaTheme="minorEastAsia"/>
          <w:noProof/>
          <w:vertAlign w:val="superscript"/>
          <w:lang w:val="en-IE"/>
        </w:rPr>
        <w:footnoteReference w:id="182"/>
      </w:r>
      <w:r>
        <w:rPr>
          <w:noProof/>
        </w:rPr>
        <w:t>.</w:t>
      </w:r>
      <w:r>
        <w:rPr>
          <w:noProof/>
          <w:vertAlign w:val="superscript"/>
        </w:rPr>
        <w:t xml:space="preserve"> </w:t>
      </w:r>
      <w:r>
        <w:rPr>
          <w:noProof/>
        </w:rPr>
        <w:t>Wara l-pubblikazzjoni tar-Rapport tal-2020 dwar l-Istat tad-Dritt, l-abbozz ta’ liġi ma ġiex diskuss aktar</w:t>
      </w:r>
      <w:r>
        <w:rPr>
          <w:rStyle w:val="FootnoteReference"/>
          <w:rFonts w:eastAsiaTheme="minorEastAsia"/>
          <w:noProof/>
        </w:rPr>
        <w:footnoteReference w:id="183"/>
      </w:r>
      <w:r>
        <w:rPr>
          <w:noProof/>
        </w:rPr>
        <w:t>. Madankollu, l-ispazju ċiviku għadu ristrett</w:t>
      </w:r>
      <w:r>
        <w:rPr>
          <w:rStyle w:val="FootnoteReference"/>
          <w:rFonts w:eastAsiaTheme="minorEastAsia"/>
          <w:noProof/>
          <w:lang w:eastAsia="en-US" w:bidi="en-US"/>
        </w:rPr>
        <w:footnoteReference w:id="184"/>
      </w:r>
      <w:r>
        <w:rPr>
          <w:noProof/>
        </w:rPr>
        <w:t>, u f’xi okkażjonijiet, il-membri tas-soċjetà ċivili jidhru li jinsabu taħt pressjoni, permezz ta’ kampanji ta’ malafama, intimidazzjoni u l-ottika negattiva</w:t>
      </w:r>
      <w:r>
        <w:rPr>
          <w:rStyle w:val="FootnoteReference"/>
          <w:rFonts w:eastAsiaTheme="minorEastAsia"/>
          <w:noProof/>
          <w:lang w:eastAsia="en-US" w:bidi="en-US"/>
        </w:rPr>
        <w:footnoteReference w:id="185"/>
      </w:r>
      <w:r>
        <w:rPr>
          <w:noProof/>
        </w:rPr>
        <w:t>. F’Novembru 2020, fl-okkażjoni tar-Rieżami Perjodiku Universali, il-Bulgarija rċeviet diversi rakkomandazzjonijiet relatati mal-ħtieġa li jitjieb l-ispazju ċiviku u li jiġu indirizzati l-intimidazzjoni u t-theddid</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Anness I:</w:t>
      </w:r>
      <w:r>
        <w:rPr>
          <w:noProof/>
          <w:sz w:val="22"/>
          <w:szCs w:val="22"/>
        </w:rPr>
        <w:t xml:space="preserve"> </w:t>
      </w:r>
      <w:r>
        <w:rPr>
          <w:b/>
          <w:bCs/>
          <w:noProof/>
          <w:sz w:val="22"/>
          <w:szCs w:val="22"/>
        </w:rPr>
        <w:t>Lista ta’ sorsi f’ordni alfabetika*.</w:t>
      </w:r>
    </w:p>
    <w:p>
      <w:pPr>
        <w:spacing w:after="120"/>
        <w:rPr>
          <w:iCs/>
          <w:noProof/>
          <w:sz w:val="22"/>
          <w:szCs w:val="22"/>
        </w:rPr>
      </w:pPr>
      <w:r>
        <w:rPr>
          <w:i/>
          <w:iCs/>
          <w:noProof/>
          <w:sz w:val="22"/>
          <w:szCs w:val="22"/>
        </w:rPr>
        <w:t xml:space="preserve">* Il-lista tal-kontributi li waslu fil-kuntest tal-konsultazzjoni għar-Rapport tal-2021 dwar l-Istat tad-Dritt tinstab fuq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i/>
          <w:noProof/>
          <w:sz w:val="22"/>
          <w:szCs w:val="22"/>
        </w:rPr>
      </w:pPr>
      <w:r>
        <w:rPr>
          <w:noProof/>
          <w:sz w:val="22"/>
          <w:szCs w:val="22"/>
        </w:rPr>
        <w:t xml:space="preserve">Iċ-Ċentru Bulgaru għal-Liġi dwar in-Nonprofitt (2021), </w:t>
      </w:r>
      <w:r>
        <w:rPr>
          <w:i/>
          <w:noProof/>
          <w:sz w:val="22"/>
          <w:szCs w:val="22"/>
        </w:rPr>
        <w:t>Kontribut taċ-Ċentru Bulgaru għal-Liġi dwar in-Nonprofitt għar-Rapport tal-2021 dwar l-Istat tad-Dritt.</w:t>
      </w:r>
    </w:p>
    <w:p>
      <w:pPr>
        <w:spacing w:after="120"/>
        <w:rPr>
          <w:i/>
          <w:noProof/>
          <w:sz w:val="22"/>
          <w:szCs w:val="22"/>
        </w:rPr>
      </w:pPr>
      <w:r>
        <w:rPr>
          <w:noProof/>
          <w:sz w:val="22"/>
          <w:szCs w:val="22"/>
        </w:rPr>
        <w:t xml:space="preserve">Il-Forum tad-Donazzjonijiet tal-Bulgarija (2021), </w:t>
      </w:r>
      <w:r>
        <w:rPr>
          <w:i/>
          <w:noProof/>
          <w:sz w:val="22"/>
          <w:szCs w:val="22"/>
        </w:rPr>
        <w:t>Kontribut mill-Forum tad-Donazzjonijiet tal-Bulgarija għar-Rapport tal-2021 dwar l-Istat tad-Dritt.</w:t>
      </w:r>
    </w:p>
    <w:p>
      <w:pPr>
        <w:spacing w:after="120"/>
        <w:rPr>
          <w:i/>
          <w:noProof/>
          <w:sz w:val="22"/>
          <w:szCs w:val="22"/>
        </w:rPr>
      </w:pPr>
      <w:r>
        <w:rPr>
          <w:noProof/>
          <w:sz w:val="22"/>
          <w:szCs w:val="22"/>
        </w:rPr>
        <w:t xml:space="preserve">Il-Gvern Bulgaru (2021), </w:t>
      </w:r>
      <w:r>
        <w:rPr>
          <w:i/>
          <w:noProof/>
          <w:sz w:val="22"/>
          <w:szCs w:val="22"/>
        </w:rPr>
        <w:t>Kontribut mill-Bulgarija għar-Rapport tal-2021 dwar l-Istat tad-Dritt.</w:t>
      </w:r>
    </w:p>
    <w:p>
      <w:pPr>
        <w:spacing w:after="120"/>
        <w:rPr>
          <w:noProof/>
          <w:sz w:val="22"/>
          <w:szCs w:val="22"/>
        </w:rPr>
      </w:pPr>
      <w:r>
        <w:rPr>
          <w:noProof/>
          <w:sz w:val="22"/>
          <w:szCs w:val="22"/>
        </w:rPr>
        <w:t xml:space="preserve">Il-Gvern Bulgaru (2021), </w:t>
      </w:r>
      <w:r>
        <w:rPr>
          <w:i/>
          <w:noProof/>
          <w:sz w:val="22"/>
          <w:szCs w:val="22"/>
        </w:rPr>
        <w:t xml:space="preserve">L-Abbozz tal-Istrateġija Nazzjonali għall-Prevenzjoni u l-Azzjoni kontra l-Korruzzjoni (2021-2027) </w:t>
      </w:r>
      <w:r>
        <w:rPr>
          <w:noProof/>
          <w:sz w:val="22"/>
          <w:szCs w:val="22"/>
        </w:rPr>
        <w:t>(</w:t>
      </w:r>
      <w:hyperlink r:id="rId23" w:history="1">
        <w:r>
          <w:rPr>
            <w:rStyle w:val="Hyperlink"/>
            <w:noProof/>
            <w:sz w:val="22"/>
            <w:szCs w:val="22"/>
          </w:rPr>
          <w:t>https://www.strategy.bg/PublicConsultations/View.aspx?lang=bg-BG&amp;Id=5828</w:t>
        </w:r>
      </w:hyperlink>
      <w:r>
        <w:rPr>
          <w:noProof/>
          <w:sz w:val="22"/>
          <w:szCs w:val="22"/>
        </w:rPr>
        <w:t>).</w:t>
      </w:r>
    </w:p>
    <w:p>
      <w:pPr>
        <w:spacing w:after="120"/>
        <w:rPr>
          <w:i/>
          <w:noProof/>
          <w:sz w:val="22"/>
          <w:szCs w:val="22"/>
        </w:rPr>
      </w:pPr>
      <w:r>
        <w:rPr>
          <w:noProof/>
          <w:sz w:val="22"/>
          <w:szCs w:val="22"/>
        </w:rPr>
        <w:t xml:space="preserve">Il-Kumitat ta’ Helsinki tal-Bulgarija (2021), </w:t>
      </w:r>
      <w:r>
        <w:rPr>
          <w:i/>
          <w:noProof/>
          <w:sz w:val="22"/>
          <w:szCs w:val="22"/>
        </w:rPr>
        <w:t>Kontribut mill-Kumitat ta’ Helsinki tal-Bulgarija għar-Rapport tal-2021 dwar l-Istat tad-Dritt.</w:t>
      </w:r>
    </w:p>
    <w:p>
      <w:pPr>
        <w:spacing w:after="120"/>
        <w:rPr>
          <w:noProof/>
          <w:sz w:val="22"/>
          <w:szCs w:val="22"/>
        </w:rPr>
      </w:pPr>
      <w:r>
        <w:rPr>
          <w:noProof/>
          <w:sz w:val="22"/>
          <w:szCs w:val="22"/>
        </w:rPr>
        <w:t xml:space="preserve">Il-Fondazzjoni tal-Istitut Bulgaru għall-Inizjattivi Ġuridiċi (2021), </w:t>
      </w:r>
      <w:r>
        <w:rPr>
          <w:i/>
          <w:noProof/>
          <w:sz w:val="22"/>
          <w:szCs w:val="22"/>
        </w:rPr>
        <w:t>Kontribut tal-Fondazzjoni tal-Istitut Bulgaru għall-Inizjattivi Ġuridiċ għar-Rapport tal-2021 dwar l-Istat tad-Dritt.</w:t>
      </w:r>
    </w:p>
    <w:p>
      <w:pPr>
        <w:spacing w:after="120"/>
        <w:rPr>
          <w:noProof/>
          <w:sz w:val="22"/>
          <w:szCs w:val="22"/>
        </w:rPr>
      </w:pPr>
      <w:r>
        <w:rPr>
          <w:noProof/>
          <w:sz w:val="22"/>
          <w:szCs w:val="22"/>
        </w:rPr>
        <w:t xml:space="preserve">Iċ-Ċentru għall-Pluraliżmu tal-Media u l-Libertà tal-Media (2021), </w:t>
      </w:r>
      <w:r>
        <w:rPr>
          <w:i/>
          <w:iCs/>
          <w:noProof/>
          <w:sz w:val="22"/>
          <w:szCs w:val="22"/>
        </w:rPr>
        <w:t>Media pluralism Monitor tal-2021</w:t>
      </w:r>
      <w:r>
        <w:rPr>
          <w:noProof/>
          <w:sz w:val="22"/>
          <w:szCs w:val="22"/>
        </w:rPr>
        <w:t xml:space="preserve"> – </w:t>
      </w:r>
      <w:r>
        <w:rPr>
          <w:i/>
          <w:noProof/>
          <w:sz w:val="22"/>
          <w:szCs w:val="22"/>
        </w:rPr>
        <w:t>ir-Rapport dwar il-Bulgarija</w:t>
      </w:r>
      <w:r>
        <w:rPr>
          <w:noProof/>
          <w:sz w:val="22"/>
          <w:szCs w:val="22"/>
        </w:rPr>
        <w:t>.</w:t>
      </w:r>
    </w:p>
    <w:p>
      <w:pPr>
        <w:spacing w:after="120"/>
        <w:rPr>
          <w:rStyle w:val="Hyperlink"/>
          <w:noProof/>
          <w:sz w:val="22"/>
          <w:szCs w:val="22"/>
        </w:rPr>
      </w:pPr>
      <w:r>
        <w:rPr>
          <w:noProof/>
          <w:sz w:val="22"/>
          <w:szCs w:val="22"/>
        </w:rPr>
        <w:t xml:space="preserve">CEPEJ (2013), </w:t>
      </w:r>
      <w:r>
        <w:rPr>
          <w:i/>
          <w:noProof/>
          <w:sz w:val="22"/>
          <w:szCs w:val="22"/>
        </w:rPr>
        <w:t>Il-Linji Gwida Riveduti dwar il-Ħolqien ta’ Mapep Ġudizzjarji għall-Appoġġ tal-Aċċess għall-Ġustizzja f’Sistema Ġudizzjarja ta’ Kwalità</w:t>
      </w:r>
      <w:r>
        <w:rPr>
          <w:noProof/>
          <w:sz w:val="22"/>
          <w:szCs w:val="22"/>
        </w:rPr>
        <w:t xml:space="preserve"> (</w:t>
      </w:r>
      <w:hyperlink r:id="rId24" w:history="1">
        <w:r>
          <w:rPr>
            <w:rStyle w:val="Hyperlink"/>
            <w:noProof/>
            <w:sz w:val="22"/>
            <w:szCs w:val="22"/>
          </w:rPr>
          <w:t>https://rm.coe.int/european-commission-for-the-efficiency-of-justice-cepej-revised-guidel/168078c492</w:t>
        </w:r>
      </w:hyperlink>
      <w:r>
        <w:rPr>
          <w:rStyle w:val="Hyperlink"/>
          <w:noProof/>
          <w:sz w:val="22"/>
          <w:szCs w:val="22"/>
        </w:rPr>
        <w:t>).</w:t>
      </w:r>
    </w:p>
    <w:p>
      <w:pPr>
        <w:spacing w:after="120"/>
        <w:rPr>
          <w:i/>
          <w:noProof/>
          <w:sz w:val="22"/>
          <w:szCs w:val="22"/>
        </w:rPr>
      </w:pPr>
      <w:r>
        <w:rPr>
          <w:noProof/>
          <w:sz w:val="22"/>
          <w:szCs w:val="22"/>
        </w:rPr>
        <w:t xml:space="preserve">CEPEJ (2020), </w:t>
      </w:r>
      <w:r>
        <w:rPr>
          <w:i/>
          <w:noProof/>
          <w:sz w:val="22"/>
          <w:szCs w:val="22"/>
        </w:rPr>
        <w:t>Studju dwar il-funzjonament tas-sistemi ġudizzjarji fl-Istati Membri tal-UE.</w:t>
      </w:r>
    </w:p>
    <w:p>
      <w:pPr>
        <w:spacing w:after="120"/>
        <w:rPr>
          <w:noProof/>
          <w:color w:val="000000"/>
          <w:sz w:val="22"/>
          <w:szCs w:val="22"/>
        </w:rPr>
      </w:pPr>
      <w:r>
        <w:rPr>
          <w:noProof/>
          <w:color w:val="000000"/>
          <w:sz w:val="22"/>
          <w:szCs w:val="22"/>
        </w:rPr>
        <w:t>CIVICUS, Monitor tracking civic space – il-Bulgarija (</w:t>
      </w:r>
      <w:hyperlink r:id="rId25" w:history="1">
        <w:r>
          <w:rPr>
            <w:rStyle w:val="Hyperlink"/>
            <w:noProof/>
            <w:sz w:val="22"/>
            <w:szCs w:val="22"/>
          </w:rPr>
          <w:t>https://monitor.civicus.org/country/bulgaria/</w:t>
        </w:r>
      </w:hyperlink>
      <w:r>
        <w:rPr>
          <w:noProof/>
          <w:color w:val="000000"/>
          <w:sz w:val="22"/>
          <w:szCs w:val="22"/>
        </w:rPr>
        <w:t>).</w:t>
      </w:r>
    </w:p>
    <w:p>
      <w:pPr>
        <w:spacing w:after="120"/>
        <w:rPr>
          <w:noProof/>
          <w:sz w:val="22"/>
          <w:szCs w:val="22"/>
        </w:rPr>
      </w:pPr>
      <w:r>
        <w:rPr>
          <w:noProof/>
          <w:sz w:val="22"/>
          <w:szCs w:val="22"/>
        </w:rPr>
        <w:t xml:space="preserve">Il-Qorti Kostituzzjonali, il-Kawża Nru 15 tal-2020 - </w:t>
      </w:r>
      <w:hyperlink r:id="rId26" w:history="1">
        <w:r>
          <w:rPr>
            <w:rStyle w:val="Hyperlink"/>
            <w:noProof/>
            <w:sz w:val="22"/>
            <w:szCs w:val="22"/>
          </w:rPr>
          <w:t>http://www.constcourt.bg/bg/Cases/Details/585</w:t>
        </w:r>
      </w:hyperlink>
    </w:p>
    <w:p>
      <w:pPr>
        <w:spacing w:after="120"/>
        <w:rPr>
          <w:noProof/>
          <w:sz w:val="22"/>
          <w:szCs w:val="22"/>
        </w:rPr>
      </w:pPr>
      <w:r>
        <w:rPr>
          <w:noProof/>
          <w:sz w:val="22"/>
          <w:szCs w:val="22"/>
        </w:rPr>
        <w:t xml:space="preserve">Id-Deċiżjoni tal-Qorti Kostituzzjonali Nru 6 tal-2021 dwar il-Kawża Nru 15 tal-2020. </w:t>
      </w:r>
      <w:hyperlink r:id="rId27" w:history="1">
        <w:r>
          <w:rPr>
            <w:rStyle w:val="Hyperlink"/>
            <w:noProof/>
            <w:sz w:val="22"/>
            <w:szCs w:val="22"/>
          </w:rPr>
          <w:t>http://www.constcourt.bg/bg/Acts/GetHtmlContent/96c8d204-d2eb-4785-beac-7133ed3b6cd2</w:t>
        </w:r>
      </w:hyperlink>
    </w:p>
    <w:p>
      <w:pPr>
        <w:spacing w:after="120"/>
        <w:rPr>
          <w:noProof/>
          <w:sz w:val="22"/>
          <w:szCs w:val="22"/>
        </w:rPr>
      </w:pPr>
      <w:r>
        <w:rPr>
          <w:noProof/>
          <w:sz w:val="22"/>
          <w:szCs w:val="22"/>
        </w:rPr>
        <w:t>Il-Kunsill tal-Ewropa, il-Pjattaforma li tippromwovi l-protezzjoni tal-ġurnaliżmu u s-sikurezza tal-ġurnalisti, (</w:t>
      </w:r>
      <w:hyperlink r:id="rId28" w:history="1">
        <w:r>
          <w:rPr>
            <w:rStyle w:val="Hyperlink"/>
            <w:noProof/>
            <w:sz w:val="22"/>
            <w:szCs w:val="22"/>
          </w:rPr>
          <w:t>https://www.coe.int/en/web/media-freedom/bulgaria</w:t>
        </w:r>
      </w:hyperlink>
      <w:r>
        <w:rPr>
          <w:noProof/>
          <w:sz w:val="22"/>
          <w:szCs w:val="22"/>
        </w:rPr>
        <w:t>).</w:t>
      </w:r>
    </w:p>
    <w:p>
      <w:pPr>
        <w:spacing w:after="120"/>
        <w:rPr>
          <w:noProof/>
          <w:color w:val="000000"/>
          <w:sz w:val="22"/>
          <w:szCs w:val="22"/>
        </w:rPr>
      </w:pPr>
      <w:r>
        <w:rPr>
          <w:noProof/>
          <w:color w:val="000000"/>
          <w:sz w:val="22"/>
          <w:szCs w:val="22"/>
        </w:rPr>
        <w:t xml:space="preserve">Il-Kunsill tal-Ewropa: Il-Kumitat tal-Ministri (2010), </w:t>
      </w:r>
      <w:r>
        <w:rPr>
          <w:i/>
          <w:noProof/>
          <w:color w:val="000000"/>
          <w:sz w:val="22"/>
          <w:szCs w:val="22"/>
        </w:rPr>
        <w:t>Ir-Rakkomandazzjoni CM/Rec(2010)12 tal-Kumitat tal-Ministri lill-Istati Membri dwar l-imħallfin: indipendenza, effiċjenza u resposabbiltajiet</w:t>
      </w:r>
      <w:r>
        <w:rPr>
          <w:noProof/>
          <w:color w:val="000000"/>
          <w:sz w:val="22"/>
          <w:szCs w:val="22"/>
        </w:rPr>
        <w:t>.</w:t>
      </w:r>
    </w:p>
    <w:p>
      <w:pPr>
        <w:spacing w:after="120"/>
        <w:rPr>
          <w:noProof/>
          <w:sz w:val="22"/>
          <w:szCs w:val="22"/>
        </w:rPr>
      </w:pPr>
      <w:r>
        <w:rPr>
          <w:noProof/>
          <w:sz w:val="22"/>
          <w:szCs w:val="22"/>
        </w:rPr>
        <w:t>Il-Kunsill tal-Ewropa: Il-Kumitat tal-Ministri (2019), Id-Deċiżjoni CM/Notes/1362/H46–6.</w:t>
      </w:r>
    </w:p>
    <w:p>
      <w:pPr>
        <w:spacing w:after="120"/>
        <w:rPr>
          <w:noProof/>
          <w:sz w:val="22"/>
          <w:szCs w:val="22"/>
        </w:rPr>
      </w:pPr>
      <w:r>
        <w:rPr>
          <w:noProof/>
          <w:sz w:val="22"/>
          <w:szCs w:val="22"/>
        </w:rPr>
        <w:t xml:space="preserve">Il-Kunsill tal-Ewropa: il-Kumitat tal-Ministri (2019), </w:t>
      </w:r>
      <w:r>
        <w:rPr>
          <w:i/>
          <w:noProof/>
          <w:sz w:val="22"/>
          <w:szCs w:val="22"/>
        </w:rPr>
        <w:t>Ir-Riżoluzzjoni Interim,</w:t>
      </w:r>
      <w:r>
        <w:rPr>
          <w:noProof/>
          <w:sz w:val="22"/>
          <w:szCs w:val="22"/>
        </w:rPr>
        <w:t xml:space="preserve"> CM/ResDH(2019)367.</w:t>
      </w:r>
    </w:p>
    <w:p>
      <w:pPr>
        <w:spacing w:after="120"/>
        <w:rPr>
          <w:noProof/>
          <w:sz w:val="22"/>
          <w:szCs w:val="22"/>
        </w:rPr>
      </w:pPr>
      <w:r>
        <w:rPr>
          <w:noProof/>
          <w:sz w:val="22"/>
          <w:szCs w:val="22"/>
        </w:rPr>
        <w:t>Il-Kunsill tal-Ewropa: Il-Deċiżjoni CM/Del/Dec(2020)1377bis/H46-9 tal-Kumitat tal-Ministri (2020).</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Il-Kunsill tal-Ewropa: Il-Kumitat tal-Ministri (2021), Id-Deċiżjoni CM/Notes/1398/H46-6 tad-9-11 ta’ Marzu,</w:t>
      </w:r>
      <w:r>
        <w:rPr>
          <w:rStyle w:val="Strong"/>
          <w:noProof/>
          <w:color w:val="333333"/>
          <w:sz w:val="22"/>
          <w:szCs w:val="22"/>
          <w:shd w:val="clear" w:color="auto" w:fill="FFFFFF"/>
        </w:rPr>
        <w:t xml:space="preserve"> (</w:t>
      </w:r>
      <w:hyperlink r:id="rId29" w:history="1">
        <w:r>
          <w:rPr>
            <w:rStyle w:val="Hyperlink"/>
            <w:noProof/>
            <w:sz w:val="22"/>
            <w:szCs w:val="22"/>
            <w:shd w:val="clear" w:color="auto" w:fill="FFFFFF"/>
          </w:rPr>
          <w:t>https://search.coe.int/cm/Pages/result_details.aspx?ObjectID=0900001680a1abfa</w:t>
        </w:r>
      </w:hyperlink>
      <w:r>
        <w:rPr>
          <w:rStyle w:val="Hyperlink"/>
          <w:noProof/>
          <w:sz w:val="22"/>
          <w:szCs w:val="22"/>
          <w:shd w:val="clear" w:color="auto" w:fill="FFFFFF"/>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Il-Kunsill tal-Ewropa: Id-Dipartiment għall-Eżekuzzjoni tas-Sentenzi tal-Qorti Ewropea tad-Drittijiet tal-Bniedem (2021), </w:t>
      </w:r>
      <w:r>
        <w:rPr>
          <w:i/>
          <w:noProof/>
          <w:sz w:val="22"/>
          <w:szCs w:val="22"/>
        </w:rPr>
        <w:t>il-Memorandum H/Exec(2021)9</w:t>
      </w:r>
      <w:r>
        <w:rPr>
          <w:noProof/>
          <w:sz w:val="22"/>
          <w:szCs w:val="22"/>
        </w:rPr>
        <w:t>.</w:t>
      </w:r>
    </w:p>
    <w:p>
      <w:pPr>
        <w:spacing w:after="120"/>
        <w:rPr>
          <w:noProof/>
          <w:sz w:val="22"/>
          <w:szCs w:val="22"/>
        </w:rPr>
      </w:pPr>
      <w:r>
        <w:rPr>
          <w:noProof/>
          <w:sz w:val="22"/>
          <w:szCs w:val="22"/>
        </w:rPr>
        <w:t xml:space="preserve">Il-Kunsill tal-Ewropa: Il-Kummissjoni ta’ Venezja (2010), </w:t>
      </w:r>
      <w:r>
        <w:rPr>
          <w:i/>
          <w:noProof/>
          <w:sz w:val="22"/>
          <w:szCs w:val="22"/>
        </w:rPr>
        <w:t>Report on the Independence of the Judicial System Part I: The Independence of Judges</w:t>
      </w:r>
      <w:r>
        <w:rPr>
          <w:noProof/>
          <w:sz w:val="22"/>
          <w:szCs w:val="22"/>
        </w:rPr>
        <w:t xml:space="preserve"> (CDL-AD(2010)004).</w:t>
      </w:r>
    </w:p>
    <w:p>
      <w:pPr>
        <w:spacing w:after="120"/>
        <w:rPr>
          <w:noProof/>
          <w:sz w:val="22"/>
          <w:szCs w:val="22"/>
        </w:rPr>
      </w:pPr>
      <w:r>
        <w:rPr>
          <w:noProof/>
          <w:sz w:val="22"/>
          <w:szCs w:val="22"/>
        </w:rPr>
        <w:t xml:space="preserve">Il-Kunsill tal-Ewropa: Il-Kummissjoni ta’ Venezja (2017), </w:t>
      </w:r>
      <w:r>
        <w:rPr>
          <w:i/>
          <w:noProof/>
          <w:sz w:val="22"/>
          <w:szCs w:val="22"/>
        </w:rPr>
        <w:t>Bulgaria - Opinion on the judicial system act</w:t>
      </w:r>
      <w:r>
        <w:rPr>
          <w:noProof/>
          <w:sz w:val="22"/>
          <w:szCs w:val="22"/>
        </w:rPr>
        <w:t xml:space="preserve"> (CDL-AD(2017)018).</w:t>
      </w:r>
    </w:p>
    <w:p>
      <w:pPr>
        <w:spacing w:after="120"/>
        <w:rPr>
          <w:noProof/>
          <w:sz w:val="22"/>
          <w:szCs w:val="22"/>
        </w:rPr>
      </w:pPr>
      <w:r>
        <w:rPr>
          <w:noProof/>
          <w:sz w:val="22"/>
          <w:szCs w:val="22"/>
        </w:rPr>
        <w:t xml:space="preserve">Il-Kunsill tal-Ewropa: Il-Kummissjoni ta’ Venezja (2019), </w:t>
      </w:r>
      <w:r>
        <w:rPr>
          <w:i/>
          <w:noProof/>
          <w:sz w:val="22"/>
          <w:szCs w:val="22"/>
        </w:rPr>
        <w:t>Bulgaria - Opinion on draft amendments to the Criminal Procedure Code and the Judicial System Act, concerning criminal investigations against top magistrates</w:t>
      </w:r>
      <w:r>
        <w:rPr>
          <w:noProof/>
          <w:sz w:val="22"/>
          <w:szCs w:val="22"/>
        </w:rPr>
        <w:t xml:space="preserve"> (CDL-AD(2019)031).</w:t>
      </w:r>
    </w:p>
    <w:p>
      <w:pPr>
        <w:spacing w:after="120"/>
        <w:rPr>
          <w:noProof/>
          <w:sz w:val="22"/>
          <w:szCs w:val="22"/>
        </w:rPr>
      </w:pPr>
      <w:r>
        <w:rPr>
          <w:noProof/>
          <w:sz w:val="22"/>
          <w:szCs w:val="22"/>
        </w:rPr>
        <w:t xml:space="preserve">Il-Kunsill tal-Ewropa: Il-Kummissjoni ta’ Venezja (2020), </w:t>
      </w:r>
      <w:r>
        <w:rPr>
          <w:i/>
          <w:noProof/>
          <w:sz w:val="22"/>
          <w:szCs w:val="22"/>
        </w:rPr>
        <w:t>Bulgaria - Urgent interim opinion on the draft new constitution opinion</w:t>
      </w:r>
      <w:r>
        <w:rPr>
          <w:noProof/>
          <w:sz w:val="22"/>
          <w:szCs w:val="22"/>
        </w:rPr>
        <w:t xml:space="preserve"> (CDL-AD(2020)035).</w:t>
      </w:r>
    </w:p>
    <w:p>
      <w:pPr>
        <w:spacing w:after="120"/>
        <w:rPr>
          <w:noProof/>
          <w:sz w:val="22"/>
          <w:szCs w:val="22"/>
        </w:rPr>
      </w:pPr>
      <w:r>
        <w:rPr>
          <w:noProof/>
          <w:sz w:val="22"/>
          <w:szCs w:val="22"/>
        </w:rPr>
        <w:t xml:space="preserve">Il-Kunsill tal-Ewropa: Il-Kummissjoni ta’ Venezja (2020), </w:t>
      </w:r>
      <w:r>
        <w:rPr>
          <w:i/>
          <w:noProof/>
          <w:sz w:val="22"/>
          <w:szCs w:val="22"/>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rPr>
        <w:t>, (CDL-AD(2020)017).</w:t>
      </w:r>
    </w:p>
    <w:p>
      <w:pPr>
        <w:spacing w:after="120"/>
        <w:rPr>
          <w:noProof/>
          <w:sz w:val="22"/>
          <w:szCs w:val="22"/>
        </w:rPr>
      </w:pPr>
      <w:r>
        <w:rPr>
          <w:noProof/>
          <w:sz w:val="22"/>
          <w:szCs w:val="22"/>
        </w:rPr>
        <w:t xml:space="preserve">Il-Kunsill tal-Unjoni Ewropea (2017), </w:t>
      </w:r>
      <w:r>
        <w:rPr>
          <w:i/>
          <w:noProof/>
          <w:sz w:val="22"/>
          <w:szCs w:val="22"/>
        </w:rPr>
        <w:t>Il-Konklużjonijiet tal-Kunsill dwar il-Mekkaniżmu għall-Kooperazzjoni u l-Verifika</w:t>
      </w:r>
      <w:r>
        <w:rPr>
          <w:noProof/>
          <w:sz w:val="22"/>
          <w:szCs w:val="22"/>
        </w:rPr>
        <w:t xml:space="preserve"> (</w:t>
      </w:r>
      <w:hyperlink r:id="rId30" w:history="1">
        <w:r>
          <w:rPr>
            <w:rStyle w:val="Hyperlink"/>
            <w:noProof/>
            <w:sz w:val="22"/>
            <w:szCs w:val="22"/>
          </w:rPr>
          <w:t>https://ec.europa.eu/info/sites/info/files/20171212-st15587_en.pdf</w:t>
        </w:r>
      </w:hyperlink>
      <w:r>
        <w:rPr>
          <w:noProof/>
          <w:sz w:val="22"/>
          <w:szCs w:val="22"/>
        </w:rPr>
        <w:t>).</w:t>
      </w:r>
    </w:p>
    <w:p>
      <w:pPr>
        <w:spacing w:after="120"/>
        <w:rPr>
          <w:noProof/>
          <w:sz w:val="22"/>
          <w:szCs w:val="22"/>
        </w:rPr>
      </w:pPr>
      <w:r>
        <w:rPr>
          <w:noProof/>
          <w:sz w:val="22"/>
          <w:szCs w:val="22"/>
        </w:rPr>
        <w:t xml:space="preserve">Il-Qorti tal-Ġustizzja tal-Unjoni Ewropea, is-sentenza tat-18 ta’ Ġunju 2020, </w:t>
      </w:r>
      <w:r>
        <w:rPr>
          <w:i/>
          <w:noProof/>
          <w:sz w:val="22"/>
          <w:szCs w:val="22"/>
        </w:rPr>
        <w:t>il-Kummissjoni vs l-Ungerija</w:t>
      </w:r>
      <w:r>
        <w:rPr>
          <w:noProof/>
          <w:sz w:val="22"/>
          <w:szCs w:val="22"/>
        </w:rPr>
        <w:t>, C-78/18.</w:t>
      </w:r>
    </w:p>
    <w:p>
      <w:pPr>
        <w:spacing w:after="120"/>
        <w:rPr>
          <w:noProof/>
          <w:sz w:val="22"/>
          <w:szCs w:val="22"/>
        </w:rPr>
      </w:pPr>
      <w:r>
        <w:rPr>
          <w:noProof/>
          <w:sz w:val="22"/>
          <w:szCs w:val="22"/>
        </w:rPr>
        <w:t xml:space="preserve">Il-Kunsill tal-Ministri (2020), </w:t>
      </w:r>
      <w:r>
        <w:rPr>
          <w:i/>
          <w:noProof/>
          <w:sz w:val="22"/>
          <w:szCs w:val="22"/>
        </w:rPr>
        <w:t xml:space="preserve">Gwida għall-valutazzjoni tal-impatt ex-post. </w:t>
      </w:r>
      <w:r>
        <w:rPr>
          <w:noProof/>
          <w:sz w:val="22"/>
          <w:szCs w:val="22"/>
        </w:rPr>
        <w:t>(</w:t>
      </w:r>
      <w:hyperlink r:id="rId31" w:history="1">
        <w:r>
          <w:rPr>
            <w:rStyle w:val="Hyperlink"/>
            <w:noProof/>
            <w:sz w:val="22"/>
            <w:szCs w:val="22"/>
          </w:rPr>
          <w:t>https://www.strategy.bg/Publications/View.aspx?lang=bg-BG&amp;categoryId=&amp;Id=320&amp;y=&amp;m=&amp;d</w:t>
        </w:r>
      </w:hyperlink>
      <w:r>
        <w:rPr>
          <w:noProof/>
          <w:sz w:val="22"/>
          <w:szCs w:val="22"/>
        </w:rPr>
        <w:t>).</w:t>
      </w:r>
    </w:p>
    <w:p>
      <w:pPr>
        <w:spacing w:after="120"/>
        <w:rPr>
          <w:noProof/>
          <w:sz w:val="22"/>
          <w:szCs w:val="22"/>
        </w:rPr>
      </w:pPr>
      <w:r>
        <w:rPr>
          <w:noProof/>
          <w:sz w:val="22"/>
          <w:szCs w:val="22"/>
        </w:rPr>
        <w:t xml:space="preserve">Id-Direttorat Ġenerali għall-Komunikazzjoni (2019), </w:t>
      </w:r>
      <w:r>
        <w:rPr>
          <w:i/>
          <w:iCs/>
          <w:noProof/>
          <w:sz w:val="22"/>
          <w:szCs w:val="22"/>
        </w:rPr>
        <w:t>L-Ewrobarmetru Flash 482: l-attitudnijiet tan-negozji fil-konfront tal-korruzzjoni fl-UE</w:t>
      </w:r>
      <w:r>
        <w:rPr>
          <w:noProof/>
          <w:sz w:val="22"/>
          <w:szCs w:val="22"/>
        </w:rPr>
        <w:t>.</w:t>
      </w:r>
    </w:p>
    <w:p>
      <w:pPr>
        <w:spacing w:after="120"/>
        <w:rPr>
          <w:noProof/>
          <w:sz w:val="22"/>
          <w:szCs w:val="22"/>
        </w:rPr>
      </w:pPr>
      <w:r>
        <w:rPr>
          <w:noProof/>
          <w:sz w:val="22"/>
          <w:szCs w:val="22"/>
        </w:rPr>
        <w:t xml:space="preserve">Id-Direttorat Ġenerali għall-Komunikazzjoni (2020), </w:t>
      </w:r>
      <w:r>
        <w:rPr>
          <w:i/>
          <w:iCs/>
          <w:noProof/>
          <w:sz w:val="22"/>
          <w:szCs w:val="22"/>
        </w:rPr>
        <w:t>L-Ewrobarometru Speċjali 502: il-korruzzjoni</w:t>
      </w:r>
      <w:r>
        <w:rPr>
          <w:noProof/>
          <w:sz w:val="22"/>
          <w:szCs w:val="22"/>
        </w:rPr>
        <w:t>.</w:t>
      </w:r>
    </w:p>
    <w:p>
      <w:pPr>
        <w:spacing w:after="120"/>
        <w:rPr>
          <w:bCs/>
          <w:noProof/>
          <w:sz w:val="22"/>
          <w:szCs w:val="22"/>
        </w:rPr>
      </w:pPr>
      <w:r>
        <w:rPr>
          <w:bCs/>
          <w:noProof/>
          <w:sz w:val="22"/>
          <w:szCs w:val="22"/>
        </w:rPr>
        <w:t xml:space="preserve">Il-Kummissjoni Ewropea (2019), </w:t>
      </w:r>
      <w:r>
        <w:rPr>
          <w:bCs/>
          <w:i/>
          <w:noProof/>
          <w:sz w:val="22"/>
          <w:szCs w:val="22"/>
        </w:rPr>
        <w:t xml:space="preserve">Ir-Rapport tal-Kummissjoni lill-Parlament Ewropew u lill-Kunsill dwar il-Progress tal-Bulgarija taħt il-mekkaniżmi għall-Kooperazzjoni u l-Verifika, </w:t>
      </w:r>
      <w:r>
        <w:rPr>
          <w:noProof/>
          <w:sz w:val="22"/>
          <w:szCs w:val="22"/>
        </w:rPr>
        <w:t>COM(2019)498.</w:t>
      </w:r>
    </w:p>
    <w:p>
      <w:pPr>
        <w:spacing w:after="120"/>
        <w:rPr>
          <w:bCs/>
          <w:noProof/>
          <w:sz w:val="22"/>
          <w:szCs w:val="22"/>
        </w:rPr>
      </w:pPr>
      <w:r>
        <w:rPr>
          <w:bCs/>
          <w:noProof/>
          <w:sz w:val="22"/>
          <w:szCs w:val="22"/>
        </w:rPr>
        <w:t xml:space="preserve">Il-Kummissjoni Ewropea (2020), </w:t>
      </w:r>
      <w:r>
        <w:rPr>
          <w:bCs/>
          <w:i/>
          <w:noProof/>
          <w:sz w:val="22"/>
          <w:szCs w:val="22"/>
        </w:rPr>
        <w:t>2020 Ir-Rapport dwar l-Istat tad-Dritt - Is-sitwazzjoni tal-istat tad-dritt fl-Unjoni Ewropea</w:t>
      </w:r>
    </w:p>
    <w:p>
      <w:pPr>
        <w:spacing w:after="120"/>
        <w:rPr>
          <w:noProof/>
          <w:color w:val="000000"/>
          <w:sz w:val="22"/>
          <w:szCs w:val="22"/>
        </w:rPr>
      </w:pPr>
      <w:r>
        <w:rPr>
          <w:noProof/>
          <w:color w:val="000000"/>
          <w:sz w:val="22"/>
          <w:szCs w:val="22"/>
        </w:rPr>
        <w:t xml:space="preserve">Il-Kummissjoni Ewropea (2021), </w:t>
      </w:r>
      <w:r>
        <w:rPr>
          <w:i/>
          <w:noProof/>
          <w:color w:val="000000"/>
          <w:sz w:val="22"/>
          <w:szCs w:val="22"/>
        </w:rPr>
        <w:t>It-Tabella ta’ Valutazzjoni tal-Ġustizzja tal-UE</w:t>
      </w:r>
      <w:r>
        <w:rPr>
          <w:noProof/>
          <w:color w:val="000000"/>
          <w:sz w:val="22"/>
          <w:szCs w:val="22"/>
        </w:rPr>
        <w:t>.</w:t>
      </w:r>
    </w:p>
    <w:p>
      <w:pPr>
        <w:spacing w:after="120"/>
        <w:rPr>
          <w:bCs/>
          <w:noProof/>
          <w:sz w:val="22"/>
          <w:szCs w:val="22"/>
        </w:rPr>
      </w:pPr>
      <w:r>
        <w:rPr>
          <w:bCs/>
          <w:noProof/>
          <w:sz w:val="22"/>
          <w:szCs w:val="22"/>
        </w:rPr>
        <w:t>Il-Kummissjoni Ewropea: L-Uffiċċju Ewropew Kontra l-Frodi, l-OLAF jirrakkomanda l-irkupru ta’ kważi EUR 6 miljun wara l-allegat abbuż ta’ poter fil-ministeru Bulgaru - l-Istqarrija għall-Istampa tal-UE Nru 04/2021 (</w:t>
      </w:r>
      <w:hyperlink r:id="rId32" w:history="1">
        <w:r>
          <w:rPr>
            <w:rStyle w:val="Hyperlink"/>
            <w:bCs/>
            <w:noProof/>
            <w:sz w:val="22"/>
            <w:szCs w:val="22"/>
          </w:rPr>
          <w:t>https://ec.europa.eu/anti-fraud/media-corner/news/01-02-2021/olaf-recommends-recovery-nearly-eu6-million-after-alleged-abuse-power_en</w:t>
        </w:r>
      </w:hyperlink>
      <w:r>
        <w:rPr>
          <w:bCs/>
          <w:noProof/>
          <w:sz w:val="22"/>
          <w:szCs w:val="22"/>
        </w:rPr>
        <w:t>).</w:t>
      </w:r>
    </w:p>
    <w:p>
      <w:pPr>
        <w:spacing w:after="120"/>
        <w:rPr>
          <w:i/>
          <w:iCs/>
          <w:noProof/>
          <w:sz w:val="22"/>
          <w:szCs w:val="22"/>
        </w:rPr>
      </w:pPr>
      <w:r>
        <w:rPr>
          <w:noProof/>
          <w:sz w:val="22"/>
          <w:szCs w:val="22"/>
        </w:rPr>
        <w:t xml:space="preserve">Il-Qorti Ewropea tad-Drittijiet tal-Bniedem, Is-Sentenza tal-5 ta’ Frar 2010, </w:t>
      </w:r>
      <w:r>
        <w:rPr>
          <w:i/>
          <w:iCs/>
          <w:noProof/>
          <w:sz w:val="22"/>
          <w:szCs w:val="22"/>
        </w:rPr>
        <w:t>Kolevi vs Bulgaria</w:t>
      </w:r>
    </w:p>
    <w:p>
      <w:pPr>
        <w:spacing w:after="120"/>
        <w:rPr>
          <w:noProof/>
          <w:sz w:val="22"/>
          <w:szCs w:val="22"/>
        </w:rPr>
      </w:pPr>
      <w:r>
        <w:rPr>
          <w:noProof/>
          <w:sz w:val="22"/>
          <w:szCs w:val="22"/>
        </w:rPr>
        <w:t xml:space="preserve">In-Network Ewropew tal-Kunsilli għall-Ġudikatura (2019), </w:t>
      </w:r>
      <w:r>
        <w:rPr>
          <w:i/>
          <w:noProof/>
          <w:sz w:val="22"/>
          <w:szCs w:val="22"/>
        </w:rPr>
        <w:t>Independence and Accountability of the Judiciary – ENCJ Survey on the independence of judges.</w:t>
      </w:r>
    </w:p>
    <w:p>
      <w:pPr>
        <w:spacing w:after="120"/>
        <w:rPr>
          <w:noProof/>
          <w:sz w:val="22"/>
          <w:szCs w:val="22"/>
        </w:rPr>
      </w:pPr>
      <w:r>
        <w:rPr>
          <w:noProof/>
          <w:sz w:val="22"/>
          <w:szCs w:val="22"/>
        </w:rPr>
        <w:t xml:space="preserve">Il-Parlament Ewropew (2020), </w:t>
      </w:r>
      <w:r>
        <w:rPr>
          <w:i/>
          <w:noProof/>
          <w:sz w:val="22"/>
          <w:szCs w:val="22"/>
        </w:rPr>
        <w:t>Riżoluzzjoni dwar l-istat tad-dritt u d-drittijiet fundamentali fil-Bulgarija,</w:t>
      </w:r>
      <w:r>
        <w:rPr>
          <w:noProof/>
          <w:sz w:val="22"/>
          <w:szCs w:val="22"/>
        </w:rPr>
        <w:t xml:space="preserve"> (2020/2793 (RSP).</w:t>
      </w:r>
    </w:p>
    <w:p>
      <w:pPr>
        <w:spacing w:after="120"/>
        <w:rPr>
          <w:noProof/>
          <w:sz w:val="22"/>
          <w:szCs w:val="22"/>
        </w:rPr>
      </w:pPr>
      <w:r>
        <w:rPr>
          <w:noProof/>
          <w:sz w:val="22"/>
          <w:szCs w:val="22"/>
        </w:rPr>
        <w:t xml:space="preserve">Il-Parlament Ewropew, </w:t>
      </w:r>
      <w:r>
        <w:rPr>
          <w:i/>
          <w:noProof/>
          <w:sz w:val="22"/>
          <w:szCs w:val="22"/>
        </w:rPr>
        <w:t>L-MEPs jesiġu li l-Istati Membri jridu jieqfu jbigħu l-passaporti tal-UE immedjatament</w:t>
      </w:r>
      <w:r>
        <w:rPr>
          <w:noProof/>
          <w:sz w:val="22"/>
          <w:szCs w:val="22"/>
        </w:rPr>
        <w:t xml:space="preserve"> - L-istqarrija għall-istampa tat-22 ta’ Ottubru 2020. (</w:t>
      </w:r>
      <w:hyperlink r:id="rId33" w:history="1">
        <w:r>
          <w:rPr>
            <w:rStyle w:val="Hyperlink"/>
            <w:noProof/>
            <w:sz w:val="22"/>
            <w:szCs w:val="22"/>
          </w:rPr>
          <w:t>https://www.europarl.europa.eu/news/en/press-room/20201016IPR89564/member-states-must-stop-selling-eu-passports-immediately-meps-demand</w:t>
        </w:r>
      </w:hyperlink>
      <w:r>
        <w:rPr>
          <w:noProof/>
          <w:sz w:val="22"/>
          <w:szCs w:val="22"/>
        </w:rPr>
        <w:t>).</w:t>
      </w:r>
    </w:p>
    <w:p>
      <w:pPr>
        <w:spacing w:after="120"/>
        <w:rPr>
          <w:noProof/>
          <w:sz w:val="22"/>
          <w:szCs w:val="22"/>
        </w:rPr>
      </w:pPr>
      <w:r>
        <w:rPr>
          <w:noProof/>
          <w:sz w:val="22"/>
          <w:szCs w:val="22"/>
        </w:rPr>
        <w:t xml:space="preserve">Il-Presidenza Finlandiża tal-Kunsill tal-Unjoni Ewropea (2019), </w:t>
      </w:r>
      <w:r>
        <w:rPr>
          <w:i/>
          <w:noProof/>
          <w:sz w:val="22"/>
          <w:szCs w:val="22"/>
        </w:rPr>
        <w:t xml:space="preserve">ir-Rapport tal-Presidenza </w:t>
      </w:r>
      <w:r>
        <w:rPr>
          <w:noProof/>
          <w:sz w:val="22"/>
          <w:szCs w:val="22"/>
        </w:rPr>
        <w:t>(</w:t>
      </w:r>
      <w:hyperlink r:id="rId34"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 xml:space="preserve">L-Aġenzija għad-Drittijiet Fundamentali (2020), </w:t>
      </w:r>
      <w:r>
        <w:rPr>
          <w:i/>
          <w:noProof/>
          <w:sz w:val="22"/>
          <w:szCs w:val="22"/>
        </w:rPr>
        <w:t xml:space="preserve">Coronavirus COVID-19 outbreak in the EU Fundamental Rights Implications </w:t>
      </w:r>
      <w:r>
        <w:rPr>
          <w:noProof/>
          <w:sz w:val="22"/>
          <w:szCs w:val="22"/>
        </w:rPr>
        <w:t>(</w:t>
      </w:r>
      <w:hyperlink r:id="rId35"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 xml:space="preserve">L-Aġenzija għad-Drittijiet Fundamentali (2021), </w:t>
      </w:r>
      <w:r>
        <w:rPr>
          <w:i/>
          <w:noProof/>
          <w:sz w:val="22"/>
          <w:szCs w:val="22"/>
        </w:rPr>
        <w:t>Legal environment and space of civil society organisations in supporting fundamental rights in Bulgaria</w:t>
      </w:r>
      <w:r>
        <w:rPr>
          <w:noProof/>
          <w:sz w:val="22"/>
          <w:szCs w:val="22"/>
        </w:rPr>
        <w:t>.</w:t>
      </w:r>
    </w:p>
    <w:p>
      <w:pPr>
        <w:spacing w:after="120"/>
        <w:rPr>
          <w:noProof/>
          <w:sz w:val="22"/>
          <w:szCs w:val="22"/>
        </w:rPr>
      </w:pPr>
      <w:r>
        <w:rPr>
          <w:noProof/>
          <w:sz w:val="22"/>
          <w:szCs w:val="22"/>
        </w:rPr>
        <w:t xml:space="preserve">GRECO (2015), Fourth Evaluation Round – ir-Rapport ta’ Evalwazzjoni tal-Bulgarija </w:t>
      </w:r>
      <w:r>
        <w:rPr>
          <w:bCs/>
          <w:i/>
          <w:noProof/>
          <w:sz w:val="22"/>
          <w:szCs w:val="22"/>
        </w:rPr>
        <w:t xml:space="preserve">dwar il-prevenzjoni tal-korruzzjoni fir-rigward tal-membri tal-Parlament, l-imħallfin u l-prosekuturi: </w:t>
      </w:r>
      <w:r>
        <w:rPr>
          <w:bCs/>
          <w:noProof/>
          <w:sz w:val="22"/>
          <w:szCs w:val="22"/>
        </w:rPr>
        <w:t>(</w:t>
      </w:r>
      <w:hyperlink r:id="rId36" w:history="1">
        <w:r>
          <w:rPr>
            <w:rStyle w:val="Hyperlink"/>
            <w:bCs/>
            <w:noProof/>
            <w:sz w:val="22"/>
            <w:szCs w:val="22"/>
          </w:rPr>
          <w:t>https://rm.coe.int/CoERMPublicCommonSearchServices/DisplayDCTMContent?documentId=09000016806c983f</w:t>
        </w:r>
      </w:hyperlink>
      <w:r>
        <w:rPr>
          <w:bCs/>
          <w:noProof/>
          <w:sz w:val="22"/>
          <w:szCs w:val="22"/>
        </w:rPr>
        <w:t>)</w:t>
      </w:r>
      <w:r>
        <w:rPr>
          <w:bCs/>
          <w:i/>
          <w:noProof/>
          <w:sz w:val="22"/>
          <w:szCs w:val="22"/>
        </w:rPr>
        <w:t>.</w:t>
      </w:r>
    </w:p>
    <w:p>
      <w:pPr>
        <w:spacing w:after="120"/>
        <w:rPr>
          <w:rStyle w:val="Hyperlink"/>
          <w:noProof/>
          <w:sz w:val="22"/>
          <w:szCs w:val="22"/>
        </w:rPr>
      </w:pPr>
      <w:r>
        <w:rPr>
          <w:noProof/>
          <w:sz w:val="22"/>
          <w:szCs w:val="22"/>
        </w:rPr>
        <w:t xml:space="preserve">L-Istitut tal-Ekonomija tas-Suq (IME) (2021), </w:t>
      </w:r>
      <w:r>
        <w:rPr>
          <w:i/>
          <w:noProof/>
          <w:sz w:val="22"/>
          <w:szCs w:val="22"/>
        </w:rPr>
        <w:t>Studju dwar l-issekondar tal-maġistrati</w:t>
      </w:r>
      <w:r>
        <w:rPr>
          <w:noProof/>
          <w:sz w:val="22"/>
          <w:szCs w:val="22"/>
        </w:rPr>
        <w:t xml:space="preserve"> (</w:t>
      </w:r>
      <w:hyperlink r:id="rId37"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rPr>
          <w:i/>
          <w:noProof/>
          <w:sz w:val="22"/>
          <w:szCs w:val="22"/>
        </w:rPr>
      </w:pPr>
      <w:r>
        <w:rPr>
          <w:noProof/>
          <w:sz w:val="22"/>
          <w:szCs w:val="22"/>
        </w:rPr>
        <w:t xml:space="preserve">Il-Magistrats Européens pour la Démocratie et les Libertés (2021), </w:t>
      </w:r>
      <w:r>
        <w:rPr>
          <w:i/>
          <w:noProof/>
          <w:sz w:val="22"/>
          <w:szCs w:val="22"/>
        </w:rPr>
        <w:t>Kontribut mill-Magistrats Européens pour la Démocratie et les Libertés għar-Rapport tal-2021 dwar l-Istat tad-Dritt.</w:t>
      </w:r>
    </w:p>
    <w:p>
      <w:pPr>
        <w:spacing w:after="120"/>
        <w:rPr>
          <w:i/>
          <w:noProof/>
          <w:sz w:val="22"/>
          <w:szCs w:val="22"/>
        </w:rPr>
      </w:pPr>
      <w:r>
        <w:rPr>
          <w:noProof/>
          <w:sz w:val="22"/>
          <w:szCs w:val="22"/>
        </w:rPr>
        <w:t>Il-Ministeru tal-Finanzi (2019),</w:t>
      </w:r>
      <w:r>
        <w:rPr>
          <w:i/>
          <w:noProof/>
          <w:sz w:val="22"/>
          <w:szCs w:val="22"/>
        </w:rPr>
        <w:t xml:space="preserve"> Programm ta’ Żvilupp Nazzjonali tal-Bulgarija tal-2030 </w:t>
      </w:r>
      <w:r>
        <w:rPr>
          <w:noProof/>
          <w:sz w:val="22"/>
          <w:szCs w:val="22"/>
        </w:rPr>
        <w:t>(</w:t>
      </w:r>
      <w:hyperlink r:id="rId38"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 xml:space="preserve">L-Assemblea Nazzjonali tar-Repubblika tal-Bulgarija (2017), </w:t>
      </w:r>
      <w:r>
        <w:rPr>
          <w:i/>
          <w:noProof/>
          <w:sz w:val="22"/>
          <w:szCs w:val="22"/>
        </w:rPr>
        <w:t>Ir-Regoli ta’ organizzazzjoni u l-proċedura tal-assemblea nazzjonali</w:t>
      </w:r>
      <w:r>
        <w:rPr>
          <w:noProof/>
          <w:sz w:val="22"/>
          <w:szCs w:val="22"/>
        </w:rPr>
        <w:t xml:space="preserve"> (</w:t>
      </w:r>
      <w:hyperlink r:id="rId39" w:history="1">
        <w:r>
          <w:rPr>
            <w:rStyle w:val="Hyperlink"/>
            <w:noProof/>
            <w:sz w:val="22"/>
            <w:szCs w:val="22"/>
          </w:rPr>
          <w:t>https://www.parliament.bg/en/rulesoftheorganisations</w:t>
        </w:r>
      </w:hyperlink>
      <w:r>
        <w:rPr>
          <w:noProof/>
          <w:sz w:val="22"/>
          <w:szCs w:val="22"/>
        </w:rPr>
        <w:t>).</w:t>
      </w:r>
    </w:p>
    <w:p>
      <w:pPr>
        <w:spacing w:after="120"/>
        <w:rPr>
          <w:bCs/>
          <w:noProof/>
          <w:sz w:val="22"/>
          <w:szCs w:val="22"/>
        </w:rPr>
      </w:pPr>
      <w:r>
        <w:rPr>
          <w:bCs/>
          <w:noProof/>
          <w:sz w:val="22"/>
          <w:szCs w:val="22"/>
        </w:rPr>
        <w:t>L-Assemblea Nazzjonali tar-Repubblika tal-Bulgarija (2020),</w:t>
      </w:r>
      <w:r>
        <w:rPr>
          <w:noProof/>
        </w:rPr>
        <w:t xml:space="preserve"> </w:t>
      </w:r>
      <w:r>
        <w:rPr>
          <w:bCs/>
          <w:i/>
          <w:noProof/>
          <w:sz w:val="22"/>
          <w:szCs w:val="22"/>
        </w:rPr>
        <w:t xml:space="preserve">Id-Deċiżjoni li jiġi ddikjarat stat ta’ emerġenza </w:t>
      </w:r>
      <w:r>
        <w:rPr>
          <w:bCs/>
          <w:noProof/>
          <w:sz w:val="22"/>
          <w:szCs w:val="22"/>
        </w:rPr>
        <w:t>- it-13 ta’ Marzu 2020 (</w:t>
      </w:r>
      <w:hyperlink r:id="rId40" w:history="1">
        <w:r>
          <w:rPr>
            <w:rStyle w:val="Hyperlink"/>
            <w:bCs/>
            <w:noProof/>
            <w:sz w:val="22"/>
            <w:szCs w:val="22"/>
          </w:rPr>
          <w:t>https://www.parliament.bg/bg/desision/ID/157374</w:t>
        </w:r>
      </w:hyperlink>
      <w:r>
        <w:rPr>
          <w:bCs/>
          <w:noProof/>
          <w:sz w:val="22"/>
          <w:szCs w:val="22"/>
        </w:rPr>
        <w:t>).</w:t>
      </w:r>
    </w:p>
    <w:p>
      <w:pPr>
        <w:spacing w:after="120"/>
        <w:rPr>
          <w:bCs/>
          <w:noProof/>
          <w:sz w:val="22"/>
          <w:szCs w:val="22"/>
        </w:rPr>
      </w:pPr>
      <w:r>
        <w:rPr>
          <w:noProof/>
          <w:sz w:val="22"/>
          <w:szCs w:val="22"/>
        </w:rPr>
        <w:t xml:space="preserve">L-Assemblea Nazzjonali tar-Repubblika tal-Bulgarija (2020), </w:t>
      </w:r>
      <w:r>
        <w:rPr>
          <w:i/>
          <w:noProof/>
          <w:sz w:val="22"/>
          <w:szCs w:val="22"/>
        </w:rPr>
        <w:t>Id-Deċiżjoni biex jiġi estiż l-istat ta’ emerġenza – it-3 ta’ April 2020</w:t>
      </w:r>
      <w:r>
        <w:rPr>
          <w:noProof/>
          <w:sz w:val="22"/>
          <w:szCs w:val="22"/>
        </w:rPr>
        <w:t xml:space="preserve"> (</w:t>
      </w:r>
      <w:hyperlink r:id="rId41" w:history="1">
        <w:r>
          <w:rPr>
            <w:rStyle w:val="Hyperlink"/>
            <w:noProof/>
            <w:sz w:val="22"/>
            <w:szCs w:val="22"/>
          </w:rPr>
          <w:t>https://www.parliament.bg/bg/desision/ID/157396</w:t>
        </w:r>
      </w:hyperlink>
      <w:r>
        <w:rPr>
          <w:rStyle w:val="Hyperlink"/>
          <w:noProof/>
          <w:sz w:val="22"/>
          <w:szCs w:val="22"/>
        </w:rPr>
        <w:t>).</w:t>
      </w:r>
    </w:p>
    <w:p>
      <w:pPr>
        <w:spacing w:after="120"/>
        <w:rPr>
          <w:noProof/>
          <w:sz w:val="22"/>
          <w:szCs w:val="22"/>
        </w:rPr>
      </w:pPr>
      <w:r>
        <w:rPr>
          <w:noProof/>
          <w:sz w:val="22"/>
          <w:szCs w:val="22"/>
        </w:rPr>
        <w:t xml:space="preserve">Stqarrija għall-istampa dwar l-ittra miftuħa lill-SJC kontra l-mudell magħżul għar-riforma tal-mappa ġudizzjarja ffirmata minn 500 imħallef. - </w:t>
      </w:r>
      <w:hyperlink r:id="rId42" w:history="1">
        <w:r>
          <w:rPr>
            <w:rStyle w:val="Hyperlink"/>
            <w:noProof/>
            <w:sz w:val="22"/>
            <w:szCs w:val="22"/>
          </w:rPr>
          <w:t>https://news.lex.bg/564</w:t>
        </w:r>
      </w:hyperlink>
    </w:p>
    <w:p>
      <w:pPr>
        <w:spacing w:after="120"/>
        <w:rPr>
          <w:noProof/>
          <w:sz w:val="22"/>
          <w:szCs w:val="22"/>
        </w:rPr>
      </w:pPr>
      <w:r>
        <w:rPr>
          <w:noProof/>
          <w:sz w:val="22"/>
          <w:szCs w:val="22"/>
        </w:rPr>
        <w:t xml:space="preserve">Stqarrija għall-istampa mill-Qorti Suprema tal-Kassazzjoni dwar l-Istitut Nazzjonali għall-Ġestjoni tal-Ġustizzja - </w:t>
      </w:r>
      <w:hyperlink r:id="rId43" w:history="1">
        <w:r>
          <w:rPr>
            <w:rStyle w:val="Hyperlink"/>
            <w:noProof/>
            <w:sz w:val="22"/>
            <w:szCs w:val="22"/>
          </w:rPr>
          <w:t>http://www.vks.bg/novini/nip.html</w:t>
        </w:r>
      </w:hyperlink>
    </w:p>
    <w:p>
      <w:pPr>
        <w:spacing w:after="120"/>
        <w:rPr>
          <w:noProof/>
          <w:sz w:val="22"/>
          <w:szCs w:val="22"/>
        </w:rPr>
      </w:pPr>
      <w:r>
        <w:rPr>
          <w:noProof/>
          <w:sz w:val="22"/>
          <w:szCs w:val="22"/>
        </w:rPr>
        <w:t xml:space="preserve">Ir-Reporters mingħajr fruntieri </w:t>
      </w:r>
      <w:r>
        <w:rPr>
          <w:noProof/>
          <w:color w:val="000000"/>
          <w:sz w:val="22"/>
          <w:szCs w:val="22"/>
        </w:rPr>
        <w:t xml:space="preserve">– </w:t>
      </w:r>
      <w:r>
        <w:rPr>
          <w:noProof/>
          <w:sz w:val="22"/>
          <w:szCs w:val="22"/>
        </w:rPr>
        <w:t>il-Bulgarija, (</w:t>
      </w:r>
      <w:hyperlink r:id="rId44" w:history="1">
        <w:r>
          <w:rPr>
            <w:rStyle w:val="Hyperlink"/>
            <w:noProof/>
            <w:sz w:val="22"/>
            <w:szCs w:val="22"/>
          </w:rPr>
          <w:t>https://rsf.org/en/bulgaria</w:t>
        </w:r>
      </w:hyperlink>
      <w:r>
        <w:rPr>
          <w:rStyle w:val="Hyperlink"/>
          <w:noProof/>
          <w:sz w:val="22"/>
          <w:szCs w:val="22"/>
        </w:rPr>
        <w:t>).</w:t>
      </w:r>
      <w:r>
        <w:rPr>
          <w:noProof/>
          <w:sz w:val="22"/>
          <w:szCs w:val="22"/>
        </w:rPr>
        <w:t xml:space="preserve"> </w:t>
      </w:r>
    </w:p>
    <w:p>
      <w:pPr>
        <w:spacing w:after="120"/>
        <w:rPr>
          <w:noProof/>
          <w:sz w:val="22"/>
          <w:szCs w:val="22"/>
        </w:rPr>
      </w:pPr>
      <w:r>
        <w:rPr>
          <w:noProof/>
          <w:sz w:val="22"/>
          <w:szCs w:val="22"/>
        </w:rPr>
        <w:t xml:space="preserve">Il-Qorti Suprema tal-Kassazzjoni tal-Bulgarija (2019), </w:t>
      </w:r>
      <w:r>
        <w:rPr>
          <w:i/>
          <w:noProof/>
          <w:sz w:val="22"/>
          <w:szCs w:val="22"/>
        </w:rPr>
        <w:t>Ir-Rapport Annwali 2020</w:t>
      </w:r>
      <w:r>
        <w:rPr>
          <w:noProof/>
          <w:sz w:val="22"/>
          <w:szCs w:val="22"/>
        </w:rPr>
        <w:t>.</w:t>
      </w:r>
    </w:p>
    <w:p>
      <w:pPr>
        <w:spacing w:after="120"/>
        <w:rPr>
          <w:i/>
          <w:noProof/>
          <w:sz w:val="22"/>
          <w:szCs w:val="22"/>
        </w:rPr>
      </w:pPr>
      <w:r>
        <w:rPr>
          <w:noProof/>
          <w:sz w:val="22"/>
          <w:szCs w:val="22"/>
        </w:rPr>
        <w:t xml:space="preserve">Il-Qorti Suprema tal-Kassazzjoni tal-Bulgarija (2021), </w:t>
      </w:r>
      <w:r>
        <w:rPr>
          <w:i/>
          <w:noProof/>
          <w:sz w:val="22"/>
          <w:szCs w:val="22"/>
        </w:rPr>
        <w:t>Kontribut tal-Qorti Suprema tal-Kassazzjoni tal-Bulgarija għar-Rapport tal-2021 dwar l-Istat tad-Dritt.</w:t>
      </w:r>
    </w:p>
    <w:p>
      <w:pPr>
        <w:spacing w:after="120"/>
        <w:ind w:left="284" w:hanging="284"/>
        <w:rPr>
          <w:noProof/>
          <w:sz w:val="22"/>
          <w:szCs w:val="22"/>
        </w:rPr>
      </w:pPr>
      <w:r>
        <w:rPr>
          <w:noProof/>
          <w:sz w:val="22"/>
          <w:szCs w:val="22"/>
        </w:rPr>
        <w:t xml:space="preserve">Il-kritika tal-Kunsill Suprem tal-Kamra tal-Avukati dwar ir-riforma tal-mappa ġudizzjarja - </w:t>
      </w:r>
      <w:hyperlink r:id="rId45" w:history="1">
        <w:r>
          <w:rPr>
            <w:rStyle w:val="Hyperlink"/>
            <w:noProof/>
            <w:sz w:val="22"/>
            <w:szCs w:val="22"/>
          </w:rPr>
          <w:t>https://www.vas.bg/bg/a/predlozheniyata-za-reforma-na-sdebnata-karta</w:t>
        </w:r>
      </w:hyperlink>
      <w:r>
        <w:rPr>
          <w:noProof/>
          <w:sz w:val="22"/>
          <w:szCs w:val="22"/>
        </w:rPr>
        <w:t>.</w:t>
      </w:r>
    </w:p>
    <w:p>
      <w:pPr>
        <w:spacing w:after="120"/>
        <w:ind w:left="284" w:hanging="284"/>
        <w:rPr>
          <w:noProof/>
          <w:sz w:val="22"/>
          <w:szCs w:val="22"/>
        </w:rPr>
      </w:pPr>
      <w:r>
        <w:rPr>
          <w:noProof/>
          <w:sz w:val="22"/>
          <w:szCs w:val="22"/>
        </w:rPr>
        <w:t xml:space="preserve">Transparency International (2021), </w:t>
      </w:r>
      <w:r>
        <w:rPr>
          <w:i/>
          <w:noProof/>
          <w:sz w:val="22"/>
          <w:szCs w:val="22"/>
        </w:rPr>
        <w:t>L-Indiċi tal-Perċezzjoni tal-Korruzzjoni għall-2020</w:t>
      </w:r>
    </w:p>
    <w:p>
      <w:pPr>
        <w:spacing w:after="120"/>
        <w:ind w:left="284" w:hanging="284"/>
        <w:rPr>
          <w:noProof/>
          <w:sz w:val="22"/>
          <w:szCs w:val="22"/>
        </w:rPr>
      </w:pPr>
      <w:r>
        <w:rPr>
          <w:noProof/>
          <w:sz w:val="22"/>
          <w:szCs w:val="22"/>
        </w:rPr>
        <w:t xml:space="preserve">Id-Dipartiment tat-Teżor tal-Istati Uniti (2021), </w:t>
      </w:r>
      <w:r>
        <w:rPr>
          <w:i/>
          <w:noProof/>
          <w:sz w:val="22"/>
          <w:szCs w:val="22"/>
        </w:rPr>
        <w:t>Specially designated nationals list update</w:t>
      </w:r>
      <w:r>
        <w:rPr>
          <w:noProof/>
          <w:sz w:val="22"/>
          <w:szCs w:val="22"/>
        </w:rPr>
        <w:t xml:space="preserve"> - it-2 ta’ Ġunju 2021 (</w:t>
      </w:r>
      <w:hyperlink r:id="rId46" w:history="1">
        <w:r>
          <w:rPr>
            <w:rStyle w:val="Hyperlink"/>
            <w:noProof/>
            <w:sz w:val="22"/>
            <w:szCs w:val="22"/>
          </w:rPr>
          <w:t>https://home.treasury.gov/policy-issues/financial-sanctions/recent-actions/20210602</w:t>
        </w:r>
      </w:hyperlink>
      <w:r>
        <w:rPr>
          <w:noProof/>
          <w:sz w:val="22"/>
          <w:szCs w:val="22"/>
        </w:rPr>
        <w:t>).</w:t>
      </w:r>
    </w:p>
    <w:p>
      <w:pPr>
        <w:spacing w:after="120"/>
        <w:rPr>
          <w:b/>
          <w:noProof/>
          <w:sz w:val="22"/>
          <w:szCs w:val="22"/>
        </w:rPr>
      </w:pPr>
      <w:r>
        <w:rPr>
          <w:noProof/>
          <w:sz w:val="22"/>
          <w:szCs w:val="22"/>
        </w:rPr>
        <w:t xml:space="preserve">L-Uffiċċju Reġjonali għall-Ewropa tal-OHCHR tan-NU (2021), </w:t>
      </w:r>
      <w:r>
        <w:rPr>
          <w:i/>
          <w:noProof/>
          <w:sz w:val="22"/>
          <w:szCs w:val="22"/>
        </w:rPr>
        <w:t>Kontribut mill-Uffiċċju Reġjonali għall-Ewropa tal-OHCHR tan-NU għar-Rapport tal-2021 dwar l-Istat tad-Dritt</w:t>
      </w:r>
      <w:r>
        <w:rPr>
          <w:noProof/>
          <w:sz w:val="22"/>
          <w:szCs w:val="22"/>
        </w:rPr>
        <w:t>.</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Anness II – Iż-żjara tal-pajjiż fil-Bulgarija</w:t>
      </w:r>
    </w:p>
    <w:p>
      <w:pPr>
        <w:spacing w:after="120"/>
        <w:rPr>
          <w:noProof/>
          <w:sz w:val="22"/>
          <w:szCs w:val="22"/>
        </w:rPr>
      </w:pPr>
      <w:r>
        <w:rPr>
          <w:noProof/>
          <w:sz w:val="22"/>
          <w:szCs w:val="22"/>
        </w:rPr>
        <w:t>F’Marzu 2021, is-servizzi tal-Kummissjoni kellhom laqgħat virtwali ma’: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Il-Programm ta’ Aċċess għall-Informazzjoni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Id-Direttorat għall-Modernizzazzjoni tal-Amministrazzjoni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Il-Kunsill kontra l-korruzzjoni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Il-Fondazzjoni tal-Fond Kontra l-Korruzzjoni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L-Assoċjazzjoni tal-Ġurnalisti Ewropej – il-Bulgarija: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L-Assoċjazzjoni tal-Prosekuturi fil-Bulgarija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Ir-Regolatur Awdjoviżiv –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L-Istitut Bulgaru għall-Inizjattivi Legali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L-Assoċjazzjoni Bulgara tal-Imħallfin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Iċ-Ċentru għall-Istudju tad-Demokrazija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Il-Kummissjoni għall-ġlieda kontra l-korruzzjoni u għall-konfiska ta’ assi akkwistati illegalment.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Għall-Proġett tal-Verità</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L-Ispettorat tal-Kunsill Superjuri tal-Maġistratura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l-Istitut għall-Ekonomiji tas-Suq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Il-Ministeru tal-Kultura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Il-Ministeru tal-Intern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Il-Ministeru tal-Ġustizzja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Il-Kunsill Nazzjonali għall-Etika Ġurnalistika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L-Uffiċċju tal-Prosekutur Ġenerali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L-Assoċjazzjoni tal-Kamra tal-Avukati ta’ Sofia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Il-Qorti Kriminali Speċjalizzata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L-Uffiċċju tal-Prosekutur Speċjalizzat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Il-Kunsill Suprem tal-Kamra tal-Avukati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Il-Qorti Suprema tal-Kassazzjoni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Il-Kunsill Superjuri tal-Maġistratura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L-Unjoni tal-Pubblikaturi fil-Bulgarija</w:t>
      </w:r>
    </w:p>
    <w:p>
      <w:pPr>
        <w:spacing w:after="120"/>
        <w:rPr>
          <w:noProof/>
          <w:sz w:val="22"/>
          <w:szCs w:val="22"/>
        </w:rPr>
      </w:pPr>
    </w:p>
    <w:p>
      <w:pPr>
        <w:spacing w:after="120"/>
        <w:rPr>
          <w:noProof/>
          <w:sz w:val="22"/>
          <w:szCs w:val="22"/>
        </w:rPr>
      </w:pPr>
      <w:r>
        <w:rPr>
          <w:noProof/>
          <w:sz w:val="22"/>
          <w:szCs w:val="22"/>
        </w:rPr>
        <w:t>* Il-Kummissjoni ltaqgħet ukoll mal-organizzazzjonijiet li ġejjin f’għadd ta’ laqgħat orizzontali:</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Iċ-Ċentru għad-Drittijiet Riproduttivi</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L-Unjoni għal-Libertajiet Ċivili għall-Ewropa</w:t>
      </w:r>
    </w:p>
    <w:p>
      <w:pPr>
        <w:numPr>
          <w:ilvl w:val="0"/>
          <w:numId w:val="45"/>
        </w:numPr>
        <w:spacing w:after="120"/>
        <w:rPr>
          <w:noProof/>
          <w:sz w:val="22"/>
          <w:szCs w:val="22"/>
        </w:rPr>
      </w:pPr>
      <w:r>
        <w:rPr>
          <w:noProof/>
          <w:sz w:val="22"/>
          <w:szCs w:val="22"/>
        </w:rPr>
        <w:t>Is-Civil Society Europe</w:t>
      </w:r>
    </w:p>
    <w:p>
      <w:pPr>
        <w:numPr>
          <w:ilvl w:val="0"/>
          <w:numId w:val="45"/>
        </w:numPr>
        <w:spacing w:after="120"/>
        <w:rPr>
          <w:noProof/>
          <w:sz w:val="22"/>
          <w:szCs w:val="22"/>
        </w:rPr>
      </w:pPr>
      <w:r>
        <w:rPr>
          <w:noProof/>
          <w:sz w:val="22"/>
          <w:szCs w:val="22"/>
        </w:rPr>
        <w:t>Il-Konferenza tal-Knejjes Ewropej</w:t>
      </w:r>
    </w:p>
    <w:p>
      <w:pPr>
        <w:numPr>
          <w:ilvl w:val="0"/>
          <w:numId w:val="45"/>
        </w:numPr>
        <w:spacing w:after="120"/>
        <w:rPr>
          <w:noProof/>
          <w:sz w:val="22"/>
          <w:szCs w:val="22"/>
        </w:rPr>
      </w:pPr>
      <w:r>
        <w:rPr>
          <w:noProof/>
          <w:sz w:val="22"/>
          <w:szCs w:val="22"/>
        </w:rPr>
        <w:t>Il-EuroCommerce</w:t>
      </w:r>
    </w:p>
    <w:p>
      <w:pPr>
        <w:numPr>
          <w:ilvl w:val="0"/>
          <w:numId w:val="45"/>
        </w:numPr>
        <w:spacing w:after="120"/>
        <w:rPr>
          <w:noProof/>
          <w:sz w:val="22"/>
          <w:szCs w:val="22"/>
        </w:rPr>
      </w:pPr>
      <w:r>
        <w:rPr>
          <w:noProof/>
          <w:sz w:val="22"/>
          <w:szCs w:val="22"/>
        </w:rPr>
        <w:t>Iċ-Ċentru Ewropew għan-Not-for-Profit Law</w:t>
      </w:r>
    </w:p>
    <w:p>
      <w:pPr>
        <w:numPr>
          <w:ilvl w:val="0"/>
          <w:numId w:val="45"/>
        </w:numPr>
        <w:spacing w:after="120"/>
        <w:rPr>
          <w:noProof/>
          <w:sz w:val="22"/>
          <w:szCs w:val="22"/>
        </w:rPr>
      </w:pPr>
      <w:r>
        <w:rPr>
          <w:noProof/>
          <w:sz w:val="22"/>
          <w:szCs w:val="22"/>
        </w:rPr>
        <w:t>Iċ-Ċentru Ewropew għal-Libertà tal-Istampa u tal-Media</w:t>
      </w:r>
    </w:p>
    <w:p>
      <w:pPr>
        <w:numPr>
          <w:ilvl w:val="0"/>
          <w:numId w:val="45"/>
        </w:numPr>
        <w:spacing w:after="120"/>
        <w:rPr>
          <w:noProof/>
          <w:sz w:val="22"/>
          <w:szCs w:val="22"/>
        </w:rPr>
      </w:pPr>
      <w:r>
        <w:rPr>
          <w:noProof/>
          <w:sz w:val="22"/>
          <w:szCs w:val="22"/>
        </w:rPr>
        <w:t>Il-Forum Ċiviku Ewropew</w:t>
      </w:r>
    </w:p>
    <w:p>
      <w:pPr>
        <w:numPr>
          <w:ilvl w:val="0"/>
          <w:numId w:val="45"/>
        </w:numPr>
        <w:spacing w:after="120"/>
        <w:rPr>
          <w:noProof/>
          <w:sz w:val="22"/>
          <w:szCs w:val="22"/>
        </w:rPr>
      </w:pPr>
      <w:r>
        <w:rPr>
          <w:noProof/>
          <w:sz w:val="22"/>
          <w:szCs w:val="22"/>
        </w:rPr>
        <w:t>Il-Federazzjoni Ewropea tal-Ġurnalisti</w:t>
      </w:r>
    </w:p>
    <w:p>
      <w:pPr>
        <w:numPr>
          <w:ilvl w:val="0"/>
          <w:numId w:val="45"/>
        </w:numPr>
        <w:spacing w:after="120"/>
        <w:rPr>
          <w:noProof/>
          <w:sz w:val="22"/>
          <w:szCs w:val="22"/>
        </w:rPr>
      </w:pPr>
      <w:r>
        <w:rPr>
          <w:noProof/>
          <w:sz w:val="22"/>
          <w:szCs w:val="22"/>
        </w:rPr>
        <w:t xml:space="preserve">Is-Sħubija Ewropea għad-Demokrazija </w:t>
      </w:r>
    </w:p>
    <w:p>
      <w:pPr>
        <w:numPr>
          <w:ilvl w:val="0"/>
          <w:numId w:val="45"/>
        </w:numPr>
        <w:spacing w:after="120"/>
        <w:rPr>
          <w:noProof/>
          <w:sz w:val="22"/>
          <w:szCs w:val="22"/>
        </w:rPr>
      </w:pPr>
      <w:r>
        <w:rPr>
          <w:noProof/>
          <w:sz w:val="22"/>
          <w:szCs w:val="22"/>
        </w:rPr>
        <w:t>Il-Forum Ewropew taż-Żgħażagħ</w:t>
      </w:r>
    </w:p>
    <w:p>
      <w:pPr>
        <w:numPr>
          <w:ilvl w:val="0"/>
          <w:numId w:val="45"/>
        </w:numPr>
        <w:spacing w:after="120"/>
        <w:rPr>
          <w:noProof/>
          <w:sz w:val="22"/>
          <w:szCs w:val="22"/>
        </w:rPr>
      </w:pPr>
      <w:r>
        <w:rPr>
          <w:noProof/>
          <w:sz w:val="22"/>
          <w:szCs w:val="22"/>
        </w:rPr>
        <w:t>Id-Difensuri tal-Ewwel Linja</w:t>
      </w:r>
    </w:p>
    <w:p>
      <w:pPr>
        <w:numPr>
          <w:ilvl w:val="0"/>
          <w:numId w:val="45"/>
        </w:numPr>
        <w:spacing w:after="120"/>
        <w:rPr>
          <w:noProof/>
          <w:sz w:val="22"/>
          <w:szCs w:val="22"/>
        </w:rPr>
      </w:pPr>
      <w:r>
        <w:rPr>
          <w:noProof/>
          <w:sz w:val="22"/>
          <w:szCs w:val="22"/>
        </w:rPr>
        <w:t xml:space="preserve">Il-Fondazzjoni Dar id-Drittijiet tal-Bniedem </w:t>
      </w:r>
    </w:p>
    <w:p>
      <w:pPr>
        <w:numPr>
          <w:ilvl w:val="0"/>
          <w:numId w:val="45"/>
        </w:numPr>
        <w:spacing w:after="120"/>
        <w:rPr>
          <w:noProof/>
          <w:sz w:val="22"/>
          <w:szCs w:val="22"/>
        </w:rPr>
      </w:pPr>
      <w:r>
        <w:rPr>
          <w:noProof/>
          <w:sz w:val="22"/>
          <w:szCs w:val="22"/>
        </w:rPr>
        <w:t xml:space="preserve">Il-Human Rights Watch </w:t>
      </w:r>
    </w:p>
    <w:p>
      <w:pPr>
        <w:numPr>
          <w:ilvl w:val="0"/>
          <w:numId w:val="45"/>
        </w:numPr>
        <w:spacing w:after="120"/>
        <w:rPr>
          <w:noProof/>
          <w:sz w:val="22"/>
          <w:szCs w:val="22"/>
        </w:rPr>
      </w:pPr>
      <w:r>
        <w:rPr>
          <w:noProof/>
          <w:sz w:val="22"/>
          <w:szCs w:val="22"/>
        </w:rPr>
        <w:t>L-ILGA-Europe</w:t>
      </w:r>
    </w:p>
    <w:p>
      <w:pPr>
        <w:numPr>
          <w:ilvl w:val="0"/>
          <w:numId w:val="45"/>
        </w:numPr>
        <w:spacing w:after="120"/>
        <w:rPr>
          <w:noProof/>
          <w:sz w:val="22"/>
          <w:szCs w:val="22"/>
        </w:rPr>
      </w:pPr>
      <w:r>
        <w:rPr>
          <w:noProof/>
          <w:sz w:val="22"/>
          <w:szCs w:val="22"/>
        </w:rPr>
        <w:t>Il-Kummissjoni Internazzjonali tal-Ġuristi</w:t>
      </w:r>
    </w:p>
    <w:p>
      <w:pPr>
        <w:numPr>
          <w:ilvl w:val="0"/>
          <w:numId w:val="45"/>
        </w:numPr>
        <w:spacing w:after="120"/>
        <w:rPr>
          <w:noProof/>
          <w:sz w:val="22"/>
          <w:szCs w:val="22"/>
        </w:rPr>
      </w:pPr>
      <w:r>
        <w:rPr>
          <w:noProof/>
          <w:sz w:val="22"/>
          <w:szCs w:val="22"/>
        </w:rPr>
        <w:t>Il-Federazzjoni Internazzjonali għad-Drittijiet tal-Bniedem</w:t>
      </w:r>
    </w:p>
    <w:p>
      <w:pPr>
        <w:numPr>
          <w:ilvl w:val="0"/>
          <w:numId w:val="45"/>
        </w:numPr>
        <w:spacing w:after="120"/>
        <w:rPr>
          <w:noProof/>
          <w:sz w:val="22"/>
          <w:szCs w:val="22"/>
        </w:rPr>
      </w:pPr>
      <w:r>
        <w:rPr>
          <w:noProof/>
          <w:sz w:val="22"/>
          <w:szCs w:val="22"/>
        </w:rPr>
        <w:t>In-Network Ewropew tal-Federazzjoni Internazzjonali tal-Ippjanar tal-Familja (IPPF EN)</w:t>
      </w:r>
    </w:p>
    <w:p>
      <w:pPr>
        <w:numPr>
          <w:ilvl w:val="0"/>
          <w:numId w:val="45"/>
        </w:numPr>
        <w:spacing w:after="120"/>
        <w:rPr>
          <w:noProof/>
          <w:sz w:val="22"/>
          <w:szCs w:val="22"/>
        </w:rPr>
      </w:pPr>
      <w:r>
        <w:rPr>
          <w:noProof/>
          <w:sz w:val="22"/>
          <w:szCs w:val="22"/>
        </w:rPr>
        <w:t>L-Istitut Internazzjonali għall-Istampa</w:t>
      </w:r>
    </w:p>
    <w:p>
      <w:pPr>
        <w:numPr>
          <w:ilvl w:val="0"/>
          <w:numId w:val="45"/>
        </w:numPr>
        <w:spacing w:after="120"/>
        <w:rPr>
          <w:noProof/>
          <w:sz w:val="22"/>
          <w:szCs w:val="22"/>
        </w:rPr>
      </w:pPr>
      <w:r>
        <w:rPr>
          <w:noProof/>
          <w:sz w:val="22"/>
          <w:szCs w:val="22"/>
        </w:rPr>
        <w:t xml:space="preserve">Il-Kumitat ta’ Ħelsinki tan-Netherlands </w:t>
      </w:r>
    </w:p>
    <w:p>
      <w:pPr>
        <w:numPr>
          <w:ilvl w:val="0"/>
          <w:numId w:val="45"/>
        </w:numPr>
        <w:spacing w:after="120"/>
        <w:rPr>
          <w:noProof/>
          <w:sz w:val="22"/>
          <w:szCs w:val="22"/>
        </w:rPr>
      </w:pPr>
      <w:r>
        <w:rPr>
          <w:noProof/>
          <w:sz w:val="22"/>
          <w:szCs w:val="22"/>
        </w:rPr>
        <w:t>L-Istitut tal-Politika Ewropea tas-Soċjetà Miftuħa</w:t>
      </w:r>
    </w:p>
    <w:p>
      <w:pPr>
        <w:numPr>
          <w:ilvl w:val="0"/>
          <w:numId w:val="45"/>
        </w:numPr>
        <w:spacing w:after="120"/>
        <w:rPr>
          <w:noProof/>
          <w:sz w:val="22"/>
          <w:szCs w:val="22"/>
        </w:rPr>
      </w:pPr>
      <w:r>
        <w:rPr>
          <w:noProof/>
          <w:sz w:val="22"/>
          <w:szCs w:val="22"/>
        </w:rPr>
        <w:t>Il-Philanthropy Advocacy</w:t>
      </w:r>
    </w:p>
    <w:p>
      <w:pPr>
        <w:numPr>
          <w:ilvl w:val="0"/>
          <w:numId w:val="45"/>
        </w:numPr>
        <w:spacing w:after="120"/>
        <w:rPr>
          <w:noProof/>
          <w:sz w:val="22"/>
          <w:szCs w:val="22"/>
        </w:rPr>
      </w:pPr>
      <w:r>
        <w:rPr>
          <w:noProof/>
          <w:sz w:val="22"/>
          <w:szCs w:val="22"/>
        </w:rPr>
        <w:t xml:space="preserve">Il-Protezzjoni Internazzjonali </w:t>
      </w:r>
    </w:p>
    <w:p>
      <w:pPr>
        <w:numPr>
          <w:ilvl w:val="0"/>
          <w:numId w:val="45"/>
        </w:numPr>
        <w:spacing w:after="120"/>
        <w:rPr>
          <w:noProof/>
          <w:sz w:val="22"/>
          <w:szCs w:val="22"/>
        </w:rPr>
      </w:pPr>
      <w:r>
        <w:rPr>
          <w:noProof/>
          <w:sz w:val="22"/>
          <w:szCs w:val="22"/>
        </w:rPr>
        <w:t>Ir-Reporters mingħajr Fruntieri</w:t>
      </w:r>
    </w:p>
    <w:p>
      <w:pPr>
        <w:numPr>
          <w:ilvl w:val="0"/>
          <w:numId w:val="45"/>
        </w:numPr>
        <w:spacing w:after="120"/>
        <w:rPr>
          <w:noProof/>
          <w:sz w:val="22"/>
          <w:szCs w:val="22"/>
        </w:rPr>
      </w:pPr>
      <w:r>
        <w:rPr>
          <w:noProof/>
          <w:sz w:val="22"/>
          <w:szCs w:val="22"/>
        </w:rPr>
        <w:t>It-Transparency International tal-UE</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MT</w:t>
    </w:r>
    <w:r>
      <w:rPr>
        <w:rFonts w:ascii="Arial" w:hAnsi="Arial" w:cs="Arial"/>
        <w:b/>
        <w:sz w:val="48"/>
      </w:rPr>
      <w:tab/>
    </w:r>
    <w:r>
      <w:rPr>
        <w:rFonts w:ascii="Arial" w:hAnsi="Arial" w:cs="Arial"/>
        <w:b/>
        <w:sz w:val="48"/>
      </w:rPr>
      <w:tab/>
    </w:r>
    <w:r>
      <w:tab/>
    </w:r>
    <w:r>
      <w:rPr>
        <w:rFonts w:ascii="Arial" w:hAnsi="Arial" w:cs="Arial"/>
        <w:b/>
        <w:sz w:val="48"/>
      </w:rPr>
      <w:t>MT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Wara l-konklużjonijiet tal-Kunsill tas-17 ta’ Ottubru 2006 (13339/06), il-Mekkaniżmu ġie stabbilit bid-Deċiżjoni tal-Kummissjoni tat-13 ta’ Diċembru 2006, ĠU L 354, 14.12.2006, p. 58.</w:t>
      </w:r>
    </w:p>
  </w:footnote>
  <w:footnote w:id="3">
    <w:p>
      <w:pPr>
        <w:pStyle w:val="FootnoteText"/>
        <w:spacing w:after="0"/>
        <w:ind w:left="284" w:hanging="284"/>
      </w:pPr>
      <w:r>
        <w:rPr>
          <w:rStyle w:val="FootnoteReference"/>
        </w:rPr>
        <w:footnoteRef/>
      </w:r>
      <w:r>
        <w:t xml:space="preserve"> </w:t>
      </w:r>
      <w:r>
        <w:tab/>
        <w:t>Il-Konklużjonijiet tal-Kunsill dwar il-Mekkaniżmu għall-Kooperazzjoni u l-Verifika, it-12 ta’ Diċembru.</w:t>
      </w:r>
    </w:p>
  </w:footnote>
  <w:footnote w:id="4">
    <w:p>
      <w:pPr>
        <w:pStyle w:val="FootnoteText"/>
        <w:spacing w:after="0"/>
        <w:ind w:left="284" w:hanging="284"/>
      </w:pPr>
      <w:r>
        <w:rPr>
          <w:rStyle w:val="FootnoteReference"/>
        </w:rPr>
        <w:footnoteRef/>
      </w:r>
      <w:r>
        <w:t xml:space="preserve"> </w:t>
      </w:r>
      <w:r>
        <w:tab/>
        <w:t>Filwaqt li l-Parlament Ewropew inizjalment appoġġa t-terminazzjoni tas-CVM (ara l-ittra mill-President Sassoli tal-20 ta’ Diċembru 2019 lill-President von der Leyen), issa ħa pożizzjoni oħra (ara r-riżoluzzjoni tal-Parlament Ewropew tat-8 ta’ Ottubru 2020 dwar l-istat tad-dritt u d-drittijiet fundamentali fil-Bulgarija (2020/2793 (RSP)). Fil-Kunsill, ma ntlaħaq l-ebda kunsens dwar il-konklużjonijiet li jirrigwardaw il-kwistjoni. Fir-rapport tal-Presidenza tagħha tat-13 ta’ Diċembru 2019, il-Presidenza Finlandiża nnutat id-diviżjoni fil-Kunsill dwar il-linja li għandha tittieħed fir-rigward tal-Bulgarija.</w:t>
      </w:r>
    </w:p>
  </w:footnote>
  <w:footnote w:id="5">
    <w:p>
      <w:pPr>
        <w:pStyle w:val="FootnoteText"/>
        <w:spacing w:after="0"/>
        <w:ind w:left="284" w:hanging="284"/>
      </w:pPr>
      <w:r>
        <w:rPr>
          <w:rStyle w:val="FootnoteReference"/>
        </w:rPr>
        <w:footnoteRef/>
      </w:r>
      <w:r>
        <w:t xml:space="preserve"> </w:t>
      </w:r>
      <w:r>
        <w:tab/>
        <w:t>Għad-deskrizzjoni tal-istruttura ġudizzjarja ara, pereżempju, l-istudju dwar il-funzjonament tas-sistemi ġudizzjarji fl-Istati Membri tal-UE, tas-CEPEJ (2020).</w:t>
      </w:r>
    </w:p>
  </w:footnote>
  <w:footnote w:id="6">
    <w:p>
      <w:pPr>
        <w:pStyle w:val="FootnoteText"/>
        <w:spacing w:after="0"/>
        <w:ind w:left="284" w:hanging="284"/>
      </w:pPr>
      <w:r>
        <w:rPr>
          <w:rStyle w:val="FootnoteReference"/>
        </w:rPr>
        <w:footnoteRef/>
      </w:r>
      <w:r>
        <w:t xml:space="preserve"> </w:t>
      </w:r>
      <w:r>
        <w:tab/>
        <w:t xml:space="preserve">Ara r-Rapport tal-2020 dwar l-Istat tad-Dritt, il-Kapitolu tal-pajjiż dwar is-sitwazzjoni tal-istat tad-dritt fil-Bulgarija, p. 2. </w:t>
      </w:r>
    </w:p>
  </w:footnote>
  <w:footnote w:id="7">
    <w:p>
      <w:pPr>
        <w:pStyle w:val="FootnoteText"/>
        <w:spacing w:after="0"/>
        <w:ind w:left="284" w:hanging="284"/>
      </w:pPr>
      <w:r>
        <w:rPr>
          <w:rStyle w:val="FootnoteReference"/>
        </w:rPr>
        <w:footnoteRef/>
      </w:r>
      <w:r>
        <w:t xml:space="preserve"> </w:t>
      </w:r>
      <w:r>
        <w:tab/>
        <w:t>L-Artikoli minn 126 sa 128 tal-Kostituzzjoni.</w:t>
      </w:r>
    </w:p>
  </w:footnote>
  <w:footnote w:id="8">
    <w:p>
      <w:pPr>
        <w:pStyle w:val="FootnoteText"/>
        <w:spacing w:after="0"/>
        <w:ind w:left="284" w:hanging="284"/>
      </w:pPr>
      <w:r>
        <w:rPr>
          <w:rStyle w:val="FootnoteReference"/>
        </w:rPr>
        <w:footnoteRef/>
      </w:r>
      <w:r>
        <w:t xml:space="preserve"> </w:t>
      </w:r>
      <w:r>
        <w:tab/>
        <w:t>L-opinjoni tal-Kummissjoni ta’ Venezja (CDL-AD(2019)031), il-paragrafi 13-14: Il-biċċa l-kbira tal-investigaturi huma uffiċjali tal-pulizija, li huma ssorveljati b’mod proċedurali mill-prosekuturi; għadd iżgħar ta’ investigaturi għandhom l-</w:t>
      </w:r>
      <w:r>
        <w:rPr>
          <w:i/>
          <w:iCs/>
        </w:rPr>
        <w:t>istatus</w:t>
      </w:r>
      <w:r>
        <w:t xml:space="preserve"> ta’ maġistrati u jaħdmu fis-Servizz Investigattiv Nazzjonali jew fl-unitajiet investigattivi li jagħmlu parti mill-uffiċċji tal-prosekuturi fil-livell reġjonali. Proċeduralment, dawn kollha jaqgħu taħt is-superviżjoni tal-prosekuturi. Is-superviżjoni proċedurali tfisser li prosekutur ta’ superviżjoni jista’ jħassar id-deċiżjonijiet kollha ta’ investigatur. Min-naħa tiegħu, il-prosekutur ta’ superviżjoni huwa soġġett għal superviżjoni minn prosekutur ta’ ġerarkija superjuri, sal-livell tal-Prosekutur Ġenerali.</w:t>
      </w:r>
    </w:p>
  </w:footnote>
  <w:footnote w:id="9">
    <w:p>
      <w:pPr>
        <w:pStyle w:val="FootnoteText"/>
        <w:spacing w:after="0"/>
        <w:ind w:left="284" w:hanging="284"/>
      </w:pPr>
      <w:r>
        <w:rPr>
          <w:rStyle w:val="FootnoteReference"/>
        </w:rPr>
        <w:footnoteRef/>
      </w:r>
      <w:r>
        <w:t xml:space="preserve"> </w:t>
      </w:r>
      <w:r>
        <w:tab/>
        <w:t xml:space="preserve">Il-plenarja tal-Kunsill Superjuri tal-Maġistratura għandha 25 membru. Il-Kunsill Superjuri tal-Maġistratura huwa magħmul mill-Awla Ġudizzjarja u mill-Kamra tal-Prosekuzzjoni. L-Awla Ġudizzjarja hija magħmula minn sitt imħallfin eletti minn imħallfin, sitt membri eletti mill-Parlament u l-presidenti tal-ogħla żewġ qrati, li huma membri </w:t>
      </w:r>
      <w:r>
        <w:rPr>
          <w:i/>
          <w:iCs/>
        </w:rPr>
        <w:t>ex officio</w:t>
      </w:r>
      <w:r>
        <w:t xml:space="preserve">. Il-Kamra tal-Prosekuzzjoni hija magħmula minn erba’ prosekuturi u maġistrat investigattiv eletti mill-pari tagħhom, ħames membri eletti mill-Parlament, u l-Prosekutur Ġenerali, li huwa membru </w:t>
      </w:r>
      <w:r>
        <w:rPr>
          <w:i/>
          <w:iCs/>
        </w:rPr>
        <w:t>ex officio</w:t>
      </w:r>
      <w:r>
        <w:t>.</w:t>
      </w:r>
    </w:p>
  </w:footnote>
  <w:footnote w:id="10">
    <w:p>
      <w:pPr>
        <w:pStyle w:val="FootnoteText"/>
        <w:spacing w:after="0"/>
        <w:ind w:left="284" w:hanging="284"/>
      </w:pPr>
      <w:r>
        <w:rPr>
          <w:rStyle w:val="FootnoteReference"/>
        </w:rPr>
        <w:footnoteRef/>
      </w:r>
      <w:r>
        <w:t xml:space="preserve"> </w:t>
      </w:r>
      <w:r>
        <w:tab/>
        <w:t xml:space="preserve">Ara r-Rapport tal-2020 dwar l-Istat tad-Dritt, il-Kapitolu tal-pajjiż dwar is-sitwazzjoni tal-istat tad-dritt fil-Bulgarija, p. 3. </w:t>
      </w:r>
    </w:p>
  </w:footnote>
  <w:footnote w:id="11">
    <w:p>
      <w:pPr>
        <w:pStyle w:val="FootnoteText"/>
        <w:spacing w:after="0"/>
        <w:ind w:left="284" w:hanging="284"/>
      </w:pPr>
      <w:r>
        <w:rPr>
          <w:rStyle w:val="FootnoteReference"/>
        </w:rPr>
        <w:footnoteRef/>
      </w:r>
      <w:r>
        <w:t xml:space="preserve"> </w:t>
      </w:r>
      <w:r>
        <w:tab/>
        <w:t>L-illustrazzjonijiet 48 u 50, it-Tabella ta’ Valutazzjoni tal-Ġustizzja tal-UE tal-2021. Il-livell tal-indipendenza ġudizzjarja perċepit huwa kategorizzat kif ġej: baxx ħafna (anqas minn 30 % ta’ dawk li rrispondew jipperċepixxu l-indipendenza ġudizzjarja bħala pjuttost tajba jew tajba ħafna); baxx (bejn 30-39 %), medju (bejn 40-59 %), għoli (bejn 60-75 %), għoli ħafna (’il fuq minn 75 %).</w:t>
      </w:r>
    </w:p>
  </w:footnote>
  <w:footnote w:id="12">
    <w:p>
      <w:pPr>
        <w:pStyle w:val="FootnoteText"/>
        <w:spacing w:after="0"/>
        <w:ind w:left="284" w:hanging="284"/>
      </w:pPr>
      <w:r>
        <w:rPr>
          <w:rStyle w:val="FootnoteReference"/>
        </w:rPr>
        <w:footnoteRef/>
      </w:r>
      <w:r>
        <w:t xml:space="preserve"> </w:t>
      </w:r>
      <w:r>
        <w:tab/>
        <w:t>Ir-Rapport dwar il-progress tal-Bulgarija 2019[COM(2019)498], p. 6.</w:t>
      </w:r>
    </w:p>
  </w:footnote>
  <w:footnote w:id="13">
    <w:p>
      <w:pPr>
        <w:pStyle w:val="FootnoteText"/>
        <w:spacing w:after="0"/>
        <w:ind w:left="284" w:hanging="284"/>
      </w:pPr>
      <w:r>
        <w:rPr>
          <w:rStyle w:val="FootnoteReference"/>
        </w:rPr>
        <w:footnoteRef/>
      </w:r>
      <w:r>
        <w:t xml:space="preserve"> </w:t>
      </w:r>
      <w:r>
        <w:tab/>
        <w:t xml:space="preserve">Il-QEDB, is-sentenza tal-5 ta’ Frar 2010 </w:t>
      </w:r>
      <w:r>
        <w:rPr>
          <w:i/>
          <w:iCs/>
        </w:rPr>
        <w:t>Kolevi vs il-Bulgarija</w:t>
      </w:r>
      <w:r>
        <w:t>, il-para. 121-127, 129, 135 u 136.</w:t>
      </w:r>
    </w:p>
  </w:footnote>
  <w:footnote w:id="14">
    <w:p>
      <w:pPr>
        <w:pStyle w:val="FootnoteText"/>
        <w:spacing w:after="0"/>
        <w:ind w:left="284" w:hanging="284"/>
      </w:pPr>
      <w:r>
        <w:rPr>
          <w:rStyle w:val="FootnoteReference"/>
        </w:rPr>
        <w:footnoteRef/>
      </w:r>
      <w:r>
        <w:t xml:space="preserve"> </w:t>
      </w:r>
      <w:r>
        <w:tab/>
        <w:t xml:space="preserve">Il-Kunsill tal-Ewropa, is-Superviżjoni tal-eżekuzzjoni tas-sentenzi tal-Qorti Ewropea, </w:t>
      </w:r>
      <w:r>
        <w:rPr>
          <w:rStyle w:val="Strong"/>
          <w:b w:val="0"/>
          <w:color w:val="333333"/>
          <w:shd w:val="clear" w:color="auto" w:fill="FFFFFF"/>
        </w:rPr>
        <w:t xml:space="preserve">id-deċiżjoni tal-Kumitat tal-Ministri </w:t>
      </w:r>
      <w:r>
        <w:rPr>
          <w:rStyle w:val="sb6c4b58f"/>
          <w:bCs/>
          <w:shd w:val="clear" w:color="auto" w:fill="FFFFFF"/>
        </w:rPr>
        <w:t xml:space="preserve">CM/Del/Dec(2021)1398/H46-6 tal-11 ta’ Marzu 2021 u </w:t>
      </w:r>
      <w:r>
        <w:rPr>
          <w:rStyle w:val="Strong"/>
          <w:b w:val="0"/>
          <w:color w:val="333333"/>
          <w:shd w:val="clear" w:color="auto" w:fill="FFFFFF"/>
        </w:rPr>
        <w:t xml:space="preserve">CM/Notes/1398/H46-6 tad-9-11 ta’ March </w:t>
      </w:r>
      <w:r>
        <w:rPr>
          <w:rStyle w:val="sb6c4b58f"/>
          <w:bCs/>
          <w:shd w:val="clear" w:color="auto" w:fill="FFFFFF"/>
        </w:rPr>
        <w:t xml:space="preserve">; </w:t>
      </w:r>
      <w:r>
        <w:t xml:space="preserve">Id-Deċiżjoni tal-Kumitat tal-Ministri CM/Del/Dec(2020) 1377bis/H46-9 tal-1-3 ta’ Settembru 2020 u CM/Notes/1377bis/H46-9 tat-3 ta’ Settembru 2020. Ara wkoll il-Kumitat tal-Ministri (ir-Riżoluzzjoni </w:t>
      </w:r>
      <w:r>
        <w:rPr>
          <w:i/>
          <w:iCs/>
        </w:rPr>
        <w:t>Interim</w:t>
      </w:r>
      <w:r>
        <w:t xml:space="preserve"> CM/ResDH(2019)367 tal-5 ta’ Diċembru 2019 u CM/Notes/1362/H46-6 tat-3-5 ta’ Diċembru 2019; l-Opinjoni tal-Kummissjoni ta’ Venezja (CDL-AD(2019)031).</w:t>
      </w:r>
    </w:p>
  </w:footnote>
  <w:footnote w:id="15">
    <w:p>
      <w:pPr>
        <w:pStyle w:val="FootnoteText"/>
        <w:spacing w:after="0"/>
        <w:ind w:left="284" w:hanging="284"/>
      </w:pPr>
      <w:r>
        <w:rPr>
          <w:rStyle w:val="FootnoteReference"/>
        </w:rPr>
        <w:footnoteRef/>
      </w:r>
      <w:r>
        <w:t xml:space="preserve"> </w:t>
      </w:r>
      <w:r>
        <w:tab/>
        <w:t xml:space="preserve">Il-Prosekutur Ġenerali jista’ jannulla jew jemenda kull deċiżjoni meħuda minn kwalunkwe prosekutur li ma tkunx ġiet rieżaminata minn imħallef. Barra minn hekk, jista’ jissekonda lil prosekuturi mingħajr il-kunsens tagħhom, għal perjodu ta’ tliet xhur f’sena kalendarja, u joħroġ struzzjonijiet bil-miktub lill-prosekuturi, li jkunu jirrigwardaw biss l-applikazzjoni tal-liġi, inkluż f’kawżi individwali. Il-Prosekutur Ġenerali għandu wkoll setgħat sinifikanti fuq il-prosekuturi li huma l-kapijiet tal-uffiċċji fil-livell distrettwali jew provinċjali. </w:t>
      </w:r>
    </w:p>
  </w:footnote>
  <w:footnote w:id="16">
    <w:p>
      <w:pPr>
        <w:pStyle w:val="FootnoteText"/>
        <w:spacing w:after="0"/>
        <w:ind w:left="284" w:hanging="284"/>
      </w:pPr>
      <w:r>
        <w:rPr>
          <w:rStyle w:val="FootnoteReference"/>
        </w:rPr>
        <w:footnoteRef/>
      </w:r>
      <w:r>
        <w:t xml:space="preserve"> </w:t>
      </w:r>
      <w:r>
        <w:tab/>
        <w:t xml:space="preserve">Fil-Kamra tal-Prosekuturi (magħmula minn erba’ prosekuturi u maġistrat inkwirenti elett mill-pari tagħhom, ħames membri eletti mill-Parlament – li attwalment kollha huma prosekuturi jew maġistrati inkwirenti fil-kompożizzjoni attwali – u l-Prosekutur Ġenerali), il-Prosekutur Ġenerali, membru u president </w:t>
      </w:r>
      <w:r>
        <w:rPr>
          <w:i/>
          <w:iCs/>
        </w:rPr>
        <w:t>ex officio</w:t>
      </w:r>
      <w:r>
        <w:t>, għandu rwol deċiżiv fir-rigward tal-karriera u l-proċedimenti dixxiplinari li jirrigwardaw il-prosekuturi. Fil-Plenarja, il-membri tal-prosekuzzjoni normalment jivvutaw bħala grupp f’daqqa li jappoġġa lill-Prosekutur Ġenerali.</w:t>
      </w:r>
    </w:p>
  </w:footnote>
  <w:footnote w:id="17">
    <w:p>
      <w:pPr>
        <w:pStyle w:val="FootnoteText"/>
        <w:spacing w:after="0"/>
        <w:ind w:left="284" w:hanging="284"/>
      </w:pPr>
      <w:r>
        <w:rPr>
          <w:rStyle w:val="FootnoteReference"/>
        </w:rPr>
        <w:footnoteRef/>
      </w:r>
      <w:r>
        <w:t xml:space="preserve"> </w:t>
      </w:r>
      <w:r>
        <w:tab/>
        <w:t xml:space="preserve">Il-Kunsill tal-Ewropa, is-Superviżjoni tal-eżekuzzjoni tas-sentenzi tal-Qorti Ewropea, CM/Del/Dec(2021)1398/H46-6 tad-9-11 ta’ Marzu 2021.  </w:t>
      </w:r>
      <w:r>
        <w:tab/>
        <w:t xml:space="preserve">Ara wkoll ir-Rapport tal-2020 dwar l-Istat tad-Dritt, il-Kapitolu tal-pajjiż dwar is-sitwazzjoni tal-istat tad-dritt fil-Bulgarija, p. 3. </w:t>
      </w:r>
    </w:p>
  </w:footnote>
  <w:footnote w:id="18">
    <w:p>
      <w:pPr>
        <w:pStyle w:val="FootnoteText"/>
        <w:spacing w:after="0"/>
        <w:ind w:left="284" w:hanging="284"/>
      </w:pPr>
      <w:r>
        <w:rPr>
          <w:rStyle w:val="FootnoteReference"/>
        </w:rPr>
        <w:footnoteRef/>
      </w:r>
      <w:r>
        <w:t xml:space="preserve"> </w:t>
      </w:r>
      <w:r>
        <w:tab/>
        <w:t xml:space="preserve">Il-QEDB, is-sentenza tal-5 ta’ Frar 2010 </w:t>
      </w:r>
      <w:r>
        <w:rPr>
          <w:i/>
          <w:iCs/>
        </w:rPr>
        <w:t xml:space="preserve">Kolevi vs il-Bulgarija </w:t>
      </w:r>
    </w:p>
  </w:footnote>
  <w:footnote w:id="19">
    <w:p>
      <w:pPr>
        <w:pStyle w:val="FootnoteText"/>
        <w:spacing w:after="0"/>
        <w:ind w:left="284" w:hanging="284"/>
      </w:pPr>
      <w:r>
        <w:rPr>
          <w:rStyle w:val="FootnoteReference"/>
        </w:rPr>
        <w:footnoteRef/>
      </w:r>
      <w:r>
        <w:t xml:space="preserve"> </w:t>
      </w:r>
      <w:r>
        <w:tab/>
        <w:t>Liġi li tissupplimenta l-Kodiċi tal-Proċedura Kriminali promulgata fil-Gazzetta tal-Istat bin-numru 16 tal-23 ta’ Frar 2021.</w:t>
      </w:r>
    </w:p>
  </w:footnote>
  <w:footnote w:id="20">
    <w:p>
      <w:pPr>
        <w:pStyle w:val="FootnoteText"/>
        <w:spacing w:after="0"/>
        <w:ind w:left="284" w:hanging="284"/>
      </w:pPr>
      <w:r>
        <w:rPr>
          <w:rStyle w:val="FootnoteReference"/>
        </w:rPr>
        <w:footnoteRef/>
      </w:r>
      <w:r>
        <w:t xml:space="preserve"> </w:t>
      </w:r>
      <w:r>
        <w:tab/>
        <w:t>Dan il-prosekutur speċjali kellu jinħatar fuq proposta ta’ sitt membri tal-Plenarja tal-Kunsill Superjuri tal-Maġistratura jew b’awtonominazzjoni għal ħames snin b’maġġoranza ta’ ħmistax-il vot (minn ħamsa u għoxrin) fil-Plenarja tal-Kunsill Superjuri tal-Maġistratura. Fit-twettiq tal-investigazzjoni, il-prosekutur speċjali seta’ jiġi assistit minn maġistrat inkwirenti mill-Uffiċċju tal-Prosekutur Speċjalizzat. Fi tmiem il-mandat, il-prosekutur speċjali kien ikun jista’ jsir imħallef jew maġistrat inkwirenti, jew jibqa’ prosekutur, fl-istess livell bħall-pożizzjoni li kellu l-Uffiċċju tal-Prosekutur qabel il-mandat, jew f’livell ogħla. Il-Prosekutur speċjali igawdi minn indipendenza ġerarkika u fid-deċiżjonijiet li jieħu. .</w:t>
      </w:r>
    </w:p>
  </w:footnote>
  <w:footnote w:id="21">
    <w:p>
      <w:pPr>
        <w:pStyle w:val="FootnoteText"/>
        <w:spacing w:after="0"/>
        <w:ind w:left="284" w:hanging="284"/>
      </w:pPr>
      <w:r>
        <w:rPr>
          <w:rStyle w:val="FootnoteReference"/>
        </w:rPr>
        <w:footnoteRef/>
      </w:r>
      <w:r>
        <w:t xml:space="preserve"> </w:t>
      </w:r>
      <w:r>
        <w:tab/>
        <w:t>Ir-rifjut, minn prosekutur ordinarju, li jiftaħ investigazzjoni mhuwiex soġġett għal stħarriġ ġudizzjarju; dan jista’ jiġi revokat biss minn prosekutur ta’ livell ogħla.</w:t>
      </w:r>
    </w:p>
  </w:footnote>
  <w:footnote w:id="22">
    <w:p>
      <w:pPr>
        <w:pStyle w:val="FootnoteText"/>
        <w:spacing w:after="0"/>
        <w:ind w:left="284" w:hanging="284"/>
      </w:pPr>
      <w:r>
        <w:rPr>
          <w:rStyle w:val="FootnoteReference"/>
        </w:rPr>
        <w:footnoteRef/>
      </w:r>
      <w:r>
        <w:t xml:space="preserve"> </w:t>
      </w:r>
      <w:r>
        <w:tab/>
        <w:t>Il-każijiet investigati mill-prosekutur speċjali kellhom jiġu ttrattati mill-Qorti Kriminali Speċjalizzata tal-ewwel istanza, il-Qorti Kriminali Speċjalizzata tat-tieni istanza, u l-Qorti Suprema tal-Kassazzjoni tal-aħħar istanza.</w:t>
      </w:r>
    </w:p>
  </w:footnote>
  <w:footnote w:id="23">
    <w:p>
      <w:pPr>
        <w:pStyle w:val="FootnoteText"/>
        <w:spacing w:after="0"/>
        <w:ind w:left="284" w:hanging="284"/>
      </w:pPr>
      <w:r>
        <w:rPr>
          <w:rStyle w:val="FootnoteReference"/>
        </w:rPr>
        <w:footnoteRef/>
      </w:r>
      <w:r>
        <w:t xml:space="preserve"> </w:t>
      </w:r>
      <w:r>
        <w:tab/>
        <w:t xml:space="preserve">Il-Kunsill tal-Ewropa, is-Superviżjoni tal-eżekuzzjoni tas-sentenzi tal-Qorti Ewropea, </w:t>
      </w:r>
      <w:r>
        <w:rPr>
          <w:rStyle w:val="Strong"/>
          <w:b w:val="0"/>
          <w:color w:val="333333"/>
          <w:shd w:val="clear" w:color="auto" w:fill="FFFFFF"/>
        </w:rPr>
        <w:t xml:space="preserve">id-deċiżjoni tal-Kumitat tal-Ministri </w:t>
      </w:r>
      <w:r>
        <w:rPr>
          <w:rStyle w:val="sb6c4b58f"/>
          <w:bCs/>
          <w:shd w:val="clear" w:color="auto" w:fill="FFFFFF"/>
        </w:rPr>
        <w:t xml:space="preserve">CM/Del/Dec(2021)1398/H46-6 tal-11 ta’ Marzu 2021 u </w:t>
      </w:r>
      <w:r>
        <w:rPr>
          <w:rStyle w:val="Strong"/>
          <w:b w:val="0"/>
          <w:color w:val="333333"/>
          <w:shd w:val="clear" w:color="auto" w:fill="FFFFFF"/>
        </w:rPr>
        <w:t xml:space="preserve">CM/Notes/1398/H46-6 tad-9-11 ta’ March </w:t>
      </w:r>
      <w:r>
        <w:t>; l-abbozz ta’ liġi qies uħud mill-kummenti preliminari tad-Direttorat għad-Drittijiet tal-Bniedem tal-Kunsill tal-Ewropa mibgħuta lill-awtoritajiet Bulgari fil-15 ta’ Diċembru 2020, fit-18 u fid-19 ta’ Jannar 2021.</w:t>
      </w:r>
    </w:p>
  </w:footnote>
  <w:footnote w:id="24">
    <w:p>
      <w:pPr>
        <w:pStyle w:val="FootnoteText"/>
        <w:spacing w:after="0"/>
        <w:ind w:left="284" w:hanging="284"/>
      </w:pPr>
      <w:r>
        <w:rPr>
          <w:rStyle w:val="FootnoteReference"/>
        </w:rPr>
        <w:footnoteRef/>
      </w:r>
      <w:r>
        <w:t xml:space="preserve"> </w:t>
      </w:r>
      <w:r>
        <w:tab/>
        <w:t>Il-Kawża Kostituzzjonali Nru 4 tal-2021.</w:t>
      </w:r>
    </w:p>
  </w:footnote>
  <w:footnote w:id="25">
    <w:p>
      <w:pPr>
        <w:pStyle w:val="FootnoteText"/>
        <w:spacing w:after="0"/>
        <w:ind w:left="284" w:hanging="284"/>
      </w:pPr>
      <w:r>
        <w:rPr>
          <w:rStyle w:val="FootnoteReference"/>
        </w:rPr>
        <w:footnoteRef/>
      </w:r>
      <w:r>
        <w:t xml:space="preserve"> </w:t>
      </w:r>
      <w:r>
        <w:tab/>
        <w:t>Id-Deċiżjoni tal-Plenarja tal-SJC, il-Protokoll Nru 6 tat-8 ta’ April 2021.</w:t>
      </w:r>
    </w:p>
  </w:footnote>
  <w:footnote w:id="26">
    <w:p>
      <w:pPr>
        <w:pStyle w:val="FootnoteText"/>
        <w:spacing w:after="0"/>
        <w:ind w:left="284" w:hanging="284"/>
      </w:pPr>
      <w:r>
        <w:rPr>
          <w:rStyle w:val="FootnoteReference"/>
        </w:rPr>
        <w:footnoteRef/>
      </w:r>
      <w:r>
        <w:t xml:space="preserve"> </w:t>
      </w:r>
      <w:r>
        <w:tab/>
        <w:t>Id-Deċiżjoni tal-Qorti Kostituzzjonali Nru 7 tal-2021.</w:t>
      </w:r>
    </w:p>
  </w:footnote>
  <w:footnote w:id="27">
    <w:p>
      <w:pPr>
        <w:pStyle w:val="FootnoteText"/>
        <w:spacing w:after="0"/>
        <w:ind w:left="284" w:hanging="284"/>
      </w:pPr>
      <w:r>
        <w:rPr>
          <w:rStyle w:val="FootnoteReference"/>
        </w:rPr>
        <w:footnoteRef/>
      </w:r>
      <w:r>
        <w:rPr>
          <w:rStyle w:val="FootnoteReference"/>
        </w:rPr>
        <w:t xml:space="preserve"> </w:t>
      </w:r>
      <w:r>
        <w:tab/>
        <w:t xml:space="preserve">Fin-nuqqas ta’ titjib biex jiġi indirizzat it-tħassib eżistenti, id-Dipartiment għall-Eżekuzzjoni tas-Sentenzi tal-Qorti Ewropea tad-Drittijiet tal-Bniedem iddikjara li l-mekkaniżmu l-ġdid għandu jitqies bħala soluzzjoni temporanja. </w:t>
      </w:r>
    </w:p>
  </w:footnote>
  <w:footnote w:id="28">
    <w:p>
      <w:pPr>
        <w:pStyle w:val="FootnoteText"/>
        <w:spacing w:after="0"/>
        <w:ind w:left="284" w:hanging="284"/>
      </w:pPr>
      <w:r>
        <w:rPr>
          <w:rStyle w:val="FootnoteReference"/>
        </w:rPr>
        <w:footnoteRef/>
      </w:r>
      <w:r>
        <w:t xml:space="preserve"> </w:t>
      </w:r>
      <w:r>
        <w:tab/>
        <w:t>CM/Del/Dec(2021)1398/H46-6 tad-9-11 ta’ Marzu 2021</w:t>
      </w:r>
    </w:p>
  </w:footnote>
  <w:footnote w:id="29">
    <w:p>
      <w:pPr>
        <w:pStyle w:val="FootnoteText"/>
        <w:spacing w:after="0"/>
        <w:ind w:left="284" w:hanging="284"/>
      </w:pPr>
      <w:r>
        <w:rPr>
          <w:rStyle w:val="FootnoteReference"/>
        </w:rPr>
        <w:footnoteRef/>
      </w:r>
      <w:r>
        <w:t xml:space="preserve"> </w:t>
      </w:r>
      <w:r>
        <w:tab/>
        <w:t xml:space="preserve">Il-Kunsill tal-Ewropa, is-Superviżjoni tal-eżekuzzjoni tas-sentenzi tal-Qorti Ewropea, CM/Del/Dec(2021)1398/H46-6 tad-9-11 ta’ Marzu 2021. Ara wkoll ir-Rapport tal-2020 dwar l-Istat tad-Dritt, il-Kapitolu tal-pajjiż dwar is-sitwazzjoni tal-istat tad-dritt fil-Bulgarija, il-paġna 3. </w:t>
      </w:r>
    </w:p>
  </w:footnote>
  <w:footnote w:id="30">
    <w:p>
      <w:pPr>
        <w:pStyle w:val="FootnoteText"/>
        <w:spacing w:after="0"/>
        <w:ind w:left="284" w:hanging="284"/>
      </w:pPr>
      <w:r>
        <w:rPr>
          <w:rStyle w:val="FootnoteReference"/>
        </w:rPr>
        <w:footnoteRef/>
      </w:r>
      <w:r>
        <w:t xml:space="preserve"> </w:t>
      </w:r>
      <w:r>
        <w:tab/>
        <w:t xml:space="preserve">Il-kandidati potenzjali għall-kariga ta’ prosekutur jistgħu jpoġġu f’riskju l-karriera tagħhom, f’każ li l-Prosekutur Ġenerali joġġezzjona għall-kandidatura tagħhom, billi l-membri kollha tal-Kamra tal-Prosekuzzjoni tal-Kunsill Superjuri tal-Maġistratura huma wkoll is-subordinati tal-Prosekutur Ġenerali (H/Exec (2021)9 tal-11 ta’ Marzu 2021, il-Memorandum imħejji mid-Dipartiment għall-Eżekuzzjoni ta’ Sentenzi tal-Qorti Ewropea tad-Drittijiet tal-Bniedem). </w:t>
      </w:r>
    </w:p>
  </w:footnote>
  <w:footnote w:id="31">
    <w:p>
      <w:pPr>
        <w:pStyle w:val="FootnoteText"/>
        <w:spacing w:after="0"/>
        <w:ind w:left="284" w:hanging="284"/>
      </w:pPr>
      <w:r>
        <w:rPr>
          <w:rStyle w:val="FootnoteReference"/>
        </w:rPr>
        <w:footnoteRef/>
      </w:r>
      <w:r>
        <w:t xml:space="preserve"> </w:t>
      </w:r>
      <w:r>
        <w:tab/>
        <w:t xml:space="preserve">Minħabba t-taħlita ta’ setgħat tal-Prosekutur Ġenerali u l-pożizzjoni tiegħu/tagħha fil-Kunsill Superjuri tal-Maġistratura, il-votazzjoni b’maġġoranza ta’ 15 minn 25 vot fil-Plenarja “ma jagħmilhiex impossibbli għall-Kap Prosekutur li jkun jista’ jinfluwenza l-ħatra jew il-karriera tal-persuni li jkollhom ir-responsabbilà li jinvestigawh jew jew jinvestigawha”, kif tirrikjedi r-Riżoluzzjoni </w:t>
      </w:r>
      <w:r>
        <w:rPr>
          <w:i/>
          <w:iCs/>
        </w:rPr>
        <w:t>Interim</w:t>
      </w:r>
      <w:r>
        <w:t xml:space="preserve"> CM/ResDH(2019)367 tal-Kumitat. Fil-fatt, 11-il membru (minn 25) mill-Kamra tal-Prosekuzzjoni jistgħu jivvutaw bħala grupp f’daqqa fid-difiża tal-interessi tal-Prosekutur Ġenerali. B’dan il-mod jistgħu jeżerċitaw veto fuq id-deċiżjonijiet tal-Plenarja jew jobbligaw lill-Plenarja biex tikkunsidra biss kandidati aċċettati minn Prosekutur Ġenerali. Barra minn hekk, bl-appoġġ ta’ ftit membri oħra bl-“influwenza </w:t>
      </w:r>
      <w:r>
        <w:rPr>
          <w:i/>
        </w:rPr>
        <w:t>de facto</w:t>
      </w:r>
      <w:r>
        <w:t>” tal-Prosekutur Ġenerali (CM/Notes/1398/H46-6), dawn jistgħu jirrappreżentaw il-komponent priċipali tal-maġġoranza.</w:t>
      </w:r>
    </w:p>
  </w:footnote>
  <w:footnote w:id="32">
    <w:p>
      <w:pPr>
        <w:pStyle w:val="FootnoteText"/>
        <w:spacing w:after="0"/>
        <w:ind w:left="284" w:hanging="284"/>
      </w:pPr>
      <w:r>
        <w:rPr>
          <w:rStyle w:val="FootnoteReference"/>
        </w:rPr>
        <w:footnoteRef/>
      </w:r>
      <w:r>
        <w:t xml:space="preserve"> </w:t>
      </w:r>
      <w:r>
        <w:tab/>
        <w:t xml:space="preserve"> Il-deċiżjoni tal-Kumitat tal-Ministri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Dan filwaqt li jitqies ukoll li l-elezzjoni tal-SJC l-ġdid se ssir fl-2022. F’dan il-kuntest, il-Kunsill tal-Ewropa, filwaqt li indika li l-mekkaniżmu propost jista’ jitqies biss bħala soluzzjoni temporanja qabel ma ssir riforma usa’, issuġġerixxa li tiġi introdotta maġġoranza doppja għall-ħatra tal-prosekutur speċjali fil-Plenarja tal-SJC. </w:t>
      </w:r>
    </w:p>
  </w:footnote>
  <w:footnote w:id="34">
    <w:p>
      <w:pPr>
        <w:pStyle w:val="FootnoteText"/>
        <w:spacing w:after="0"/>
        <w:ind w:left="284" w:hanging="284"/>
      </w:pPr>
      <w:r>
        <w:rPr>
          <w:rStyle w:val="FootnoteReference"/>
        </w:rPr>
        <w:footnoteRef/>
      </w:r>
      <w:r>
        <w:t xml:space="preserve"> </w:t>
      </w:r>
      <w:r>
        <w:tab/>
        <w:t>Ta’ min ifakkar li fil-passat, ġie espress tħassib dwar il-possibbiltà li jiġi introdott stħarriġ ġudizzjarju minħabba li din l-emenda tinterferixxi mal-kompetenzi kostituzzjonali tal-Uffiċċju tal-Prosekutur. Peress li l-liġi l-ġdida tipprevedi li jsir stħarriġ ġudizzjarju fuq meta jiġi rrifjutat li tinfetaħ investigazzjoni kontra l-Prosekutur Ġenerali u d-deputati tiegħu jew tagħha, kwalunkwe dubju f’dan ir-rigward għosfor.</w:t>
      </w:r>
    </w:p>
  </w:footnote>
  <w:footnote w:id="35">
    <w:p>
      <w:pPr>
        <w:pStyle w:val="FootnoteText"/>
        <w:spacing w:after="0"/>
        <w:ind w:left="284" w:hanging="284"/>
      </w:pPr>
      <w:r>
        <w:rPr>
          <w:rStyle w:val="FootnoteReference"/>
        </w:rPr>
        <w:footnoteRef/>
      </w:r>
      <w:r>
        <w:t xml:space="preserve"> </w:t>
      </w:r>
      <w:r>
        <w:tab/>
        <w:t>Ara CM/Del/Dec(2021)1398/H46-6, il-para. 3; CM/Del/Dec(2020)1377bis/H46-9, il-para. 4; CM/Del/Dec(2019)1362/H46-6</w:t>
      </w:r>
    </w:p>
  </w:footnote>
  <w:footnote w:id="36">
    <w:p>
      <w:pPr>
        <w:pStyle w:val="FootnoteText"/>
        <w:spacing w:after="0"/>
        <w:ind w:left="284" w:hanging="284"/>
      </w:pPr>
      <w:r>
        <w:rPr>
          <w:rStyle w:val="FootnoteReference"/>
        </w:rPr>
        <w:footnoteRef/>
      </w:r>
      <w:r>
        <w:t xml:space="preserve"> </w:t>
      </w:r>
      <w:r>
        <w:tab/>
        <w:t xml:space="preserve">Il-Qorti Ewropea tad-Drittijiet tal-Bniedem, is-sentenza tat-3 ta’ Ġunju 2015, </w:t>
      </w:r>
      <w:r>
        <w:rPr>
          <w:i/>
        </w:rPr>
        <w:t>S.Z. vs il-Bulgarija</w:t>
      </w:r>
      <w:r>
        <w:t>, 29263/12</w:t>
      </w:r>
    </w:p>
  </w:footnote>
  <w:footnote w:id="37">
    <w:p>
      <w:pPr>
        <w:pStyle w:val="FootnoteText"/>
        <w:spacing w:after="0"/>
        <w:ind w:left="284" w:hanging="284"/>
      </w:pPr>
      <w:r>
        <w:rPr>
          <w:rStyle w:val="FootnoteReference"/>
        </w:rPr>
        <w:footnoteRef/>
      </w:r>
      <w:r>
        <w:t xml:space="preserve"> </w:t>
      </w:r>
      <w:r>
        <w:tab/>
        <w:t xml:space="preserve">CM/Rec(2010)12, il-para. 27; l-Opinjoni tal-Kummissjoni ta’ Venezja (CDL-AD(2020)035), il-para. 44; il-JSA, l-Artikoli 16(3) u (4) - il-kamra tal-Imħallfin tal-SJC (14-il membru) hija ppreseduta minn kwalunkwe wieħed mill-membri </w:t>
      </w:r>
      <w:r>
        <w:rPr>
          <w:i/>
          <w:iCs/>
        </w:rPr>
        <w:t>ex officio</w:t>
      </w:r>
      <w:r>
        <w:t>, mill-President tal-Qorti Suprema tal-Kassazzjoni jew mill-President tal-Qorti Amministrattiva Suprema. Sitta mill-membri huma eletti direttament mill-imħallfin u sitta oħra huma eletti mill-Parlament. Tista’ tintlaħaq maġġoranza, kemm fil-Plenarja tal-SJC kif ukoll fil-kamra tal-Imħallfin, mingħajr il-voti tal-imħallfin eletti mill-pari tagħhom.</w:t>
      </w:r>
    </w:p>
  </w:footnote>
  <w:footnote w:id="38">
    <w:p>
      <w:pPr>
        <w:pStyle w:val="FootnoteText"/>
        <w:spacing w:after="0"/>
        <w:ind w:left="284" w:hanging="284"/>
      </w:pPr>
      <w:r>
        <w:rPr>
          <w:rStyle w:val="FootnoteReference"/>
        </w:rPr>
        <w:footnoteRef/>
      </w:r>
      <w:r>
        <w:t xml:space="preserve"> </w:t>
      </w:r>
      <w:r>
        <w:tab/>
        <w:t>Minħabba l-pożizzjoni tal-Prosekutur Ġenerali fl-Uffiċċju tal-Prosekutur u r-rwol tiegħu bħala president tal-kamra tal-Prosekuturi, huwa għandu rwol deċiżiv fil-kamra tal-Prosekuturi u jeżerċita influwenza importanti fil-Plenarja tal-Kunsill Superjuri tal-Maġistratura.</w:t>
      </w:r>
    </w:p>
  </w:footnote>
  <w:footnote w:id="39">
    <w:p>
      <w:pPr>
        <w:pStyle w:val="FootnoteText"/>
        <w:spacing w:after="0"/>
        <w:ind w:left="284" w:hanging="284"/>
      </w:pPr>
      <w:r>
        <w:rPr>
          <w:rStyle w:val="FootnoteReference"/>
        </w:rPr>
        <w:footnoteRef/>
      </w:r>
      <w:r>
        <w:t xml:space="preserve"> </w:t>
      </w:r>
      <w:r>
        <w:tab/>
        <w:t xml:space="preserve">Il-JSA, l-Artikolu 16(3) u (4) - Il-Kamra tal-Prosekuturi (11-il membru) hija ppreseduta mill-membru </w:t>
      </w:r>
      <w:r>
        <w:rPr>
          <w:i/>
          <w:iCs/>
        </w:rPr>
        <w:t>ex officio</w:t>
      </w:r>
      <w:r>
        <w:t>, il-Prosekutur Ġenerali, u tikkonsisti f’ħames membri eletti mill-Parlament, erbgħa mill-prosekuturi u wieħed mill-investigaturi eletti mill-pari rispettivi tagħhom.</w:t>
      </w:r>
    </w:p>
  </w:footnote>
  <w:footnote w:id="40">
    <w:p>
      <w:pPr>
        <w:pStyle w:val="FootnoteText"/>
        <w:spacing w:after="0"/>
        <w:ind w:left="284" w:hanging="284"/>
      </w:pPr>
      <w:r>
        <w:rPr>
          <w:rStyle w:val="FootnoteReference"/>
        </w:rPr>
        <w:footnoteRef/>
      </w:r>
      <w:r>
        <w:t xml:space="preserve"> </w:t>
      </w:r>
      <w:r>
        <w:tab/>
        <w:t xml:space="preserve">Il-JSA, l-Artikolu 30(1) u 32 - Il-Plenarja tal-SJC (25 membru) tikkonsisti mill-membri taż-żewġ kmamar imsemmija qabel u hija ppreseduta mill-Ministru tal-Ġustizzja, li ma għandux id-dritt li jivvota. Il-Plenarja tal-SJC tiddeċiedi fuq l-abbozz tal-baġit, it-tneħħija dixxiplinari mill-kariga u l-proposti għall-ħatra tal-Presidenti tal-Qorti Suprema tal-Kassazzjoni, il-Qorti Amministrattiva Suprema u l-Prosekutur Ġenerali (il-JSA, l-Artikolu 30(2)). Iż-żewġ kmamar jieħdu deċiżjonijiet dwar il-ħatra, il-promozzjoni, ir-rilokazzjoni u r-rilaxx mill-kariga, kwistjonijiet relatati mal-akkwist u r-ristabbiliment tal-kariga u jiddeċiedu dwar sanzjonijiet dixxiplinari (il-JSA, l-Art. 30(5)); il-maġġoranzi tal-voti għal deċiżjonijiet tal-kamra tal-Imħallfin huma deskritti fl-Artikolu 33, il-paragrafu 4 tal-JSA. </w:t>
      </w:r>
    </w:p>
  </w:footnote>
  <w:footnote w:id="41">
    <w:p>
      <w:pPr>
        <w:pStyle w:val="FootnoteText"/>
        <w:spacing w:after="0"/>
        <w:ind w:left="284" w:hanging="284"/>
      </w:pPr>
      <w:r>
        <w:rPr>
          <w:rStyle w:val="FootnoteReference"/>
        </w:rPr>
        <w:footnoteRef/>
      </w:r>
      <w:r>
        <w:t xml:space="preserve"> </w:t>
      </w:r>
      <w:r>
        <w:tab/>
        <w:t>L-opinjoni tal-Kummissjoni ta’ Venezja (CDL-AD(2017)018), il-paragrafu 19.</w:t>
      </w:r>
    </w:p>
  </w:footnote>
  <w:footnote w:id="42">
    <w:p>
      <w:pPr>
        <w:pStyle w:val="FootnoteText"/>
        <w:spacing w:after="0"/>
        <w:ind w:left="284" w:hanging="284"/>
      </w:pPr>
      <w:r>
        <w:rPr>
          <w:rStyle w:val="FootnoteReference"/>
        </w:rPr>
        <w:footnoteRef/>
      </w:r>
      <w:r>
        <w:t xml:space="preserve"> </w:t>
      </w:r>
      <w:r>
        <w:tab/>
        <w:t>Il-membri onorarji huma kollha membri elettivi skont it-tifsira tal-Att dwar is-Sistema Ġudizzjarja.</w:t>
      </w:r>
    </w:p>
  </w:footnote>
  <w:footnote w:id="43">
    <w:p>
      <w:pPr>
        <w:pStyle w:val="FootnoteText"/>
        <w:spacing w:after="0"/>
        <w:ind w:left="284" w:hanging="284"/>
      </w:pPr>
      <w:r>
        <w:rPr>
          <w:rStyle w:val="FootnoteReference"/>
        </w:rPr>
        <w:footnoteRef/>
      </w:r>
      <w:r>
        <w:t xml:space="preserve"> </w:t>
      </w:r>
      <w:r>
        <w:tab/>
        <w:t xml:space="preserve">Il-JSA, l-Artikolu 16, il-paragrafu 3 jirrikjedi li l-elezzjoni mill-Kamra għandha ssir fost l-imħallfin, il-prosekuturi, il-maġistrati inkwirenti, l-akkademiċi li għandhom lawrja akkademika fix-xjenzi legali, l-avukati u ġuristi oħra ta’ livell professjonali għoli u integrità morali, filwaqt li titqies il-kwalifika professjonali u l-ispeċjalizzazzjoni tagħhom. – Attwalment ma hemm l-ebda prosekutur fil-Kamra tal-Imħallfin, iżda jidher li fil-Kamra tal-Imħallfin preċedenti uħud mill-membri kienu eks prosekuturi. </w:t>
      </w:r>
    </w:p>
  </w:footnote>
  <w:footnote w:id="44">
    <w:p>
      <w:pPr>
        <w:pStyle w:val="FootnoteText"/>
        <w:spacing w:after="0"/>
        <w:ind w:left="284" w:hanging="284"/>
      </w:pPr>
      <w:r>
        <w:rPr>
          <w:rStyle w:val="FootnoteReference"/>
        </w:rPr>
        <w:footnoteRef/>
      </w:r>
      <w:r>
        <w:t xml:space="preserve"> </w:t>
      </w:r>
      <w:r>
        <w:tab/>
        <w:t>Għal deċiżjonijiet importanti, il-membri mill-kamra tal-Prosekuturi jidher li jivvutaw f’daqqa, flimkien mal-membri eletti tal-Parlament fil-kamra tal-Imħallfin. Ara l-Kumitat tal-Ministri tal-Kunsill tal-Ewropa (CM/Del/Dec(2021)1398/H46-6); ara wkoll il-Plenarja bid-deċiżjonijiet tal-SJC - il-Protokoll Nru 24 tal-2019, il-votazzjoni għall-elezzjoni tal-Prosekutur Ġenerali; il-Protokoll Nru 27 tat-2019, il-votazzjoni mill-ġdid fl-elezzjoni tal-Prosekutur Ġenerali; il-Protokoll Nru 26 tal-2020, votazzjoni biex titwaqqaf id-diskussjoni dwar jekk għandux jinbeda proċediment dixxiplinari kontra l-Prosekutur Ġenerali abbażi ta’ senjalazzjoni minn organizzazzjoni professjonali; il-Protokoll Nru 2 tal-2021, votazzjoni għat-tħejjija ta’ analiżi dwar il-proposta biex il-ġestjoni ta’ proprjetà immobbli (vileġġatura għas-sajf) tingħata lill-Kunsill Superjuri tal-Maġistratura għall-ħtiġijiet tal-Uffiċċju tal-Prosekutur tar-Repubblika tal-Bulgarija; il-Protokoll Nru 2 tal-2021, votazzjoni għall-għoti tal-ġestjoni ta’ proprjetà immobbli (vileġġatura għas-sajf) lill-Kunsill Superjuri tal-Maġistratura, għall-ħtiġijiet tal-Uffiċċju tal-Prosekutur tar-Repubblika tal-Bulgarija; il-Protokoll Nru 3 tal-2021, id-diskussjoni dwar il-votazzjoni u l-adozzjoni ta’ mudell għar-riorganizzazzjoni tal-istrutturi ġudizzjarji fil-livell reġjonali u l-Pjan Direzzjonali bi pjan ta’ azzjoni għar-riorganizzazzjoni tal-istrutturi ġudizzjarji fil-livell distrettwali u tal-appell; ara wkoll dwar il-mudell potenzjali ta’ votazzjoni fil-kamra tal-Imħallfin tal-SJC – il-Protokoll Nru 1 tal-2021, voti relatati mal-mappa Ġudizzjarja l-ġdida; il-Protokoll Nru 2 tal-2021, votazzjoni relatata ma’ pożizzjonijiet addizzjonali fil-qrati inferjuri; il-Protokoll Nru 3 tal-2021, votazzjonijiet relatati ma’ bidliet fil-fruntieri tar-reġjuni ġudizzjarji.</w:t>
      </w:r>
    </w:p>
  </w:footnote>
  <w:footnote w:id="45">
    <w:p>
      <w:pPr>
        <w:pStyle w:val="FootnoteText"/>
        <w:spacing w:after="0"/>
        <w:ind w:left="284" w:hanging="284"/>
      </w:pPr>
      <w:r>
        <w:rPr>
          <w:rStyle w:val="FootnoteReference"/>
        </w:rPr>
        <w:footnoteRef/>
      </w:r>
      <w:r>
        <w:t xml:space="preserve"> </w:t>
      </w:r>
      <w:r>
        <w:tab/>
        <w:t>L-Emendi tal-Kostituzzjoni tal-Bulgarija (2015) – l-Artikolu 130a; l-Emendi tal-JSA (2016) – l-Artikolu 30(1)</w:t>
      </w:r>
    </w:p>
  </w:footnote>
  <w:footnote w:id="46">
    <w:p>
      <w:pPr>
        <w:pStyle w:val="FootnoteText"/>
        <w:spacing w:after="0"/>
        <w:ind w:left="284" w:hanging="284"/>
      </w:pPr>
      <w:r>
        <w:rPr>
          <w:rStyle w:val="FootnoteReference"/>
        </w:rPr>
        <w:footnoteRef/>
      </w:r>
      <w:r>
        <w:t xml:space="preserve"> </w:t>
      </w:r>
      <w:r>
        <w:tab/>
        <w:t xml:space="preserve"> Il-deċiżjoni tal-Kumitat tal-Ministri CM/Del/Dec(2021)1398/H46-6. Ara wkoll l-opinjoni tal-Kummissjoni ta’ Venezja (CDL-AD(2020)035), il-paragrafu 40.</w:t>
      </w:r>
    </w:p>
  </w:footnote>
  <w:footnote w:id="47">
    <w:p>
      <w:pPr>
        <w:pStyle w:val="FootnoteText"/>
        <w:spacing w:after="0"/>
        <w:ind w:left="284" w:hanging="284"/>
      </w:pPr>
      <w:r>
        <w:rPr>
          <w:rStyle w:val="FootnoteReference"/>
        </w:rPr>
        <w:footnoteRef/>
      </w:r>
      <w:r>
        <w:t xml:space="preserve"> </w:t>
      </w:r>
      <w:r>
        <w:tab/>
        <w:t>Il-kontributi mill-Uffiċċju Reġjonali għall-Ewropa tal-OHCHR tan-NU, il-</w:t>
      </w:r>
      <w:r>
        <w:rPr>
          <w:i/>
        </w:rPr>
        <w:t>Magistrats Européens pour la Démocratie et les Libertés</w:t>
      </w:r>
      <w:r>
        <w:t xml:space="preserve"> u l-Fondazzjoni tal-Istitut Bulgaru għall-Inizjattivi Ġuridiċi, għar-Rapport tal-2021 dwar l-Istat tad-Dritt.</w:t>
      </w:r>
    </w:p>
  </w:footnote>
  <w:footnote w:id="48">
    <w:p>
      <w:pPr>
        <w:pStyle w:val="FootnoteText"/>
        <w:spacing w:after="0"/>
        <w:ind w:left="284" w:hanging="284"/>
      </w:pPr>
      <w:r>
        <w:rPr>
          <w:rStyle w:val="FootnoteReference"/>
        </w:rPr>
        <w:footnoteRef/>
      </w:r>
      <w:r>
        <w:t xml:space="preserve"> </w:t>
      </w:r>
      <w:r>
        <w:tab/>
        <w:t>L-opinjoni tal-Kummissjoni ta’ Venezja (CDL-AD(2017)018), il-paragrafu 9.</w:t>
      </w:r>
    </w:p>
  </w:footnote>
  <w:footnote w:id="49">
    <w:p>
      <w:pPr>
        <w:pStyle w:val="FootnoteText"/>
        <w:spacing w:after="0"/>
        <w:ind w:left="284" w:hanging="284"/>
      </w:pPr>
      <w:r>
        <w:rPr>
          <w:rStyle w:val="FootnoteReference"/>
        </w:rPr>
        <w:footnoteRef/>
      </w:r>
      <w:r>
        <w:t xml:space="preserve"> </w:t>
      </w:r>
      <w:r>
        <w:tab/>
        <w:t>L-opinjoni tal-Kummissjoni ta’ Venezja (CDL-AD(2020)035), il-paragrafu 42, l-opinjoni tal-Kummissjoni ta’ Venezja (CDL-AD(2017)018), il-paragrafi 16, 17 u 19.</w:t>
      </w:r>
    </w:p>
  </w:footnote>
  <w:footnote w:id="50">
    <w:p>
      <w:pPr>
        <w:pStyle w:val="FootnoteText"/>
        <w:spacing w:after="0"/>
        <w:ind w:left="284" w:hanging="284"/>
      </w:pPr>
      <w:r>
        <w:rPr>
          <w:rStyle w:val="FootnoteReference"/>
        </w:rPr>
        <w:footnoteRef/>
      </w:r>
      <w:r>
        <w:t xml:space="preserve"> </w:t>
      </w:r>
      <w:r>
        <w:tab/>
        <w:t>Għandu jiġi nnutat li bidla fil-kompożizzjoni tal-SJC tirrikjedi reviżjoni fil-Kostituzzjoni, li tista’ tiġi deċiża jew skont il-proċedura tal-Gran Assemblea Nazzjonali, kif rikjest mill-awtoritajiet Bulgari fi tmiem l-2020, jew permezz tal-proċedura simplifikata tal-Assemblea Nazzjonali ordinarja, kif kienet saret ir-riforma tal-2015. Ara wkoll id-Deċiżjoni tal-Qorti Kostituzzjonali Nru 3 tal-2003, id-Deċiżjoni Nru 8 tal-2005 u rifjut li tingħata deċiżjoni dwar il-Kawża Nru 7 tal-2015.</w:t>
      </w:r>
    </w:p>
  </w:footnote>
  <w:footnote w:id="51">
    <w:p>
      <w:pPr>
        <w:pStyle w:val="FootnoteText"/>
        <w:spacing w:after="0"/>
        <w:ind w:left="284" w:hanging="284"/>
      </w:pPr>
      <w:r>
        <w:rPr>
          <w:rStyle w:val="FootnoteReference"/>
        </w:rPr>
        <w:footnoteRef/>
      </w:r>
      <w:r>
        <w:t xml:space="preserve"> </w:t>
      </w:r>
      <w:r>
        <w:tab/>
        <w:t>Fis-17 ta’ Awwissu 2020, il-Prim Ministru ħabbar f’messaġġ b’vidjow li l-partit tiegħu se jipproponi abbozz ta’ Kostituzzjoni. Fit-2 ta’ Settembru 2020, l-abbozz tal-Kostituzzjoni l-ġdida ġie ppreżentat lill-Parlament. Fit-18 ta’ Settembru 2020, il-kelliem tal-Parlament talab lill-Kummissjoni ta’ Venezja għal opinjoni dwar l-abbozz. Fil-25 ta’ Novembru 2020, il-Parlament ivvota kontra l-abbozz tal-Kostituzzjoni l-ġdida u fl-aħħar, f’Diċembru 2020, il-Kummissjoni ta’ Venezja ħarġet l-opinjoni tagħha dwar l-abbozz.</w:t>
      </w:r>
    </w:p>
  </w:footnote>
  <w:footnote w:id="52">
    <w:p>
      <w:pPr>
        <w:pStyle w:val="FootnoteText"/>
        <w:spacing w:after="0"/>
        <w:ind w:left="284" w:hanging="284"/>
      </w:pPr>
      <w:r>
        <w:rPr>
          <w:rStyle w:val="FootnoteReference"/>
        </w:rPr>
        <w:footnoteRef/>
      </w:r>
      <w:r>
        <w:t xml:space="preserve"> </w:t>
      </w:r>
      <w:r>
        <w:tab/>
        <w:t xml:space="preserve">Il-mandat tal-SJC attwali għandu sa Ottubru 2022 u l-membri l-ġodda se jinħatru skont il-proċedura msemmija qabel. Il-mandat tal-President attwali tal-Qorti Suprema tal-Kassazzjoni għandu sal-10 ta’ Frar 2022 u l-president il-ġdid jiġi elett mill-plenarja tal-SJC. </w:t>
      </w:r>
    </w:p>
  </w:footnote>
  <w:footnote w:id="53">
    <w:p>
      <w:pPr>
        <w:pStyle w:val="FootnoteText"/>
        <w:spacing w:after="0"/>
        <w:ind w:left="284" w:hanging="284"/>
      </w:pPr>
      <w:r>
        <w:rPr>
          <w:rStyle w:val="FootnoteReference"/>
        </w:rPr>
        <w:footnoteRef/>
      </w:r>
      <w:r>
        <w:t xml:space="preserve"> </w:t>
      </w:r>
      <w:r>
        <w:tab/>
        <w:t xml:space="preserve">L-aċċess għar-reġistru jinsab hawnhekk - </w:t>
      </w:r>
      <w:hyperlink r:id="rId1" w:history="1">
        <w:r>
          <w:rPr>
            <w:color w:val="2E74B5" w:themeColor="accent1" w:themeShade="BF"/>
            <w:u w:val="single"/>
          </w:rPr>
          <w:t>http://www.vss.justice.bg/page/view/106204</w:t>
        </w:r>
      </w:hyperlink>
      <w:r>
        <w:rPr>
          <w:color w:val="2E74B5" w:themeColor="accent1" w:themeShade="BF"/>
          <w:u w:val="single"/>
        </w:rPr>
        <w:t xml:space="preserve">. </w:t>
      </w:r>
      <w:r>
        <w:t>Ir-reġistru jinkludi wkoll il-pożizzjonijiet ta’ korpi oħra tal-ġudikatura, inklużi l-kapijiet amministrattivi u l-imħallfin.</w:t>
      </w:r>
    </w:p>
  </w:footnote>
  <w:footnote w:id="54">
    <w:p>
      <w:pPr>
        <w:pStyle w:val="FootnoteText"/>
        <w:spacing w:after="0"/>
        <w:ind w:left="284" w:hanging="284"/>
      </w:pPr>
      <w:r>
        <w:rPr>
          <w:rStyle w:val="FootnoteReference"/>
        </w:rPr>
        <w:footnoteRef/>
      </w:r>
      <w:r>
        <w:t xml:space="preserve"> </w:t>
      </w:r>
      <w:r>
        <w:tab/>
        <w:t>Fl-24 ta’ Ottubru 2020, f’intervista, il-Viċi President tal-Assemblea Nazzjonali ta’ dak iż-żmien akkuża lill-imħallfin imsemmija tal-Qorti Suprema tal-Kassazzjoni, li f’kawża li kienet tikkonċernah, kienu ppreġudikati. Fit-3 ta’ Novembru 2020 l-SJC adotta l-pożizzjoni li jiddefendi lill-imħallfin wara li ntalab jagħmel dan minn organizzazzjoni professjonali. F’Ottubru 2020, is-sit web li jispeċjalizza fl-aħbarijiet legali ppubblika deċiżjoni tal-Qorti Kriminali Speċjalizzata tal-Appell, li fiha l-imħallef tal-appell (ukoll il-kap Amministrattiv tal-qorti) jagħti valutazzjoni personali tal-kwalitajiet professjonali tal-imħallef tal-ewwel istanza. Organizzazzjoni professjonali talbet lill-SJC biex tieħu pożizzjoni u tiżviluppa kriterji għal-lingwa ammissibbli, li l-qorti superjuri jenħtieġ li tuża biex ma tipperikolax l-indipendenza oġġettiva u suġġettiva tal-qorti. Madankollu, ma ttieħdet l-ebda pożizzjoni u ma ġie żviluppat l-ebda kriterju.</w:t>
      </w:r>
    </w:p>
  </w:footnote>
  <w:footnote w:id="55">
    <w:p>
      <w:pPr>
        <w:pStyle w:val="FootnoteText"/>
        <w:spacing w:after="0"/>
        <w:ind w:left="284" w:hanging="284"/>
      </w:pPr>
      <w:r>
        <w:rPr>
          <w:rStyle w:val="FootnoteReference"/>
        </w:rPr>
        <w:footnoteRef/>
      </w:r>
      <w:r>
        <w:t xml:space="preserve"> </w:t>
      </w:r>
      <w:r>
        <w:tab/>
        <w:t>Id-dikjarazzjoni kontra l-President tal-Qorti Suprema tal-Kassazzjoni mill-President tal-Qorti Suprema tal-Amministrazzjoni, il-pożizzjoni tat-8 ta’ Mejju 2020. Id-dikjarazzjoni kontra l-President tal-Qorti Suprema tal-Kassazzjoni mill-kamra tal-Prosekuturi, il-protokoll Nru 16 tat-13 ta’ Mejju 2020. Ara wkoll ir-Rapport tal-2020 dwar l-Istat tad-Dritt, il-Kapitolu tal-pajjiż dwar is-sitwazzjoni tal-istat tad-dritt fil-Bulgarija, in-nota 37 ta’ qiegħ il-paġna, p. 6.</w:t>
      </w:r>
    </w:p>
  </w:footnote>
  <w:footnote w:id="56">
    <w:p>
      <w:pPr>
        <w:pStyle w:val="FootnoteText"/>
        <w:spacing w:after="0"/>
        <w:ind w:left="284" w:hanging="284"/>
      </w:pPr>
      <w:r>
        <w:rPr>
          <w:rStyle w:val="FootnoteReference"/>
        </w:rPr>
        <w:footnoteRef/>
      </w:r>
      <w:r>
        <w:t xml:space="preserve"> </w:t>
      </w:r>
      <w:r>
        <w:tab/>
        <w:t>“Pjan għall-implimentazzjoni ta’ miżuri b’reazzjoni għar-rakkomandazzjonijiet u l-isfidi identifikati fir-Rapport tal-Kummissjoni Ewropea dwar l-Istat tad-Dritt” (il-Pjan ta’ Azzjoni)</w:t>
      </w:r>
    </w:p>
  </w:footnote>
  <w:footnote w:id="57">
    <w:p>
      <w:pPr>
        <w:pStyle w:val="FootnoteText"/>
        <w:spacing w:after="0"/>
        <w:ind w:left="284" w:hanging="284"/>
      </w:pPr>
      <w:r>
        <w:rPr>
          <w:rStyle w:val="FootnoteReference"/>
        </w:rPr>
        <w:footnoteRef/>
      </w:r>
      <w:r>
        <w:t xml:space="preserve"> </w:t>
      </w:r>
      <w:r>
        <w:tab/>
        <w:t>Ara hawn taħt il-paragrafu dwar ir-riforma possibbli tal-Ispettorat tal-SJC.</w:t>
      </w:r>
    </w:p>
  </w:footnote>
  <w:footnote w:id="58">
    <w:p>
      <w:pPr>
        <w:pStyle w:val="FootnoteText"/>
        <w:spacing w:after="0"/>
        <w:ind w:left="284" w:hanging="284"/>
      </w:pPr>
      <w:r>
        <w:rPr>
          <w:rStyle w:val="FootnoteReference"/>
        </w:rPr>
        <w:footnoteRef/>
      </w:r>
      <w:r>
        <w:t xml:space="preserve"> </w:t>
      </w:r>
      <w:r>
        <w:tab/>
        <w:t>Ara l-Pjan ta’ Azzjoni adottat mill-Kunsill tal-Ministri; Ara wkoll l-Ordinanza Nru LS-13-88/21.12.2020</w:t>
      </w:r>
    </w:p>
  </w:footnote>
  <w:footnote w:id="59">
    <w:p>
      <w:pPr>
        <w:pStyle w:val="FootnoteText"/>
        <w:spacing w:after="0"/>
        <w:ind w:left="284" w:hanging="284"/>
      </w:pPr>
      <w:r>
        <w:rPr>
          <w:rStyle w:val="FootnoteReference"/>
        </w:rPr>
        <w:footnoteRef/>
      </w:r>
      <w:r>
        <w:t xml:space="preserve"> </w:t>
      </w:r>
      <w:r>
        <w:tab/>
        <w:t>Il-kontribut tal-Bulgarija għar-Rapport tal-2021 dwar l-Istat tad-Dritt, p. 3</w:t>
      </w:r>
    </w:p>
  </w:footnote>
  <w:footnote w:id="60">
    <w:p>
      <w:pPr>
        <w:pStyle w:val="FootnoteText"/>
        <w:spacing w:after="0"/>
        <w:ind w:left="284" w:hanging="284"/>
      </w:pPr>
      <w:r>
        <w:rPr>
          <w:rStyle w:val="FootnoteReference"/>
        </w:rPr>
        <w:footnoteRef/>
      </w:r>
      <w:r>
        <w:t xml:space="preserve"> </w:t>
      </w:r>
      <w:r>
        <w:tab/>
        <w:t>Il-Kummissjoni ta’ Venezja (CDL-AD(2017)018), il-paragrafu 58.</w:t>
      </w:r>
    </w:p>
  </w:footnote>
  <w:footnote w:id="61">
    <w:p>
      <w:pPr>
        <w:pStyle w:val="FootnoteText"/>
        <w:spacing w:after="0"/>
        <w:ind w:left="284" w:hanging="284"/>
      </w:pPr>
      <w:r>
        <w:rPr>
          <w:rStyle w:val="FootnoteReference"/>
        </w:rPr>
        <w:footnoteRef/>
      </w:r>
      <w:r>
        <w:t xml:space="preserve"> </w:t>
      </w:r>
      <w:r>
        <w:tab/>
        <w:t>L-Artikolu 132a tal-Kostituzzjoni.</w:t>
      </w:r>
    </w:p>
  </w:footnote>
  <w:footnote w:id="62">
    <w:p>
      <w:pPr>
        <w:pStyle w:val="FootnoteText"/>
        <w:spacing w:after="0"/>
        <w:ind w:left="284" w:hanging="284"/>
      </w:pPr>
      <w:r>
        <w:rPr>
          <w:rStyle w:val="FootnoteReference"/>
        </w:rPr>
        <w:footnoteRef/>
      </w:r>
      <w:r>
        <w:t xml:space="preserve"> </w:t>
      </w:r>
      <w:r>
        <w:tab/>
        <w:t>Fit-taqsima 1a tal-JSA</w:t>
      </w:r>
    </w:p>
  </w:footnote>
  <w:footnote w:id="63">
    <w:p>
      <w:pPr>
        <w:pStyle w:val="FootnoteText"/>
        <w:spacing w:after="0"/>
        <w:ind w:left="284" w:hanging="284"/>
      </w:pPr>
      <w:r>
        <w:rPr>
          <w:rStyle w:val="FootnoteReference"/>
        </w:rPr>
        <w:footnoteRef/>
      </w:r>
      <w:r>
        <w:t xml:space="preserve"> </w:t>
      </w:r>
      <w:r>
        <w:tab/>
        <w:t>Il-kontribut tal-Bulgarija għar-Rapport tal-2021 dwar l-Istat tad-Dritt, p. 3</w:t>
      </w:r>
    </w:p>
  </w:footnote>
  <w:footnote w:id="64">
    <w:p>
      <w:pPr>
        <w:pStyle w:val="FootnoteText"/>
        <w:spacing w:after="0"/>
        <w:ind w:left="284" w:hanging="284"/>
      </w:pPr>
      <w:r>
        <w:rPr>
          <w:rStyle w:val="FootnoteReference"/>
        </w:rPr>
        <w:footnoteRef/>
      </w:r>
      <w:r>
        <w:t xml:space="preserve"> </w:t>
      </w:r>
      <w:r>
        <w:tab/>
        <w:t>Ara r-Rapport tal-2020 dwar l-Istat tad-Dritt, il-Kapitolu tal-pajjiż dwar is-sitwazzjoni tal-istat tad-dritt fil-Bulgarija, pp. 7-8.</w:t>
      </w:r>
    </w:p>
  </w:footnote>
  <w:footnote w:id="65">
    <w:p>
      <w:pPr>
        <w:pStyle w:val="FootnoteText"/>
        <w:spacing w:after="0"/>
        <w:ind w:left="284" w:hanging="284"/>
      </w:pPr>
      <w:r>
        <w:rPr>
          <w:rStyle w:val="FootnoteReference"/>
        </w:rPr>
        <w:footnoteRef/>
      </w:r>
      <w:r>
        <w:t xml:space="preserve"> </w:t>
      </w:r>
      <w:r>
        <w:tab/>
        <w:t>Il-Kummissjoni ta’ Venezja (CDL-AD(2017)018), il-paragrafu 58.</w:t>
      </w:r>
    </w:p>
  </w:footnote>
  <w:footnote w:id="66">
    <w:p>
      <w:pPr>
        <w:pStyle w:val="FootnoteText"/>
        <w:spacing w:after="0"/>
        <w:ind w:left="284" w:hanging="284"/>
      </w:pPr>
      <w:r>
        <w:rPr>
          <w:rStyle w:val="FootnoteReference"/>
        </w:rPr>
        <w:footnoteRef/>
      </w:r>
      <w:r>
        <w:t xml:space="preserve"> </w:t>
      </w:r>
      <w:r>
        <w:tab/>
        <w:t xml:space="preserve">Il-proċedura għall-elezzjoni ta’ Spetturi u Spettur Ġenerali ġodda kellha tibda mhux aktar tard mid-9 ta’ Frar 2020 għall-Ispettur Ġenerali u mhux aktar tard mill-14 ta’ Jannar 2020 għall-Ispetturi (il-JSA, l-Artikolu 44(1)). Sal-lum din il-proċedura għadha ma nbdietx. Kien hemm sitwazzjoni simili waqt il-mandat tal-Kap Spettur preċedenti li opera taħt estensjoni </w:t>
      </w:r>
      <w:r>
        <w:rPr>
          <w:i/>
          <w:iCs/>
        </w:rPr>
        <w:t>de facto</w:t>
      </w:r>
      <w:r>
        <w:t xml:space="preserve"> ta’ sentejn tal-mandat.</w:t>
      </w:r>
    </w:p>
  </w:footnote>
  <w:footnote w:id="67">
    <w:p>
      <w:pPr>
        <w:pStyle w:val="FootnoteText"/>
        <w:spacing w:after="0"/>
        <w:ind w:left="284" w:hanging="284"/>
      </w:pPr>
      <w:r>
        <w:rPr>
          <w:rStyle w:val="FootnoteReference"/>
        </w:rPr>
        <w:footnoteRef/>
      </w:r>
      <w:r>
        <w:t xml:space="preserve"> </w:t>
      </w:r>
      <w:r>
        <w:tab/>
        <w:t xml:space="preserve">Id-Deċiżjoni Nru 13 tal-Qorti Kostituzzjonali tal-2010 dwar il-Kawża Nru 12 tal-2010, fejn il-Qorti ddeċidiet li l-prinċipju tal-kontinwità huwa applikabbli għall-korpi rregolati mill-kulleġġ. </w:t>
      </w:r>
    </w:p>
  </w:footnote>
  <w:footnote w:id="68">
    <w:p>
      <w:pPr>
        <w:pStyle w:val="FootnoteText"/>
        <w:spacing w:after="0"/>
        <w:ind w:left="284" w:hanging="284"/>
      </w:pPr>
      <w:r>
        <w:rPr>
          <w:rStyle w:val="FootnoteReference"/>
        </w:rPr>
        <w:footnoteRef/>
      </w:r>
      <w:r>
        <w:t xml:space="preserve"> </w:t>
      </w:r>
      <w:r>
        <w:tab/>
        <w:t>Il-Kummissjoni għall-protezzjoni tad-</w:t>
      </w:r>
      <w:r>
        <w:rPr>
          <w:i/>
          <w:iCs/>
        </w:rPr>
        <w:t>data</w:t>
      </w:r>
      <w:r>
        <w:t xml:space="preserve"> personali, il-mandat skada fil-16 ta’ April 2019; il-Kummissjoni għall-protezzjoni tal-konsumatur, il-mandat skada fis-27 ta’ Marzu 2020; il-Kummissjoni għar-regolamentazzjoni tal-enerġija u l-ilma, il-mandat skada fl-20 ta’ April 2020.</w:t>
      </w:r>
    </w:p>
  </w:footnote>
  <w:footnote w:id="69">
    <w:p>
      <w:pPr>
        <w:pStyle w:val="FootnoteText"/>
        <w:spacing w:after="0"/>
        <w:ind w:left="284" w:hanging="284"/>
      </w:pPr>
      <w:r>
        <w:rPr>
          <w:rStyle w:val="FootnoteReference"/>
        </w:rPr>
        <w:footnoteRef/>
      </w:r>
      <w:r>
        <w:t xml:space="preserve"> </w:t>
      </w:r>
      <w:r>
        <w:tab/>
        <w:t xml:space="preserve">Fil-11 ta’ Frar 2021, l-Assemblea Nazzjonali adottat emendi fil-Liġi dwar il-protezzjoni tal-kompetizzjoni, li ppermettew estensjoni tal-mandat tad-direttur attwali tal-korp superviżorju b’sentejn oħra. Il-mandat attwali tiegħu kellu jiskadi f’Ġunju 2021. Ara wkoll il-Liġi li temenda l-liġi dwar il-protezzjoni tal-kompetizzjoni - </w:t>
      </w:r>
      <w:hyperlink r:id="rId2" w:history="1">
        <w:r>
          <w:rPr>
            <w:rStyle w:val="Hyperlink"/>
          </w:rPr>
          <w:t>https://www.parliament.bg/bg/laws/ID/163501</w:t>
        </w:r>
      </w:hyperlink>
      <w:r>
        <w:t>; il-Bord maniġerjali tal-Istitut Nazzjonali għall-Ġestjoni tal-Ġustizzja (magħmul minn ħames membri tal-SJC, il-Ministru tal-Ġustizzja u membru wieħed tal-Ministeru tal-Ġustizzja) biddel ir-regoli għall-ħatra tad-direttur tal-Istitut, u ppermetta l-ħatra mill-ġdid kważi awtomatika tad-direttur attwali.</w:t>
      </w:r>
    </w:p>
  </w:footnote>
  <w:footnote w:id="70">
    <w:p>
      <w:pPr>
        <w:pStyle w:val="FootnoteText"/>
        <w:spacing w:after="0"/>
        <w:ind w:left="284" w:hanging="284"/>
      </w:pPr>
      <w:r>
        <w:rPr>
          <w:vertAlign w:val="superscript"/>
        </w:rPr>
        <w:footnoteRef/>
      </w:r>
      <w:r>
        <w:t xml:space="preserve"> </w:t>
      </w:r>
      <w:r>
        <w:tab/>
        <w:t>Il-proċeduri kollha tal-kompetizzjoni jitwettqu skont it-termini u l-kundizzjonijiet tal-Att dwar is-Sistema Ġudizzjarja.</w:t>
      </w:r>
    </w:p>
  </w:footnote>
  <w:footnote w:id="71">
    <w:p>
      <w:pPr>
        <w:pStyle w:val="FootnoteText"/>
        <w:spacing w:after="0"/>
        <w:ind w:left="284" w:hanging="284"/>
      </w:pPr>
      <w:r>
        <w:rPr>
          <w:rStyle w:val="FootnoteReference"/>
        </w:rPr>
        <w:footnoteRef/>
      </w:r>
      <w:r>
        <w:t xml:space="preserve"> </w:t>
      </w:r>
      <w:r>
        <w:tab/>
        <w:t>Il-kompetizzjonijiet ordinarji għall-promozzjoni tħabbru fl-2018, fl-2019 u fl-2020, iżda l-ebda waħda minnhom ma tlestiet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It-talba tal-20 ta’ Diċembru 2020 indirizzata mill-Plenarja tal-Qorti Suprema tal-Kassazzjoni lill-Qorti Kostituzzjonali – il-Kawża Nru 15 tal-2020.</w:t>
      </w:r>
    </w:p>
  </w:footnote>
  <w:footnote w:id="73">
    <w:p>
      <w:pPr>
        <w:pStyle w:val="FootnoteText"/>
        <w:spacing w:after="0"/>
        <w:ind w:left="284" w:hanging="284"/>
      </w:pPr>
      <w:r>
        <w:rPr>
          <w:rStyle w:val="FootnoteReference"/>
        </w:rPr>
        <w:footnoteRef/>
      </w:r>
      <w:r>
        <w:t xml:space="preserve"> </w:t>
      </w:r>
      <w:r>
        <w:tab/>
        <w:t>Id-Deċiżjoni tal-Qorti Kostituzzjonali Nru 6 tal-2021 dwar il-Kawża Nru 15 tal-2020.</w:t>
      </w:r>
    </w:p>
  </w:footnote>
  <w:footnote w:id="74">
    <w:p>
      <w:pPr>
        <w:pStyle w:val="FootnoteText"/>
        <w:spacing w:after="0"/>
        <w:ind w:left="284" w:hanging="284"/>
      </w:pPr>
      <w:r>
        <w:rPr>
          <w:rStyle w:val="FootnoteReference"/>
        </w:rPr>
        <w:footnoteRef/>
      </w:r>
      <w:r>
        <w:t xml:space="preserve"> </w:t>
      </w:r>
      <w:r>
        <w:tab/>
        <w:t>Il-kontribut mill-</w:t>
      </w:r>
      <w:r>
        <w:rPr>
          <w:i/>
        </w:rPr>
        <w:t>Magistrats Européens pour la Démocratie et les Libertés</w:t>
      </w:r>
      <w:r>
        <w:t xml:space="preserve"> għar-Rapport tal-2021 dwar l-Istat tad-Dritt, p. 15.</w:t>
      </w:r>
    </w:p>
  </w:footnote>
  <w:footnote w:id="75">
    <w:p>
      <w:pPr>
        <w:pStyle w:val="FootnoteText"/>
        <w:spacing w:after="0"/>
        <w:ind w:left="284" w:hanging="284"/>
      </w:pPr>
      <w:r>
        <w:rPr>
          <w:rStyle w:val="FootnoteReference"/>
        </w:rPr>
        <w:footnoteRef/>
      </w:r>
      <w:r>
        <w:t xml:space="preserve"> </w:t>
      </w:r>
      <w:r>
        <w:tab/>
        <w:t xml:space="preserve">Fl-2017, kien hemm 83 imħallef issekondat; fl-2018, kien hemm 104 mħallfin issekondati; fl-2019, kien hemm 144 mħallef issekondat; fl-2020, kien hemm 202 imħallfin issekondati. Għal aktar informazzjoni, ara l-istudju pprovdut mill-Istitut tal-Ekonomija tas-Suq (IME, Institute for Market Economics) </w:t>
      </w:r>
    </w:p>
  </w:footnote>
  <w:footnote w:id="76">
    <w:p>
      <w:pPr>
        <w:pStyle w:val="FootnoteText"/>
        <w:spacing w:after="0"/>
        <w:ind w:left="284" w:hanging="284"/>
      </w:pPr>
      <w:r>
        <w:rPr>
          <w:rStyle w:val="FootnoteReference"/>
        </w:rPr>
        <w:footnoteRef/>
      </w:r>
      <w:r>
        <w:t xml:space="preserve"> </w:t>
      </w:r>
      <w:r>
        <w:tab/>
        <w:t>Fl-2020, kien hemm 59 imħallef issekondat għal aktar minn 24 xahar. Għal aktar informazzjoni, ara l-istudju dwar l-issekondar ta’ maġistrati mħejji mill-Istitut tal-Ekonomija tas-Suq (IME).</w:t>
      </w:r>
    </w:p>
  </w:footnote>
  <w:footnote w:id="77">
    <w:p>
      <w:pPr>
        <w:pStyle w:val="FootnoteText"/>
        <w:spacing w:after="0"/>
        <w:ind w:left="284" w:hanging="284"/>
      </w:pPr>
      <w:r>
        <w:rPr>
          <w:rStyle w:val="FootnoteReference"/>
        </w:rPr>
        <w:footnoteRef/>
      </w:r>
      <w:r>
        <w:t xml:space="preserve"> </w:t>
      </w:r>
      <w:r>
        <w:tab/>
        <w:t>Ara r-Reġistru tal-maġistrati ssekondati mill-qrati tal-10 ta’ Diċembru 2020 imħejji mill-SJC. Ara wkoll il-kontribut tal-Qorti Suprema tal-Kassazzjoni għar-Rapport tal-2021 dwar l-Istat tad-Dritt.</w:t>
      </w:r>
    </w:p>
  </w:footnote>
  <w:footnote w:id="78">
    <w:p>
      <w:pPr>
        <w:pStyle w:val="FootnoteText"/>
        <w:spacing w:after="0"/>
        <w:ind w:left="284" w:hanging="284"/>
      </w:pPr>
      <w:r>
        <w:rPr>
          <w:rStyle w:val="FootnoteReference"/>
        </w:rPr>
        <w:footnoteRef/>
      </w:r>
      <w:r>
        <w:t xml:space="preserve"> </w:t>
      </w:r>
      <w:r>
        <w:tab/>
        <w:t>Tali prattika distorta ta’ sekondar hija rrapportata li tintuża għal sekondar mingħajr kunsens fl-Uffiċċju tal-Prosekutur allegatament bħala kastig. Kontribut mill-Istitut Bulgaru għall-Inizjattivi Legali u mill-President tal-Qorti tal-Kassazzjoni għar-Rapport tal-2021 dwar l-Istat tad-Dritt u l-informazzjoni riċevuta fil-kuntest taż-żjara fil-pajjiż.</w:t>
      </w:r>
    </w:p>
  </w:footnote>
  <w:footnote w:id="79">
    <w:p>
      <w:pPr>
        <w:pStyle w:val="FootnoteText"/>
        <w:spacing w:after="0"/>
        <w:ind w:left="284" w:hanging="284"/>
      </w:pPr>
      <w:r>
        <w:rPr>
          <w:rStyle w:val="FootnoteReference"/>
        </w:rPr>
        <w:footnoteRef/>
      </w:r>
      <w:r>
        <w:t xml:space="preserve"> </w:t>
      </w:r>
      <w:r>
        <w:tab/>
        <w:t>CM/Rec(2010)12, il-paragrafu 44.</w:t>
      </w:r>
    </w:p>
  </w:footnote>
  <w:footnote w:id="80">
    <w:p>
      <w:pPr>
        <w:pStyle w:val="FootnoteText"/>
        <w:spacing w:after="0"/>
        <w:ind w:left="284" w:hanging="284"/>
      </w:pPr>
      <w:r>
        <w:rPr>
          <w:rStyle w:val="FootnoteReference"/>
        </w:rPr>
        <w:footnoteRef/>
      </w:r>
      <w:r>
        <w:t xml:space="preserve"> </w:t>
      </w:r>
      <w:r>
        <w:tab/>
        <w:t>Il-Kummissjoni ta’ Venezja (CDL-AD(2017)018), il-paragrafi 86 u 87.</w:t>
      </w:r>
    </w:p>
  </w:footnote>
  <w:footnote w:id="81">
    <w:p>
      <w:pPr>
        <w:pStyle w:val="FootnoteText"/>
        <w:spacing w:after="0"/>
        <w:ind w:left="284" w:hanging="284"/>
      </w:pPr>
      <w:r>
        <w:rPr>
          <w:rStyle w:val="FootnoteReference"/>
        </w:rPr>
        <w:footnoteRef/>
      </w:r>
      <w:r>
        <w:t xml:space="preserve"> </w:t>
      </w:r>
      <w:r>
        <w:tab/>
        <w:t>Aktar minn 500 imħallef iffirmaw ittra miftuħa lill-SJC kontra l-mudell magħżul għar-riforma tal-mappa ġudizzjarji. Il-Kunsill Suprem  tal-Kamra tal-Avukati kkritika wkoll ir-riforma.</w:t>
      </w:r>
    </w:p>
  </w:footnote>
  <w:footnote w:id="82">
    <w:p>
      <w:pPr>
        <w:pStyle w:val="FootnoteText"/>
        <w:spacing w:after="0"/>
        <w:ind w:left="284" w:hanging="284"/>
      </w:pPr>
      <w:r>
        <w:rPr>
          <w:rStyle w:val="FootnoteReference"/>
        </w:rPr>
        <w:footnoteRef/>
      </w:r>
      <w:r>
        <w:t xml:space="preserve"> </w:t>
      </w:r>
      <w:r>
        <w:tab/>
        <w:t xml:space="preserve">Il-kontribut tal-Bulgarija għar-Rapport tal-2021 dwar l-Istat tad-Dritt, p. 15; Ara wkoll il-kontribut tal-Qorti Suprema tal-Kassazzjoni għar-Rapport tal-2021 dwar l-Istat tad-Dritt. </w:t>
      </w:r>
    </w:p>
  </w:footnote>
  <w:footnote w:id="83">
    <w:p>
      <w:pPr>
        <w:pStyle w:val="FootnoteText"/>
        <w:spacing w:after="0"/>
        <w:ind w:left="284" w:hanging="284"/>
      </w:pPr>
      <w:r>
        <w:rPr>
          <w:rStyle w:val="FootnoteReference"/>
        </w:rPr>
        <w:footnoteRef/>
      </w:r>
      <w:r>
        <w:t xml:space="preserve"> </w:t>
      </w:r>
      <w:r>
        <w:tab/>
        <w:t>Il-Ministeru tal-Ġustizzja organizza sensiela ta’ diskussjonijiet pubbliċi (l-14, il-25 u d-29 ta’ Ġunju 2021) dwar il-mudell propost għar-riforma tal-mappa ġudizzjarja bil-parteċipazzjoni ta’ firxa wiesgħa ta’ rappreżentanti minn diversi organizzazzjonijiet professjonali fil-qasam tal-ġustizzja, imħallifn mill-Qorti Suprema tal-Kassazzjoni, avukati, qrati lokali, muniċipalitajiet u rappreżentanti tal-NGOs.</w:t>
      </w:r>
    </w:p>
  </w:footnote>
  <w:footnote w:id="84">
    <w:p>
      <w:pPr>
        <w:pStyle w:val="FootnoteText"/>
        <w:spacing w:after="0"/>
        <w:ind w:left="284" w:hanging="284"/>
      </w:pPr>
      <w:r>
        <w:rPr>
          <w:rStyle w:val="FootnoteReference"/>
        </w:rPr>
        <w:footnoteRef/>
      </w:r>
      <w:r>
        <w:t xml:space="preserve"> </w:t>
      </w:r>
      <w:r>
        <w:tab/>
        <w:t>Il-Linji Gwida Riveduti dwar il-ħolqien ta’ mappa ġudizzjarja biex jiġi appoġġat l-aċċess għall-Ġustizzja f’sistema ġudizzjarja ta’ kwalità kif adottati fit-22 laqgħa plenarja tas-CEPEJ, fis-6 ta’ Diċembru 2013.</w:t>
      </w:r>
    </w:p>
  </w:footnote>
  <w:footnote w:id="85">
    <w:p>
      <w:pPr>
        <w:pStyle w:val="FootnoteText"/>
        <w:spacing w:after="0"/>
        <w:ind w:left="284" w:hanging="284"/>
      </w:pPr>
      <w:r>
        <w:rPr>
          <w:rStyle w:val="FootnoteReference"/>
        </w:rPr>
        <w:footnoteRef/>
      </w:r>
      <w:r>
        <w:t xml:space="preserve"> </w:t>
      </w:r>
      <w:r>
        <w:tab/>
        <w:t>Skont l-informazzjoni li waslet għand l-awtoritajiet Bulgari fir-rigward tal-“Pjan ta’ Azzjoni”, fuq deċiżjoni tal-Plenarja tal-SJC dwar il-protokoll Nru 26/22.10.20, It. 32, ġie stabbilit grupp ta’ ħidma li jipproponi lill-Plenarja tal-SJC emendi u supplimenti fir-Regoli dwar id-determinazzjoni u l-ħlas ta’ remunerazzjoni ta’ bonus lill-maġistrati, li kellu jistabbilixxi kriterji ċari, oġġettivi u trasparenti għad-definizzjoni tar-remunerazzjoni supplimentari u jillimita s-setgħat diskrezzjonali tal-maniġers amministrattivi fil-Ġudikatura. Il-grupp ta’ ħidma jinkludi membri tal-Kunsill Superjuri tal-Maġistratura, rappreżentanti tal-awtoritajiet ġudizzjarji u tal-amministrazzjoni tal-Kunsill Superjuri tal-Maġistratura. Dan il-grupp ta’ ħidma ddeċieda li jistenna l-adozzjoni tar-regoli skont l-Artikolu 233, il-paragrafu 6, l-ewwel sentenza tal-SJC (abbażi tal-ammont ta’ xogħol tal-korp ġudizzjarju rispettiv, il-Kunsill Superjuri tal-Maġistratura jista’ jiddetermina remunerazzjoni addizzjonali għall-imħallfin, il-prosekuturi u l-maġistrati inkwirenti), kif imħejji mill-grupp ta’ ħidma stabbilit b’deċiżjoni dwar il-protokoll Nru 3/19.02.20, It. 1.1. u l-protokol Nru 7/27.05.20, It. 4.1. tal-Kumitat inkarigat mill-Mappa Ġudizzjarja, l-ammont ta’ xogħol u l-Istatistika Ġudizzjarja tal-Kulleġġ tal-Imħallfin fil-Kunsill Superjuri tal-Maġistratura. B’deċiżjoni tat-22 ta’ Ġunju 2021, il-Kulleġġ tal-Imħallfin tal-Kunsill Superjuri tal-Maġistratura adotta Regoli biex jiġi ddeterminat l-ammont ta’ remunerazzjoni addizzjonali skont it-termini tal-Artikolu 233, il-paragrafu 6, l-ewwel sentenza tal-Att dwar is-Sistema Ġudizzjarja. Ir-regoli adottati għad iridu jintbagħtu lill-Kumitat tal-Baġit u l-Finanzi fil-Plenarja tal-SJC u lill-Kumitat inkarigat mill-Mappa Ġudizzjarja, l-ammont ta’ xogħol u l-Istatistika Ġudizzjarja tal-Kulleġġ tal-Imħallfin biex tittieħed azzjoni, skont il-kompetenza rispettiva tagħhom. Skont il-GRECO, jidher li s-sistema ta’ applikazzjoni għal remunerazzjoni supplimentari għadha soġġetta għal deċiżjonijiet diskrezzjonali wiesgħa u għal riskji ta’ influwenza indebita. GRECO, Fourth Evaluation Round – ir-rapport ta’ evalwazzjoni, ir-Rakkomandazzjoni x, il-paragrafu 26; ara wkoll il-Kummissjoni ta’ Venezja (CDL-AD (2010)004), il-paragrafi 46 u 51. Ir-Rakkomandazzjoni CM/Rec(2010)1 tal-Kumitat tal-Ministri tal-Kunsill tal-Ewropa, il-paragrafu 55</w:t>
      </w:r>
    </w:p>
  </w:footnote>
  <w:footnote w:id="86">
    <w:p>
      <w:pPr>
        <w:pStyle w:val="FootnoteText"/>
        <w:spacing w:after="0"/>
        <w:ind w:left="284" w:hanging="284"/>
      </w:pPr>
      <w:r>
        <w:rPr>
          <w:rStyle w:val="FootnoteReference"/>
        </w:rPr>
        <w:footnoteRef/>
      </w:r>
      <w:r>
        <w:t xml:space="preserve"> </w:t>
      </w:r>
      <w:r>
        <w:tab/>
        <w:t>Il-kontribut tal-Bulgarija għar-Rapport tal-2021 dwar l-Istat tad-Dritt, p. 7.</w:t>
      </w:r>
    </w:p>
  </w:footnote>
  <w:footnote w:id="87">
    <w:p>
      <w:pPr>
        <w:pStyle w:val="FootnoteText"/>
        <w:spacing w:after="0"/>
        <w:ind w:left="284" w:hanging="284"/>
      </w:pPr>
      <w:r>
        <w:rPr>
          <w:rStyle w:val="FootnoteReference"/>
        </w:rPr>
        <w:footnoteRef/>
      </w:r>
      <w:r>
        <w:t xml:space="preserve"> </w:t>
      </w:r>
      <w:r>
        <w:tab/>
        <w:t>Ir-Rakkomandazzjoni CM/Rec(2010)12 tal-Kumitat tal-Ministri lill-Istati Membri dwar l-imħallfin: l-indipendenza, l-effiċjenza u r-responsabbiltajiet, il-paragrafu 55: “Is-sistemi li jagħmlu r-rimunerazzjoni ewlenija tal-imħallfin dipendenti fuq il-prestazzjoni jenħtieġ li jiġu evitati billi jistgħu joħolqu diffikultajiet għall-indipendenza tal-imħallfin”.</w:t>
      </w:r>
    </w:p>
  </w:footnote>
  <w:footnote w:id="88">
    <w:p>
      <w:pPr>
        <w:pStyle w:val="FootnoteText"/>
        <w:spacing w:after="0"/>
        <w:ind w:left="284" w:hanging="284"/>
      </w:pPr>
      <w:r>
        <w:rPr>
          <w:rStyle w:val="FootnoteReference"/>
        </w:rPr>
        <w:footnoteRef/>
      </w:r>
      <w:r>
        <w:t xml:space="preserve"> </w:t>
      </w:r>
      <w:r>
        <w:tab/>
        <w:t>COM(2019)498, p. 6, in-nota 29 ta’ qiegħ il-paġna; Il-Kummissjoni ta’ Venezja (CDL-AD (2020)017), il-paragrafu 29.</w:t>
      </w:r>
    </w:p>
  </w:footnote>
  <w:footnote w:id="89">
    <w:p>
      <w:pPr>
        <w:pStyle w:val="FootnoteText"/>
        <w:spacing w:after="0"/>
        <w:ind w:left="284" w:hanging="284"/>
      </w:pPr>
      <w:r>
        <w:rPr>
          <w:rStyle w:val="FootnoteReference"/>
        </w:rPr>
        <w:footnoteRef/>
      </w:r>
      <w:r>
        <w:t xml:space="preserve"> </w:t>
      </w:r>
      <w:r>
        <w:tab/>
        <w:t xml:space="preserve">Ir-Rapport tal-2020 dwar l-Istat tad-Dritt, il-Kapitolu tal-pajjiż dwar is-sitwazzjoni tal-istat tad-dritt fil-Bulgarija, p. 9. Rigward il-livell tat-tariffi f’kawżi ċivili u kummerċjali ara l-Illustrazzjonijiet 24 u 25, it-Tabella ta’ Valutazzjoni tal-Ġustizzja tal-UE tal-2021. </w:t>
      </w:r>
    </w:p>
  </w:footnote>
  <w:footnote w:id="90">
    <w:p>
      <w:pPr>
        <w:pStyle w:val="FootnoteText"/>
        <w:spacing w:after="0"/>
        <w:ind w:left="284" w:hanging="284"/>
      </w:pPr>
      <w:r>
        <w:rPr>
          <w:rStyle w:val="FootnoteReference"/>
        </w:rPr>
        <w:footnoteRef/>
      </w:r>
      <w:r>
        <w:t xml:space="preserve"> </w:t>
      </w:r>
      <w:r>
        <w:tab/>
        <w:t>Fl-istat attwali tas-sistema ta’ għajnuna legali fil-Bulgarija, anki persuna li l-introjtu tagħha huwa mal-linja tal-faqar tal-Eurostat jew ftit taħtu, din ma tkunx intitolata għal għajnuna legali. L-Illustrazzjoni 24, Tabella ta' Valutazzjoni tal-Ġustizzja tal-UE tal-2021</w:t>
      </w:r>
    </w:p>
  </w:footnote>
  <w:footnote w:id="91">
    <w:p>
      <w:pPr>
        <w:pStyle w:val="FootnoteText"/>
        <w:spacing w:after="0"/>
        <w:ind w:left="284" w:hanging="284"/>
      </w:pPr>
      <w:r>
        <w:rPr>
          <w:rStyle w:val="FootnoteReference"/>
        </w:rPr>
        <w:footnoteRef/>
      </w:r>
      <w:r>
        <w:t xml:space="preserve"> </w:t>
      </w:r>
      <w:r>
        <w:tab/>
        <w:t>L-Illustrazzjoni 25, Tabella ta' Valutazzjoni tal-Ġustizzja tal-UE tal-2021.</w:t>
      </w:r>
    </w:p>
  </w:footnote>
  <w:footnote w:id="92">
    <w:p>
      <w:pPr>
        <w:pStyle w:val="FootnoteText"/>
        <w:spacing w:after="0"/>
        <w:ind w:left="284" w:hanging="284"/>
      </w:pPr>
      <w:r>
        <w:rPr>
          <w:rStyle w:val="FootnoteReference"/>
        </w:rPr>
        <w:footnoteRef/>
      </w:r>
      <w:r>
        <w:t xml:space="preserve"> </w:t>
      </w:r>
      <w:r>
        <w:tab/>
        <w:t>Fil-prattika, bħalissa, ma hemm l-ebda possibbiltà li każ jiġi ppreżentat online; l-ebda possibbiltà ta’ parteċipazzjoni f’seduta permezz ta’ vidjokonferenza; l-ebda possibbiltà li każ jiġi ppreżentat online. Għal aktar informazzjoni ara l-Illustrazzjonijiet minn 39 sa 45, it-Tabella ta’ Valutazzjoni tal-Ġustizzja tal-UE tal-2021</w:t>
      </w:r>
    </w:p>
  </w:footnote>
  <w:footnote w:id="93">
    <w:p>
      <w:pPr>
        <w:pStyle w:val="FootnoteText"/>
        <w:spacing w:after="0"/>
        <w:ind w:left="284" w:hanging="284"/>
      </w:pPr>
      <w:r>
        <w:rPr>
          <w:rStyle w:val="FootnoteReference"/>
        </w:rPr>
        <w:footnoteRef/>
      </w:r>
      <w:r>
        <w:rPr>
          <w:rStyle w:val="FootnoteReference"/>
        </w:rPr>
        <w:t xml:space="preserve"> </w:t>
      </w:r>
      <w:r>
        <w:tab/>
        <w:t>B’mod aktar partikolari, minħabba l-korruzzjoni mifruxa, l-istigma soċjali, l-inaċċessibbiltà tas-sistema ġudizzjarja, il-preġudizzju relatat mal-ġeneru fost l-uffiċjali tal-infurzar tal-liġi, inkluża l-pulizija, u l-għarfien limitat fost l-imħallfin u l-awtoritajiet tal-infurzar tal-liġi tal-Konvenzjoni tal-1979 dwar l-Eliminazzjoni ta’ Kull Forma ta’ Diskriminazzjoni kontra n-Nisa. Il-kontribut mill-Uffiċċju Reġjonali għall-Ewropa tal-OHCHR tan-NU għar-Rapport tal-2021 dwar l-Istat tad-Dritt, p. 2.</w:t>
      </w:r>
    </w:p>
  </w:footnote>
  <w:footnote w:id="94">
    <w:p>
      <w:pPr>
        <w:pStyle w:val="FootnoteText"/>
        <w:spacing w:after="0"/>
        <w:ind w:left="284" w:hanging="284"/>
      </w:pPr>
      <w:r>
        <w:rPr>
          <w:rStyle w:val="FootnoteReference"/>
        </w:rPr>
        <w:footnoteRef/>
      </w:r>
      <w:r>
        <w:t xml:space="preserve"> </w:t>
      </w:r>
      <w:r>
        <w:tab/>
        <w:t>L-illustrazzjonijiet minn 39 u 44, tat-Tabella ta’ Valutazzjoni tal-Ġustizzja tal-UE tal-2021; Informazzjoni li waslet fil-kuntest taż-żjara fil-pajjiż. (Eż. l-assoċjazzjoni tal-Prosekuturi fil-Bulgarija; l-Assoċjazzjoni tal-Imħallfin Bulgara).</w:t>
      </w:r>
    </w:p>
  </w:footnote>
  <w:footnote w:id="95">
    <w:p>
      <w:pPr>
        <w:pStyle w:val="FootnoteText"/>
        <w:spacing w:after="0"/>
        <w:ind w:left="284" w:hanging="284"/>
      </w:pPr>
      <w:r>
        <w:rPr>
          <w:rStyle w:val="FootnoteReference"/>
        </w:rPr>
        <w:footnoteRef/>
      </w:r>
      <w:r>
        <w:t xml:space="preserve"> </w:t>
      </w:r>
      <w:r>
        <w:tab/>
        <w:t>Il-kontribut tal-Bulgarija għar-Rapport tal-2021 dwar l-Istat tad-Dritt, p. 11. Ta’ min jinnota li l-Pjan Nazzjonali għall-Irkupru u r-Reżiljenza jista’ jiġi emendat aktar u dawn il-proġetti jistgħu eventwalment jitneħħew mill-pjan finali.</w:t>
      </w:r>
    </w:p>
  </w:footnote>
  <w:footnote w:id="96">
    <w:p>
      <w:pPr>
        <w:pStyle w:val="FootnoteText"/>
        <w:spacing w:after="0"/>
        <w:ind w:left="284" w:hanging="284"/>
      </w:pPr>
      <w:r>
        <w:rPr>
          <w:rStyle w:val="FootnoteReference"/>
        </w:rPr>
        <w:footnoteRef/>
      </w:r>
      <w:r>
        <w:t xml:space="preserve"> </w:t>
      </w:r>
      <w:r>
        <w:tab/>
        <w:t>L-Illustrazzjoni 41, Tabella ta' Valutazzjoni tal-Ġustizzja tal-UE tal-2021.</w:t>
      </w:r>
    </w:p>
  </w:footnote>
  <w:footnote w:id="97">
    <w:p>
      <w:pPr>
        <w:pStyle w:val="FootnoteText"/>
        <w:spacing w:after="0"/>
        <w:ind w:left="284" w:hanging="284"/>
      </w:pPr>
      <w:r>
        <w:rPr>
          <w:rStyle w:val="FootnoteReference"/>
        </w:rPr>
        <w:footnoteRef/>
      </w:r>
      <w:r>
        <w:t xml:space="preserve"> </w:t>
      </w:r>
      <w:r>
        <w:tab/>
        <w:t>L-Illustrazzjoni 42, Tabella ta' Valutazzjoni tal-Ġustizzja tal-UE tal-2021.</w:t>
      </w:r>
    </w:p>
  </w:footnote>
  <w:footnote w:id="98">
    <w:p>
      <w:pPr>
        <w:pStyle w:val="FootnoteText"/>
        <w:spacing w:after="0"/>
        <w:ind w:left="284" w:hanging="284"/>
      </w:pPr>
      <w:r>
        <w:rPr>
          <w:rStyle w:val="FootnoteReference"/>
        </w:rPr>
        <w:footnoteRef/>
      </w:r>
      <w:r>
        <w:t xml:space="preserve"> </w:t>
      </w:r>
      <w:r>
        <w:tab/>
        <w:t>L-Illustrazzjoni 44, Tabella ta' Valutazzjoni tal-Ġustizzja tal-UE tal-2021.</w:t>
      </w:r>
    </w:p>
  </w:footnote>
  <w:footnote w:id="99">
    <w:p>
      <w:pPr>
        <w:pStyle w:val="FootnoteText"/>
        <w:spacing w:after="0"/>
        <w:ind w:left="284" w:hanging="284"/>
      </w:pPr>
      <w:r>
        <w:rPr>
          <w:rStyle w:val="FootnoteReference"/>
        </w:rPr>
        <w:footnoteRef/>
      </w:r>
      <w:r>
        <w:t xml:space="preserve"> </w:t>
      </w:r>
      <w:r>
        <w:tab/>
        <w:t xml:space="preserve">Kjarifika mibgħuta mill-SJC rigward il-Pjan ta’ Azzjoni – id-diġitalizzazzjoni. Fir-rigward tal-UCIS, il-kjarifika msemmija hawn fuq kif ukoll il-partijiet ikkonċernati matul iż-żjarat fil-pajjiżi infurmaw dwar in-nuqqas ta’ sodisfazzjon mill-imħallfin u l-persunal li wassal għas-sospensjoni tas-sistema fis-16.09.2020 (estiża ulterjorment sal-31.12.2020) għall-każijiet ġodda. Il-kjarifika mill-SJC ħabbret li b’deċiżjoni tal-Plenarja li tibda mill-01.01.2021 sal-01.06.2021, il-qrati kollha se jerġgħu jieħdu l-kawżi ġodda. </w:t>
      </w:r>
    </w:p>
  </w:footnote>
  <w:footnote w:id="100">
    <w:p>
      <w:pPr>
        <w:pStyle w:val="FootnoteText"/>
        <w:spacing w:after="0"/>
        <w:ind w:left="284" w:hanging="284"/>
      </w:pPr>
      <w:r>
        <w:rPr>
          <w:rStyle w:val="FootnoteReference"/>
        </w:rPr>
        <w:footnoteRef/>
      </w:r>
      <w:r>
        <w:t xml:space="preserve"> </w:t>
      </w:r>
      <w:r>
        <w:tab/>
        <w:t>“L-iżvilupp u l-implimentazzjoni ta’ Sistema ta’ Informazzjoni Unifikata tal-Qorti – UCIS” u l-“Ħolqien ta’ sistema ta’ informazzjoni speċjalizzata għall-monitoraġġ u l-analiżi tal-fatturi relatati mal-iżvilupp soċjoekonomiku tad-distrett ġudizzjarju u mal-ammont ta’ xogħol tal-qrati – SISMA”.</w:t>
      </w:r>
    </w:p>
  </w:footnote>
  <w:footnote w:id="101">
    <w:p>
      <w:pPr>
        <w:pStyle w:val="FootnoteText"/>
        <w:spacing w:after="0"/>
        <w:ind w:left="284" w:hanging="284"/>
      </w:pPr>
      <w:r>
        <w:rPr>
          <w:rStyle w:val="FootnoteReference"/>
        </w:rPr>
        <w:footnoteRef/>
      </w:r>
      <w:r>
        <w:t xml:space="preserve"> </w:t>
      </w:r>
      <w:r>
        <w:tab/>
        <w:t>B’mod aktar preċiż il-partijiet ikkonċernati rrappurtaw li kollox isir fuq il-karta u mbagħad jiġi kkodifikat fis-sistema. Il-Kunsill Superjuri tal-Maġistratura qed jimplimenta għadd ta’ proġetti, iffinanzjati minn riżorsi baġitarji u programmi ta’ donaturi esterni biex itejjeb u jsaħħaħ il-ġustizzja elettronika u jiffaċilita l-aċċessibbiltà tagħha.</w:t>
      </w:r>
    </w:p>
  </w:footnote>
  <w:footnote w:id="102">
    <w:p>
      <w:pPr>
        <w:pStyle w:val="FootnoteText"/>
        <w:spacing w:after="0"/>
        <w:ind w:left="284" w:hanging="284"/>
      </w:pPr>
      <w:r>
        <w:rPr>
          <w:rStyle w:val="FootnoteReference"/>
        </w:rPr>
        <w:footnoteRef/>
      </w:r>
      <w:r>
        <w:t xml:space="preserve"> </w:t>
      </w:r>
      <w:r>
        <w:tab/>
        <w:t>Il-Kamra tal-Imħallfin tal-SJC, is-Sessjoni Straordinarja, il-Protokoll Qasir Nru 9, il-15 ta’ Marzu 2020.</w:t>
      </w:r>
    </w:p>
  </w:footnote>
  <w:footnote w:id="103">
    <w:p>
      <w:pPr>
        <w:pStyle w:val="FootnoteText"/>
        <w:spacing w:after="0"/>
        <w:ind w:left="284" w:hanging="284"/>
      </w:pPr>
      <w:r>
        <w:rPr>
          <w:rStyle w:val="FootnoteReference"/>
        </w:rPr>
        <w:footnoteRef/>
      </w:r>
      <w:r>
        <w:t xml:space="preserve"> </w:t>
      </w:r>
      <w:r>
        <w:tab/>
        <w:t>Bħal dawk dwar ir-rieżami taż-żamma ta’ persuna taħt arrest qabel is-smigħ tal-kawża, jew it-twettiq ta’ miżuri ta’ protezzjoni tal-vittmi u miżuri ta’ protezzjoni tat-tfal. Ara wkoll “Coronavirus COVID-19 outbreak in the EU Fundamental Rights Implications” tal-Aġenzija għad-Drittijiet Fundamentali, p. 3.</w:t>
      </w:r>
    </w:p>
  </w:footnote>
  <w:footnote w:id="104">
    <w:p>
      <w:pPr>
        <w:pStyle w:val="FootnoteText"/>
        <w:spacing w:after="0"/>
        <w:ind w:left="284" w:hanging="284"/>
      </w:pPr>
      <w:r>
        <w:rPr>
          <w:rStyle w:val="FootnoteReference"/>
        </w:rPr>
        <w:footnoteRef/>
      </w:r>
      <w:r>
        <w:t xml:space="preserve"> </w:t>
      </w:r>
      <w:r>
        <w:tab/>
        <w:t>Ara wkoll il-kontribut tal-Qorti Suprema tal-Kassazzjoni għar-Rapport tal-2021 dwar l-Istat tad-Dritt.</w:t>
      </w:r>
    </w:p>
  </w:footnote>
  <w:footnote w:id="105">
    <w:p>
      <w:pPr>
        <w:pStyle w:val="FootnoteText"/>
        <w:spacing w:after="0"/>
        <w:ind w:left="284" w:hanging="284"/>
      </w:pPr>
      <w:r>
        <w:rPr>
          <w:rStyle w:val="FootnoteReference"/>
        </w:rPr>
        <w:footnoteRef/>
      </w:r>
      <w:r>
        <w:t xml:space="preserve"> </w:t>
      </w:r>
      <w:r>
        <w:tab/>
        <w:t>Il-laqgħa tal-Kamra tal-Imħallfin, il-Protokoll Nru 3, it-2 ta’ Frar 2021; il-laqgħa tal-Kamra tal-Imħallfin, il-Protokoll Nru 6, it-23 ta’ Frar 2021. L-Awla tal-Imħallfin tal-SJC ċaħdet il-proposta tal-Kummissjoni għall-Attestazzjoni u l-Kompetizzjonijiet tal-SJC biex ma tagħti l-ebda pożizzjoni addizzjonali lill-Qorti Kriminali Speċjalizzata, u wara approvat żewġ pożizzjonijiet ġodda biex jiżdiedu mal-persunal tal-Qorti Kriminali Speċjalizzata.</w:t>
      </w:r>
    </w:p>
  </w:footnote>
  <w:footnote w:id="106">
    <w:p>
      <w:pPr>
        <w:pStyle w:val="FootnoteText"/>
        <w:spacing w:after="0"/>
        <w:ind w:left="284" w:hanging="284"/>
      </w:pPr>
      <w:r>
        <w:rPr>
          <w:rStyle w:val="FootnoteReference"/>
        </w:rPr>
        <w:footnoteRef/>
      </w:r>
      <w:r>
        <w:t xml:space="preserve"> </w:t>
      </w:r>
      <w:r>
        <w:tab/>
        <w:t xml:space="preserve">L-Illustrazzjonijiet 29-31, tat-Tabella ta’ Valutazzjoni tal-Ġustizzja tal-UE tal-2021. </w:t>
      </w:r>
    </w:p>
  </w:footnote>
  <w:footnote w:id="107">
    <w:p>
      <w:pPr>
        <w:pStyle w:val="FootnoteText"/>
        <w:spacing w:after="0"/>
        <w:ind w:left="284" w:hanging="284"/>
      </w:pPr>
      <w:r>
        <w:rPr>
          <w:rStyle w:val="FootnoteReference"/>
        </w:rPr>
        <w:footnoteRef/>
      </w:r>
      <w:r>
        <w:t xml:space="preserve"> </w:t>
      </w:r>
      <w:r>
        <w:tab/>
        <w:t xml:space="preserve">Liġi li temenda u tissupplimenta l-Att dwar l-Avukatura - </w:t>
      </w:r>
      <w:hyperlink r:id="rId4" w:history="1">
        <w:r>
          <w:rPr>
            <w:rStyle w:val="Hyperlink"/>
          </w:rPr>
          <w:t>https://www.parliament.bg/bg/laws/ID/163509</w:t>
        </w:r>
      </w:hyperlink>
    </w:p>
  </w:footnote>
  <w:footnote w:id="108">
    <w:p>
      <w:pPr>
        <w:pStyle w:val="FootnoteText"/>
        <w:spacing w:after="0"/>
        <w:ind w:left="284" w:hanging="284"/>
      </w:pPr>
      <w:r>
        <w:rPr>
          <w:rStyle w:val="FootnoteReference"/>
        </w:rPr>
        <w:footnoteRef/>
      </w:r>
      <w:r>
        <w:t xml:space="preserve"> </w:t>
      </w:r>
      <w:r>
        <w:tab/>
        <w:t>L-illustrazzjonijiet 9 u 10, it-Tabella ta’ Valutazzjoni tal-Ġustizzja tal-UE tal-2021. Ta’ min jinnota li ma hemm l-ebda metodoloġija armonizzata biex titkejjel din il-prestazzjoni.</w:t>
      </w:r>
    </w:p>
  </w:footnote>
  <w:footnote w:id="109">
    <w:p>
      <w:pPr>
        <w:pStyle w:val="FootnoteText"/>
        <w:spacing w:after="0"/>
        <w:ind w:left="284" w:hanging="284"/>
      </w:pPr>
      <w:r>
        <w:rPr>
          <w:rStyle w:val="FootnoteReference"/>
        </w:rPr>
        <w:footnoteRef/>
      </w:r>
      <w:r>
        <w:t xml:space="preserve"> </w:t>
      </w:r>
      <w:r>
        <w:tab/>
        <w:t>L-illustrazzjonijiet 7 u 8, it-Tabella ta’ Valutazzjoni tal-Ġustizzja tal-UE tal-2021.</w:t>
      </w:r>
    </w:p>
  </w:footnote>
  <w:footnote w:id="110">
    <w:p>
      <w:pPr>
        <w:pStyle w:val="FootnoteText"/>
        <w:spacing w:after="0"/>
        <w:ind w:left="284" w:hanging="284"/>
      </w:pPr>
      <w:r>
        <w:rPr>
          <w:rStyle w:val="FootnoteReference"/>
        </w:rPr>
        <w:footnoteRef/>
      </w:r>
      <w:r>
        <w:t xml:space="preserve"> </w:t>
      </w:r>
      <w:r>
        <w:tab/>
        <w:t>L-Illustrazzjoni 8, Tabella ta' Valutazzjoni tal-Ġustizzja tal-UE tal-2021.</w:t>
      </w:r>
    </w:p>
  </w:footnote>
  <w:footnote w:id="111">
    <w:p>
      <w:pPr>
        <w:pStyle w:val="FootnoteText"/>
        <w:spacing w:after="0"/>
        <w:ind w:left="284" w:hanging="284"/>
      </w:pPr>
      <w:r>
        <w:rPr>
          <w:rStyle w:val="FootnoteReference"/>
        </w:rPr>
        <w:footnoteRef/>
      </w:r>
      <w:r>
        <w:t xml:space="preserve"> </w:t>
      </w:r>
      <w:r>
        <w:tab/>
        <w:t>L-illustrazzjonijiet 18 u 20, it-Tabella ta’ Valutazzjoni tal-Ġustizzja tal-UE tal-2021.</w:t>
      </w:r>
    </w:p>
  </w:footnote>
  <w:footnote w:id="112">
    <w:p>
      <w:pPr>
        <w:pStyle w:val="FootnoteText"/>
        <w:spacing w:after="0"/>
        <w:ind w:left="284" w:hanging="284"/>
      </w:pPr>
      <w:r>
        <w:rPr>
          <w:rStyle w:val="FootnoteReference"/>
        </w:rPr>
        <w:footnoteRef/>
      </w:r>
      <w:r>
        <w:t xml:space="preserve"> </w:t>
      </w:r>
      <w:r>
        <w:tab/>
        <w:t>L-Indiċi tal-Perċezzjoni tal-Korruzzjoni għall-2020 (il-Corruption Perceptions Index) ta’ Transparency International, pp. 2-3. Il-livell pperċepit ta’ korruzzjoni huwa kategorizzat kif ġej: baxx (il-perċezzjoni fost l-esperti u l-eżekuttivi tan-negozju tal-korruzzjoni fis-settur pubbliku hija ogħla minn 79); relattivament baxx (il-punteġġ kien 79-60), relattivament għoli (il-punteġġ kien 59-50), għoli (il-punteġġ kien 50).</w:t>
      </w:r>
    </w:p>
  </w:footnote>
  <w:footnote w:id="113">
    <w:p>
      <w:pPr>
        <w:pStyle w:val="FootnoteText"/>
        <w:spacing w:after="0"/>
        <w:ind w:left="284" w:hanging="284"/>
      </w:pPr>
      <w:r>
        <w:rPr>
          <w:rStyle w:val="FootnoteReference"/>
        </w:rPr>
        <w:footnoteRef/>
      </w:r>
      <w:r>
        <w:t xml:space="preserve"> </w:t>
      </w:r>
      <w:r>
        <w:tab/>
        <w:t>Fl-2015 il-punteġġ kien ta’ 41, filwaqt li fl-2020, il-punteġġ kien ta’ 44. Il-punteġġ jiżdied/jonqos b’mod sinifikanti meta jinbidel b’aktar minn ħames punti; jitjieb/jiddeterjora (meta jinbidel b’4-5 punti); jkun relattivament stabbli (meta jinbidel b’1-3 punti) f’dawn l-aħħar ħames snin.</w:t>
      </w:r>
    </w:p>
  </w:footnote>
  <w:footnote w:id="114">
    <w:p>
      <w:pPr>
        <w:pStyle w:val="FootnoteText"/>
        <w:spacing w:after="0"/>
        <w:ind w:left="284" w:hanging="284"/>
      </w:pPr>
      <w:r>
        <w:rPr>
          <w:rStyle w:val="FootnoteReference"/>
        </w:rPr>
        <w:footnoteRef/>
      </w:r>
      <w:r>
        <w:t xml:space="preserve"> </w:t>
      </w:r>
      <w:r>
        <w:tab/>
        <w:t>Id-</w:t>
      </w:r>
      <w:r>
        <w:rPr>
          <w:i/>
          <w:iCs/>
        </w:rPr>
        <w:t>data</w:t>
      </w:r>
      <w:r>
        <w:t xml:space="preserve"> tal-Ewrobarometru dwar il-perċezzjoni u l-esperjenza tal-korruzzjoni taċ-ċittadini u tan-negozji kif irrappurtata s-sena l-oħra tiġi aġġornata kull sentejn. L-aħħar ġabra ta’ </w:t>
      </w:r>
      <w:r>
        <w:rPr>
          <w:i/>
        </w:rPr>
        <w:t>data</w:t>
      </w:r>
      <w:r>
        <w:t xml:space="preserve"> hija tal-Ewrobarometru Speċjali 502 (2020) u tal-Ewrobarometru Flash 482 (2019).</w:t>
      </w:r>
    </w:p>
  </w:footnote>
  <w:footnote w:id="115">
    <w:p>
      <w:pPr>
        <w:pStyle w:val="FootnoteText"/>
        <w:spacing w:after="0"/>
        <w:ind w:left="284" w:hanging="284"/>
      </w:pPr>
      <w:r>
        <w:rPr>
          <w:rStyle w:val="FootnoteReference"/>
        </w:rPr>
        <w:footnoteRef/>
      </w:r>
      <w:r>
        <w:t xml:space="preserve"> </w:t>
      </w:r>
      <w:r>
        <w:tab/>
        <w:t>Il-kontribut mill-Bulgarija għar-Rapport tal-2021 dwar l-Istat tad-Dritt.</w:t>
      </w:r>
    </w:p>
  </w:footnote>
  <w:footnote w:id="116">
    <w:p>
      <w:pPr>
        <w:pStyle w:val="FootnoteText"/>
        <w:spacing w:after="0"/>
        <w:ind w:left="284" w:hanging="284"/>
      </w:pPr>
      <w:r>
        <w:rPr>
          <w:rStyle w:val="FootnoteReference"/>
        </w:rPr>
        <w:footnoteRef/>
      </w:r>
      <w:r>
        <w:t xml:space="preserve"> </w:t>
      </w:r>
      <w:r>
        <w:tab/>
        <w:t>BGN 12,172,551.64</w:t>
      </w:r>
    </w:p>
  </w:footnote>
  <w:footnote w:id="117">
    <w:p>
      <w:pPr>
        <w:pStyle w:val="FootnoteText"/>
        <w:spacing w:after="0"/>
        <w:ind w:left="284" w:hanging="284"/>
      </w:pPr>
      <w:r>
        <w:rPr>
          <w:rStyle w:val="FootnoteReference"/>
        </w:rPr>
        <w:footnoteRef/>
      </w:r>
      <w:r>
        <w:t xml:space="preserve"> </w:t>
      </w:r>
      <w:r>
        <w:tab/>
        <w:t>L-informazzjoni u l-kontribut li wasal mill-Kummissjoni Kontra l-Korruzzjoni fil-kuntest taż-żjara tal-pajjiż fil-Bulgarija.</w:t>
      </w:r>
    </w:p>
  </w:footnote>
  <w:footnote w:id="118">
    <w:p>
      <w:pPr>
        <w:pStyle w:val="FootnoteText"/>
        <w:spacing w:after="0"/>
        <w:ind w:left="284" w:hanging="284"/>
      </w:pPr>
      <w:r>
        <w:rPr>
          <w:rStyle w:val="FootnoteReference"/>
        </w:rPr>
        <w:footnoteRef/>
      </w:r>
      <w:r>
        <w:t xml:space="preserve"> </w:t>
      </w:r>
      <w:r>
        <w:tab/>
        <w:t>Kontribut mill-Kummissjoni ta’ Kontra l-Korruzzjoni. Ara wkoll l-Abbozz tal-Istrateġija Nazzjonali għall-Prevenzjoni u l-Azzjoni kontra l-Korruzzjoni (2021-2027).</w:t>
      </w:r>
    </w:p>
  </w:footnote>
  <w:footnote w:id="119">
    <w:p>
      <w:pPr>
        <w:pStyle w:val="FootnoteText"/>
        <w:spacing w:after="0"/>
        <w:ind w:left="284" w:hanging="284"/>
      </w:pPr>
      <w:r>
        <w:rPr>
          <w:rStyle w:val="FootnoteReference"/>
        </w:rPr>
        <w:footnoteRef/>
      </w:r>
      <w:r>
        <w:t xml:space="preserve"> </w:t>
      </w:r>
      <w:r>
        <w:tab/>
        <w:t>Il-kontribut tal-Bulgarija għar-Rapport tal-2021 dwar l-Istat tad-Dritt, p. 1.</w:t>
      </w:r>
    </w:p>
  </w:footnote>
  <w:footnote w:id="120">
    <w:p>
      <w:pPr>
        <w:spacing w:after="0"/>
        <w:ind w:left="284" w:hanging="284"/>
      </w:pPr>
      <w:r>
        <w:rPr>
          <w:rStyle w:val="FootnoteReference"/>
          <w:sz w:val="20"/>
        </w:rPr>
        <w:footnoteRef/>
      </w:r>
      <w:r>
        <w:rPr>
          <w:sz w:val="20"/>
        </w:rPr>
        <w:t xml:space="preserve"> </w:t>
      </w:r>
      <w:r>
        <w:tab/>
      </w:r>
      <w:r>
        <w:rPr>
          <w:sz w:val="20"/>
        </w:rPr>
        <w:t>Ir-rapport annwali tal-attività tal-Qorti Suprema tal-Kassazzjoni fl-2020, pp. 41-43.</w:t>
      </w:r>
    </w:p>
  </w:footnote>
  <w:footnote w:id="121">
    <w:p>
      <w:pPr>
        <w:pStyle w:val="FootnoteText"/>
        <w:spacing w:after="0"/>
        <w:ind w:left="284" w:hanging="284"/>
      </w:pPr>
      <w:r>
        <w:rPr>
          <w:rStyle w:val="FootnoteReference"/>
        </w:rPr>
        <w:footnoteRef/>
      </w:r>
      <w:r>
        <w:t xml:space="preserve"> </w:t>
      </w:r>
      <w:r>
        <w:tab/>
        <w:t xml:space="preserve">Il-Kummissjoni Ewropea: L-Uffiċċju Ewropew Kontra l-Frodi, </w:t>
      </w:r>
      <w:r>
        <w:rPr>
          <w:i/>
        </w:rPr>
        <w:t>l-OLAF jirrakkomanda l-irkupru ta’ kważi EUR 6 miljun wara l-allegat abbuż ta’ poter fil-ministeru Bulgaru</w:t>
      </w:r>
      <w:r>
        <w:t xml:space="preserve"> - l-Istqarrija għall-Istampa tal-UE Nru 04/2021.</w:t>
      </w:r>
    </w:p>
  </w:footnote>
  <w:footnote w:id="122">
    <w:p>
      <w:pPr>
        <w:pStyle w:val="FootnoteText"/>
        <w:spacing w:after="0"/>
        <w:ind w:left="284" w:hanging="284"/>
      </w:pPr>
      <w:r>
        <w:rPr>
          <w:rStyle w:val="FootnoteReference"/>
        </w:rPr>
        <w:footnoteRef/>
      </w:r>
      <w:r>
        <w:t xml:space="preserve"> </w:t>
      </w:r>
      <w:r>
        <w:tab/>
        <w:t>Ir-Rapport tal-2020 dwar l-Istat tad-Dritt, il-Kapitolu tal-pajjiż dwar is-sitwazzjoni tal-istat tad-dritt fil-Bulgarija, p. 12. Barra minn hekk, f’Ġunju 2021, id-Dipartiment tat-Teżor tal-Istati Uniti ħareġ sanzjonijiet immirati lejn ċerti ċittadini Bulgari (inkluż eks membru tal-Parlament) talli wettqu atti ta’ korruzzjoni, f’konformità mal-Global Magnitsky Act tal-Istati Uniti. L-ispecially designated nationals list update tad-Dipartiment tat-Teżor tal-Istati Uniti - it-2 ta’ Ġunju 2021.</w:t>
      </w:r>
    </w:p>
  </w:footnote>
  <w:footnote w:id="123">
    <w:p>
      <w:pPr>
        <w:spacing w:after="0"/>
        <w:ind w:left="284" w:hanging="284"/>
        <w:rPr>
          <w:sz w:val="20"/>
        </w:rPr>
      </w:pPr>
      <w:r>
        <w:rPr>
          <w:rStyle w:val="FootnoteReference"/>
          <w:sz w:val="20"/>
        </w:rPr>
        <w:footnoteRef/>
      </w:r>
      <w:r>
        <w:rPr>
          <w:sz w:val="20"/>
        </w:rPr>
        <w:t xml:space="preserve"> </w:t>
      </w:r>
      <w:r>
        <w:tab/>
      </w:r>
      <w:r>
        <w:rPr>
          <w:sz w:val="20"/>
        </w:rPr>
        <w:t>Adottata mill-Kunsill tal-Ministri bir-Riżoluzzjoni Nru 57 tat-2 ta’ April 2020. Ir-rwol tal-Kodiċi ta’ Kondotta tal-impjegati taċ-ċivil fis-sistema tal-integrità tas-settur pubbliku bħalissa qed jiġi rieżaminat bl-appoġġ tal-Organizzazzjoni għall-Kooperazzjoni u l-Iżvilupp Ekonomiċi (OECD) fil-proġett “Immexxu ’l Quddiem ir-Riforma tal-Amministrazzjoni Pubblika”.</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L-Artikolu 32, il-paragrafu 1, il-punt 6 tal-Liġi għall-ġlieda kontra l-korruzzjoni u l-konfiska ta’ proprjetà akkwistata illegalment.</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L-Assemblea Nazzjonali tar-Repubblika tal-Bulgarija (2017), ir-Regoli ta’ organizzazzjoni u l-proċedura tal-assemblea nazzjonali.</w:t>
      </w:r>
    </w:p>
  </w:footnote>
  <w:footnote w:id="126">
    <w:p>
      <w:pPr>
        <w:spacing w:after="0"/>
        <w:ind w:left="284" w:hanging="284"/>
        <w:rPr>
          <w:sz w:val="20"/>
        </w:rPr>
      </w:pPr>
      <w:r>
        <w:rPr>
          <w:sz w:val="20"/>
          <w:vertAlign w:val="superscript"/>
        </w:rPr>
        <w:footnoteRef/>
      </w:r>
      <w:r>
        <w:rPr>
          <w:sz w:val="20"/>
        </w:rPr>
        <w:t xml:space="preserve"> </w:t>
      </w:r>
      <w:r>
        <w:tab/>
      </w:r>
      <w:r>
        <w:rPr>
          <w:sz w:val="20"/>
        </w:rPr>
        <w:t>Bħalma huma l-proċeduri miftuħa jew magħluqa u d-deċiżjonijiet tal-entitajiet kompetenti.</w:t>
      </w:r>
    </w:p>
  </w:footnote>
  <w:footnote w:id="127">
    <w:p>
      <w:pPr>
        <w:pStyle w:val="FootnoteText"/>
        <w:spacing w:after="0"/>
        <w:ind w:left="284" w:hanging="284"/>
      </w:pPr>
      <w:r>
        <w:rPr>
          <w:rStyle w:val="FootnoteReference"/>
        </w:rPr>
        <w:footnoteRef/>
      </w:r>
      <w:r>
        <w:t xml:space="preserve"> </w:t>
      </w:r>
      <w:r>
        <w:tab/>
        <w:t>Għadd kbir ta’ bodycams ġew ipprovduti mill-Ministeru tal-Intern (proġett iffinanzjat permezz tal-Fond għas-Sigurtà Interna tal-Kummissjoni Ewropea) u dawn ġew użati sa mill-2021.</w:t>
      </w:r>
    </w:p>
  </w:footnote>
  <w:footnote w:id="128">
    <w:p>
      <w:pPr>
        <w:spacing w:after="0"/>
        <w:ind w:left="284" w:hanging="284"/>
        <w:rPr>
          <w:sz w:val="20"/>
        </w:rPr>
      </w:pPr>
      <w:r>
        <w:rPr>
          <w:sz w:val="20"/>
          <w:vertAlign w:val="superscript"/>
        </w:rPr>
        <w:footnoteRef/>
      </w:r>
      <w:r>
        <w:rPr>
          <w:sz w:val="20"/>
        </w:rPr>
        <w:t xml:space="preserve"> </w:t>
      </w:r>
      <w:r>
        <w:tab/>
      </w:r>
      <w:r>
        <w:rPr>
          <w:sz w:val="20"/>
        </w:rPr>
        <w:t>Ir-rapport dwar is-sigurtà interna: fil-perjodu 2014-2020, tmien uffiċjali tat-traffiku ġew ikkundannati. U aktar minn hekk, informazzjoni li waslet fil-kuntest taż-żjara fir-Rumanija.</w:t>
      </w:r>
    </w:p>
  </w:footnote>
  <w:footnote w:id="129">
    <w:p>
      <w:pPr>
        <w:pStyle w:val="FootnoteText"/>
        <w:spacing w:after="0"/>
        <w:ind w:left="284" w:hanging="284"/>
      </w:pPr>
      <w:r>
        <w:rPr>
          <w:rStyle w:val="FootnoteReference"/>
        </w:rPr>
        <w:footnoteRef/>
      </w:r>
      <w:r>
        <w:t xml:space="preserve"> </w:t>
      </w:r>
      <w:r>
        <w:tab/>
        <w:t>Fl-2020, 83,316-il dikjarazzjoni ta’ assi u interessi ta’ persuni li jaħdmu fl-amministrazzjoni tal-Istat ġew ippreżentati fil-ħin (jiġifieri 250 inqas milli fl-2019). F’46 każ kien hemm il-ksur tar-regoli amministrattivi (jiġifieri tnaqqis ta’ 38 % meta mqabbel mal-2019); u f’żewġ każijiet nħarġu sanzjonijiet (jiġifieri tnaqqis ta’ 50 % meta mqabbel mal-2019). Fl-2020, l-ispettorati interni wettqu 4,750 verifika (jiġifieri tnaqqis ta’ 23 % meta mqabbel mal-2019). Fl-2020, instab li kien hemm 21 ksur amministrattiv (meta mqabbel ma’ sitt każijiet ta’ ksur fl-2019); bl-applikazzjoni ta’ sanzjonijiet f’erba’ każijiet, minbarra disa’ każijiet ta’ terminazzjoni tal-impjieg minħabba inkompatibilitajiet (jiġifieri l-istess numru tal-2019). Għall-2020, l-għadd ta’ dikjarazzjonijiet ta’ assi ta’ persuni f’karigi pubbliċi għoljin riċevuti u pproċessati naqas b’madwar 36 % meta mqabbel mal-2019. L-għadd ta’ dikjarazzjonijiet, li ma ġewx ippreżentati jew li ġew ippreżentati tard żdied b’madwar 160 % fl-2020, meta mqabbel mal-2019. Il-kontribut tal-Bulgarija għar-Rapport tal-2021 dwar l-Istat tad-Dritt.</w:t>
      </w:r>
    </w:p>
  </w:footnote>
  <w:footnote w:id="130">
    <w:p>
      <w:pPr>
        <w:pStyle w:val="FootnoteText"/>
        <w:spacing w:after="0"/>
        <w:ind w:left="284" w:hanging="284"/>
      </w:pPr>
      <w:r>
        <w:rPr>
          <w:rStyle w:val="FootnoteReference"/>
        </w:rPr>
        <w:footnoteRef/>
      </w:r>
      <w:r>
        <w:t xml:space="preserve"> </w:t>
      </w:r>
      <w:r>
        <w:tab/>
        <w:t>Fl-2020, il-Kummissjoni ta’ Kontra l-Korruzzjoni wettqet 28 verifika (apparagun ta’ 17 fl-2019) dwar każijiet ta’ kunflitt ta’ interess u inkompatibbiltà. Fl-2020 ġew adottati t-total ta’ 30 deċiżjoni li jistabbilixxu kunflitt ta’ interess, filwaqt li fl-2019 ġew adottati 14-il deċiżjoni bħal dawn. Il-kontribut tal-Bulgarija għar-Rapport tal-2021 dwar l-Istat tad-Dritt. Ara wkoll, GRECO, Fourth Evaluation Round - it-tieni rapport ta’ konformità, ir-Rakkomandazzjonijiet iii u iv, il-paragrafu 11. Il-GRECO kkonkluda li r-rakkomandazzjonijiet iii u iv dwar id-divulgazzjoni tal-assi, id-divulgazzjoni u l-aċċertament tal-kunflitti ta’ interess u tal-impatt tagħhom fuq il-prevenzjoni u d-detezzjoni tal-korruzzjoni, ġew implimentati b’mod sodisfaċenti.</w:t>
      </w:r>
    </w:p>
  </w:footnote>
  <w:footnote w:id="131">
    <w:p>
      <w:pPr>
        <w:pStyle w:val="FootnoteText"/>
        <w:spacing w:after="0"/>
        <w:ind w:left="284" w:hanging="284"/>
      </w:pPr>
      <w:r>
        <w:rPr>
          <w:rStyle w:val="FootnoteReference"/>
        </w:rPr>
        <w:footnoteRef/>
      </w:r>
      <w:r>
        <w:t xml:space="preserve"> </w:t>
      </w:r>
      <w:r>
        <w:tab/>
        <w:t>Kif indikat fir-Rapport tal-2020 dwar l-Istat tad-Dritt, analiżi riċenti miċ-Ċentru Nazzjonali għar-Riċerka Parlamentari li tkopri l-perjodu minn April 2017 sa Diċembru 2019 uriet li kważi 37 % tal-atti legali adottati jimmodifikaw atti oħra b’emendi, inkluż fit-tranżizzjoni u fid-dispożizzjonijiet finali tal-att emendatorju. Il-partijiet ikkonċernati esprimew tħassib serju li din il-prattika mhux biss tħalli impatt negattiv fuq it-trasparenza tal-proċess leġiżlattiv fil-pajjiż, iżda f’xi każijiet tista’ tkun sinjal ta’ lobbying irregolari.</w:t>
      </w:r>
    </w:p>
  </w:footnote>
  <w:footnote w:id="132">
    <w:p>
      <w:pPr>
        <w:pStyle w:val="FootnoteText"/>
        <w:spacing w:after="0"/>
        <w:ind w:left="284" w:hanging="284"/>
      </w:pPr>
      <w:r>
        <w:rPr>
          <w:rStyle w:val="FootnoteReference"/>
        </w:rPr>
        <w:footnoteRef/>
      </w:r>
      <w:r>
        <w:t xml:space="preserve"> </w:t>
      </w:r>
      <w:r>
        <w:tab/>
        <w:t xml:space="preserve">L-Artikolu 123 (dwar il-protezzjoni tax-xhieda) tal-kodiċi ta’ proċedura kriminali. </w:t>
      </w:r>
    </w:p>
  </w:footnote>
  <w:footnote w:id="133">
    <w:p>
      <w:pPr>
        <w:pStyle w:val="FootnoteText"/>
        <w:spacing w:after="0"/>
        <w:ind w:left="284" w:hanging="284"/>
      </w:pPr>
      <w:r>
        <w:rPr>
          <w:rStyle w:val="FootnoteReference"/>
        </w:rPr>
        <w:footnoteRef/>
      </w:r>
      <w:r>
        <w:t xml:space="preserve"> </w:t>
      </w:r>
      <w:r>
        <w:tab/>
        <w:t>Id-Direttorat Ġenerali tal-Pulizija Nazzjonali.</w:t>
      </w:r>
    </w:p>
  </w:footnote>
  <w:footnote w:id="134">
    <w:p>
      <w:pPr>
        <w:pStyle w:val="FootnoteText"/>
        <w:spacing w:after="0"/>
        <w:ind w:left="284" w:hanging="284"/>
      </w:pPr>
      <w:r>
        <w:rPr>
          <w:rStyle w:val="FootnoteReference"/>
        </w:rPr>
        <w:footnoteRef/>
      </w:r>
      <w:r>
        <w:t xml:space="preserve"> </w:t>
      </w:r>
      <w:r>
        <w:tab/>
        <w:t>Il-kontribut tal-Bulgarija għar-Rapport tal-2021 dwar l-Istat tad-Dritt, p. 29.</w:t>
      </w:r>
    </w:p>
  </w:footnote>
  <w:footnote w:id="135">
    <w:p>
      <w:pPr>
        <w:pStyle w:val="FootnoteText"/>
        <w:spacing w:after="0"/>
        <w:ind w:left="284" w:hanging="284"/>
      </w:pPr>
      <w:r>
        <w:rPr>
          <w:rStyle w:val="FootnoteReference"/>
        </w:rPr>
        <w:footnoteRef/>
      </w:r>
      <w:r>
        <w:t xml:space="preserve"> </w:t>
      </w:r>
      <w:r>
        <w:tab/>
        <w:t>L-Indiċi Dinji tal-Libertà tal-Istampa tal-2021 tar-Reporters mingħajr fruntieri jpoġġi lill-Bulgarija fil-112-il post minn 180 pajjiż immonitorjat, pożizzjoni inqas mis-sena li għaddiet (l-aħħar post fl-UE).</w:t>
      </w:r>
    </w:p>
  </w:footnote>
  <w:footnote w:id="136">
    <w:p>
      <w:pPr>
        <w:pStyle w:val="FootnoteText"/>
        <w:spacing w:after="0"/>
        <w:ind w:left="284" w:hanging="284"/>
      </w:pPr>
      <w:r>
        <w:rPr>
          <w:vertAlign w:val="superscript"/>
        </w:rPr>
        <w:footnoteRef/>
      </w:r>
      <w:r>
        <w:t xml:space="preserve"> </w:t>
      </w:r>
      <w:r>
        <w:tab/>
        <w:t xml:space="preserve">L-Att dwar it-Televiżjoni u r-Radju. </w:t>
      </w:r>
    </w:p>
  </w:footnote>
  <w:footnote w:id="137">
    <w:p>
      <w:pPr>
        <w:pStyle w:val="FootnoteText"/>
        <w:spacing w:after="0"/>
        <w:ind w:left="284" w:hanging="284"/>
        <w:rPr>
          <w:rStyle w:val="Hyperlink"/>
          <w:szCs w:val="24"/>
        </w:rPr>
      </w:pPr>
      <w:r>
        <w:rPr>
          <w:vertAlign w:val="superscript"/>
        </w:rPr>
        <w:footnoteRef/>
      </w:r>
      <w:r>
        <w:t xml:space="preserve"> </w:t>
      </w:r>
      <w:r>
        <w:tab/>
        <w:t>Maħruġ fil-Gazzetta tal-Istat, fil-ħarġa 109/2020.</w:t>
      </w:r>
    </w:p>
  </w:footnote>
  <w:footnote w:id="138">
    <w:p>
      <w:pPr>
        <w:pStyle w:val="FootnoteText"/>
        <w:spacing w:after="0"/>
        <w:ind w:left="284" w:hanging="284"/>
      </w:pPr>
      <w:r>
        <w:rPr>
          <w:rStyle w:val="FootnoteReference"/>
        </w:rPr>
        <w:footnoteRef/>
      </w:r>
      <w:r>
        <w:t xml:space="preserve"> </w:t>
      </w:r>
      <w:r>
        <w:tab/>
        <w:t>Ir-Rapport tal-2020 dwar l-Istat tad-Dritt, il-Kapitolu tal-pajjiż dwar is-sitwazzjoni tal-istat tad-dritt fil-Bulgarija, p. 15.</w:t>
      </w:r>
    </w:p>
  </w:footnote>
  <w:footnote w:id="139">
    <w:p>
      <w:pPr>
        <w:pStyle w:val="FootnoteText"/>
        <w:spacing w:after="0"/>
        <w:ind w:left="284" w:hanging="284"/>
      </w:pPr>
      <w:r>
        <w:rPr>
          <w:rStyle w:val="FootnoteReference"/>
        </w:rPr>
        <w:footnoteRef/>
      </w:r>
      <w:r>
        <w:t xml:space="preserve"> </w:t>
      </w:r>
      <w:r>
        <w:tab/>
        <w:t>Id-digriet Nru 113/ 29.03.2021 u d-Digriet Nru 177/ 29.04.2021.</w:t>
      </w:r>
    </w:p>
  </w:footnote>
  <w:footnote w:id="140">
    <w:p>
      <w:pPr>
        <w:pStyle w:val="FootnoteText"/>
        <w:spacing w:after="0"/>
        <w:ind w:left="284" w:hanging="284"/>
      </w:pPr>
      <w:r>
        <w:rPr>
          <w:rStyle w:val="FootnoteReference"/>
        </w:rPr>
        <w:footnoteRef/>
      </w:r>
      <w:r>
        <w:t xml:space="preserve"> </w:t>
      </w:r>
      <w:r>
        <w:tab/>
        <w:t>L-informazzjoni li waslet mis-CEM fil-kuntest taż-żjara fil-pajjiż.</w:t>
      </w:r>
    </w:p>
  </w:footnote>
  <w:footnote w:id="141">
    <w:p>
      <w:pPr>
        <w:pStyle w:val="FootnoteText"/>
        <w:spacing w:after="0"/>
        <w:ind w:left="284" w:hanging="284"/>
      </w:pPr>
      <w:r>
        <w:rPr>
          <w:rStyle w:val="FootnoteReference"/>
        </w:rPr>
        <w:footnoteRef/>
      </w:r>
      <w:r>
        <w:t xml:space="preserve"> </w:t>
      </w:r>
      <w:r>
        <w:tab/>
        <w:t xml:space="preserve">L-informazzjoni riċevuta fil-kuntest taż-żjara tal-pajjiż fil-Bulgarija, il-Media pluralism Monitor tal-2021, il-Bulgarija, p. 12. Livell għoli ta’ konċentrazzjoni huwa rreġistrat fis-settur tat-TV (92 % tas-sehem totali tas-suq tal-akbar erba’ sidien). L-ishma kumulattivi tal-udjenzi tal-aqwa erba’ gruppi tal-media tat-televiżjoni (74 %) u l-aqwa erba’ gruppi tar-radju (79 %) huma wkoll indikattivi ta’ konċentrazzjoni għolja. Is-settur tal-media online huwa kkaratterizzat minn nuqqas ta’ </w:t>
      </w:r>
      <w:r>
        <w:rPr>
          <w:i/>
          <w:iCs/>
        </w:rPr>
        <w:t>data</w:t>
      </w:r>
      <w:r>
        <w:t xml:space="preserve"> preċiża.</w:t>
      </w:r>
    </w:p>
  </w:footnote>
  <w:footnote w:id="142">
    <w:p>
      <w:pPr>
        <w:pStyle w:val="FootnoteText"/>
        <w:spacing w:after="0"/>
        <w:ind w:left="284" w:hanging="284"/>
      </w:pPr>
      <w:r>
        <w:rPr>
          <w:rStyle w:val="FootnoteReference"/>
        </w:rPr>
        <w:footnoteRef/>
      </w:r>
      <w:r>
        <w:t xml:space="preserve"> </w:t>
      </w:r>
      <w:r>
        <w:tab/>
        <w:t>Il-Media pluralism Monitor tal-2021, p. 15.</w:t>
      </w:r>
    </w:p>
  </w:footnote>
  <w:footnote w:id="143">
    <w:p>
      <w:pPr>
        <w:pStyle w:val="FootnoteText"/>
        <w:spacing w:after="0"/>
        <w:ind w:left="284" w:hanging="284"/>
      </w:pPr>
      <w:r>
        <w:rPr>
          <w:rStyle w:val="FootnoteReference"/>
        </w:rPr>
        <w:footnoteRef/>
      </w:r>
      <w:r>
        <w:t xml:space="preserve"> </w:t>
      </w:r>
      <w:r>
        <w:tab/>
        <w:t>Ir-Reporters mingħajr Fruntieri, il-Bulgarija.</w:t>
      </w:r>
    </w:p>
  </w:footnote>
  <w:footnote w:id="144">
    <w:p>
      <w:pPr>
        <w:pStyle w:val="FootnoteText"/>
        <w:spacing w:after="0"/>
        <w:ind w:left="284" w:hanging="284"/>
      </w:pPr>
      <w:r>
        <w:rPr>
          <w:rStyle w:val="FootnoteReference"/>
        </w:rPr>
        <w:footnoteRef/>
      </w:r>
      <w:r>
        <w:t xml:space="preserve"> </w:t>
      </w:r>
      <w:r>
        <w:tab/>
        <w:t>Il-Media pluralism Monitor tal-2021, p. 14.</w:t>
      </w:r>
    </w:p>
  </w:footnote>
  <w:footnote w:id="145">
    <w:p>
      <w:pPr>
        <w:pStyle w:val="FootnoteText"/>
        <w:spacing w:after="0"/>
        <w:ind w:left="284" w:hanging="284"/>
      </w:pPr>
      <w:r>
        <w:rPr>
          <w:rStyle w:val="FootnoteReference"/>
        </w:rPr>
        <w:footnoteRef/>
      </w:r>
      <w:r>
        <w:t xml:space="preserve"> </w:t>
      </w:r>
      <w:r>
        <w:tab/>
        <w:t>Il-Ministeru tal-Finanzi (2019), il-Programm ta’ Żvilupp Nazzjonali tal-Bulgarija tal-2030.</w:t>
      </w:r>
    </w:p>
  </w:footnote>
  <w:footnote w:id="146">
    <w:p>
      <w:pPr>
        <w:pStyle w:val="FootnoteText"/>
        <w:spacing w:after="0"/>
        <w:ind w:left="284" w:hanging="284"/>
      </w:pPr>
      <w:r>
        <w:rPr>
          <w:rStyle w:val="FootnoteReference"/>
        </w:rPr>
        <w:footnoteRef/>
      </w:r>
      <w:r>
        <w:t xml:space="preserve"> </w:t>
      </w:r>
      <w:r>
        <w:tab/>
        <w:t>Informazzjoni li waslet fil-kuntest taż-żjara fil-pajjiż fil-Bulgarija.</w:t>
      </w:r>
    </w:p>
  </w:footnote>
  <w:footnote w:id="147">
    <w:p>
      <w:pPr>
        <w:pStyle w:val="FootnoteText"/>
        <w:spacing w:after="0"/>
        <w:ind w:left="284" w:hanging="284"/>
      </w:pPr>
      <w:r>
        <w:rPr>
          <w:rStyle w:val="FootnoteReference"/>
        </w:rPr>
        <w:footnoteRef/>
      </w:r>
      <w:r>
        <w:t xml:space="preserve"> </w:t>
      </w:r>
      <w:r>
        <w:tab/>
        <w:t xml:space="preserve">Il-Media pluralism Monitor tal-2021, il-Bulgarija p. 7. </w:t>
      </w:r>
    </w:p>
  </w:footnote>
  <w:footnote w:id="148">
    <w:p>
      <w:pPr>
        <w:pStyle w:val="FootnoteText"/>
        <w:spacing w:after="0"/>
        <w:ind w:left="284" w:hanging="284"/>
      </w:pPr>
      <w:r>
        <w:rPr>
          <w:rStyle w:val="FootnoteReference"/>
        </w:rPr>
        <w:footnoteRef/>
      </w:r>
      <w:r>
        <w:t xml:space="preserve"> </w:t>
      </w:r>
      <w:r>
        <w:tab/>
        <w:t>Ir-Rapport tal-2020 dwar l-Istat tad-Dritt, il-Kapitolu tal-pajjiż dwar is-sitwazzjoni tal-istat tad-dritt fil-Bulgarija, p.17.</w:t>
      </w:r>
    </w:p>
  </w:footnote>
  <w:footnote w:id="149">
    <w:p>
      <w:pPr>
        <w:pStyle w:val="FootnoteText"/>
        <w:spacing w:after="0"/>
        <w:ind w:left="284" w:hanging="284"/>
      </w:pPr>
      <w:r>
        <w:rPr>
          <w:rStyle w:val="FootnoteReference"/>
        </w:rPr>
        <w:footnoteRef/>
      </w:r>
      <w:r>
        <w:t xml:space="preserve"> </w:t>
      </w:r>
      <w:r>
        <w:tab/>
        <w:t>Informazzjoni li waslet fil-kuntest taż-żjara fil-pajjiż fil-Bulgarija.</w:t>
      </w:r>
    </w:p>
  </w:footnote>
  <w:footnote w:id="150">
    <w:p>
      <w:pPr>
        <w:pStyle w:val="FootnoteText"/>
        <w:spacing w:after="0"/>
        <w:ind w:left="284" w:hanging="284"/>
      </w:pPr>
      <w:r>
        <w:rPr>
          <w:rStyle w:val="FootnoteReference"/>
        </w:rPr>
        <w:footnoteRef/>
      </w:r>
      <w:r>
        <w:t xml:space="preserve"> </w:t>
      </w:r>
      <w:r>
        <w:tab/>
        <w:t>L-awtoritajiet ma wieġbu għall-ebda waħda mill-allerti. Il-Kunsill tal-Ewropa, il-Pjattaforma għall-promozzjoni tal-protezzjoni tal-ġurnaliżmu u tas-sikurezza tal-ġurnalisti.</w:t>
      </w:r>
    </w:p>
  </w:footnote>
  <w:footnote w:id="151">
    <w:p>
      <w:pPr>
        <w:pStyle w:val="FootnoteText"/>
        <w:spacing w:after="0"/>
        <w:ind w:left="284" w:hanging="284"/>
      </w:pPr>
      <w:r>
        <w:rPr>
          <w:rStyle w:val="FootnoteReference"/>
        </w:rPr>
        <w:footnoteRef/>
      </w:r>
      <w:r>
        <w:t xml:space="preserve"> </w:t>
      </w:r>
      <w:r>
        <w:tab/>
        <w:t>Ir-Reporters mingħajr Fruntieri, il-Bulgarija.</w:t>
      </w:r>
    </w:p>
  </w:footnote>
  <w:footnote w:id="152">
    <w:p>
      <w:pPr>
        <w:pStyle w:val="FootnoteText"/>
        <w:spacing w:after="0"/>
        <w:ind w:left="284" w:hanging="284"/>
      </w:pPr>
      <w:r>
        <w:rPr>
          <w:rStyle w:val="FootnoteReference"/>
        </w:rPr>
        <w:footnoteRef/>
      </w:r>
      <w:r>
        <w:t xml:space="preserve"> </w:t>
      </w:r>
      <w:r>
        <w:tab/>
        <w:t>L-Artikolu 87 tal-Kostituzzjoni: kull membru tal-Assemblea Nazzjonali jew tal-Kunsill tal-Ministri għandu d-dritt li jintroduċi abbozz ta’ liġi. Din tiġi adottata mill-Assemblea Nazzjonali f’żewġ stadji ta’ qari. L-abbozz tal-liġi adottat jintbagħat lill-President tar-Repubblika tal-Bulgarija, li jiffirma digriet għall-promulgazzjoni tiegħu. L-att huwa ppromulgat fil-Gazzetta tal-Istat u jidħol fis-seħħ tlett ijiem wara l-pubblikazzjoni tiegħu, sakemm l-att ma jipprevedix mod ieħor. Ara wkoll ir-riforma riċenti tal-abbozzi tal-Kostituzzjoni msemmija fin-nota 40 f’qiegħ il-paġna, li testendi d-dritt ta’ inizjattiva leġiżlattiva anki għall-Kunsilli għall-ġudikatura. Madankollu, aktar tard din tħalliet barra mill-abbozz.</w:t>
      </w:r>
    </w:p>
  </w:footnote>
  <w:footnote w:id="153">
    <w:p>
      <w:pPr>
        <w:pStyle w:val="FootnoteText"/>
        <w:spacing w:after="0"/>
        <w:ind w:left="284" w:hanging="284"/>
      </w:pPr>
      <w:r>
        <w:rPr>
          <w:rStyle w:val="FootnoteReference"/>
        </w:rPr>
        <w:footnoteRef/>
      </w:r>
      <w:r>
        <w:t xml:space="preserve"> </w:t>
      </w:r>
      <w:r>
        <w:tab/>
        <w:t>COM(2019)498, p.3.</w:t>
      </w:r>
    </w:p>
  </w:footnote>
  <w:footnote w:id="154">
    <w:p>
      <w:pPr>
        <w:pStyle w:val="FootnoteText"/>
        <w:spacing w:after="0"/>
        <w:ind w:left="284" w:hanging="284"/>
      </w:pPr>
      <w:r>
        <w:rPr>
          <w:rStyle w:val="FootnoteReference"/>
        </w:rPr>
        <w:footnoteRef/>
      </w:r>
      <w:r>
        <w:t xml:space="preserve"> </w:t>
      </w:r>
      <w:r>
        <w:tab/>
        <w:t xml:space="preserve">Id-Digriet Nru 21 tal-14 ta’ Frar 2020 emenda d-dħul fis-seħħ oriġinali tad-Digriet (Nru 240 tal-Kunsill tal-Ministri tal-2019) li jistabbilixxi l-Mekkaniżmu Nazzjonali għall-Monitoraġġ. </w:t>
      </w:r>
    </w:p>
  </w:footnote>
  <w:footnote w:id="155">
    <w:p>
      <w:pPr>
        <w:pStyle w:val="FootnoteText"/>
        <w:spacing w:after="0"/>
        <w:ind w:left="284" w:hanging="284"/>
      </w:pPr>
      <w:r>
        <w:rPr>
          <w:rStyle w:val="FootnoteReference"/>
        </w:rPr>
        <w:footnoteRef/>
      </w:r>
      <w:r>
        <w:t xml:space="preserve"> </w:t>
      </w:r>
      <w:r>
        <w:tab/>
        <w:t>L-appell ġie ppreżentat mill-NGO affettwata mill-kanċellazzjoni tal-proċedura inizjali għall-għażla tal-hekk imsejjaħ Kunsill Ċivili fil-mekkaniżmu ta’ postmonitoraġġ.</w:t>
      </w:r>
    </w:p>
  </w:footnote>
  <w:footnote w:id="156">
    <w:p>
      <w:pPr>
        <w:pStyle w:val="FootnoteText"/>
        <w:spacing w:after="0"/>
        <w:ind w:left="284" w:hanging="284"/>
      </w:pPr>
      <w:r>
        <w:rPr>
          <w:rStyle w:val="FootnoteReference"/>
          <w:lang w:val="en-IE"/>
        </w:rPr>
        <w:footnoteRef/>
      </w:r>
      <w:r>
        <w:t xml:space="preserve"> </w:t>
      </w:r>
      <w:r>
        <w:tab/>
        <w:t>Adottata bid-Deċiżjoni Nru 885 tal-Kunsill tal-Ministri tat-3 ta’ Diċembru 2020.</w:t>
      </w:r>
    </w:p>
  </w:footnote>
  <w:footnote w:id="157">
    <w:p>
      <w:pPr>
        <w:pStyle w:val="FootnoteText"/>
        <w:spacing w:after="0"/>
        <w:ind w:left="284" w:hanging="284"/>
      </w:pPr>
      <w:r>
        <w:rPr>
          <w:rStyle w:val="FootnoteReference"/>
          <w:lang w:val="en-IE"/>
        </w:rPr>
        <w:footnoteRef/>
      </w:r>
      <w:r>
        <w:t xml:space="preserve"> </w:t>
      </w:r>
      <w:r>
        <w:tab/>
        <w:t>Il-liġijiet ewlenin huma definiti mill-Kunsill tar-Riforma Amministrattiva, wara mandat ta’ ħames snin, skont il-Liġi dwar l-Atti Legali tal-2016.</w:t>
      </w:r>
    </w:p>
  </w:footnote>
  <w:footnote w:id="158">
    <w:p>
      <w:pPr>
        <w:pStyle w:val="FootnoteText"/>
        <w:spacing w:after="0"/>
        <w:ind w:left="284" w:hanging="284"/>
      </w:pPr>
      <w:r>
        <w:rPr>
          <w:rStyle w:val="FootnoteReference"/>
        </w:rPr>
        <w:footnoteRef/>
      </w:r>
      <w:r>
        <w:t xml:space="preserve"> </w:t>
      </w:r>
      <w:r>
        <w:tab/>
        <w:t xml:space="preserve">Għal aktar informazzjoni ara </w:t>
      </w:r>
      <w:hyperlink r:id="rId5" w:history="1">
        <w:r>
          <w:rPr>
            <w:rStyle w:val="Hyperlink"/>
          </w:rPr>
          <w:t>https://www.parliament.bg/pub/NCIOM/2021</w:t>
        </w:r>
      </w:hyperlink>
    </w:p>
  </w:footnote>
  <w:footnote w:id="159">
    <w:p>
      <w:pPr>
        <w:pStyle w:val="FootnoteText"/>
        <w:spacing w:after="0"/>
        <w:ind w:left="284" w:hanging="284"/>
      </w:pPr>
      <w:r>
        <w:rPr>
          <w:rStyle w:val="FootnoteReference"/>
        </w:rPr>
        <w:footnoteRef/>
      </w:r>
      <w:r>
        <w:t xml:space="preserve"> </w:t>
      </w:r>
      <w:r>
        <w:tab/>
        <w:t>Waqt l-44 Assemblea Nazzjonali, il-membri parlamentari pproponew aktar minn 60 % tal-abbozzi ta’ liġijiet. – L-istudju tal-attività tat-tfassil tal-liġijiet tal-Assemblea Nazzjonali (April 2017 – Marzu 2021), p. 9.</w:t>
      </w:r>
    </w:p>
  </w:footnote>
  <w:footnote w:id="160">
    <w:p>
      <w:pPr>
        <w:pStyle w:val="FootnoteText"/>
        <w:spacing w:after="0"/>
        <w:ind w:left="284" w:hanging="284"/>
      </w:pPr>
      <w:r>
        <w:rPr>
          <w:rStyle w:val="FootnoteReference"/>
        </w:rPr>
        <w:footnoteRef/>
      </w:r>
      <w:r>
        <w:t xml:space="preserve"> </w:t>
      </w:r>
      <w:r>
        <w:tab/>
        <w:t>L-istudju tal-attività tat-tfassil tal-liġijiet tal-Assemblea Nazzjonali (April 2017 – Marzu 2021), p. 62.</w:t>
      </w:r>
    </w:p>
  </w:footnote>
  <w:footnote w:id="161">
    <w:p>
      <w:pPr>
        <w:pStyle w:val="FootnoteText"/>
        <w:spacing w:after="0"/>
        <w:ind w:left="284" w:hanging="284"/>
      </w:pPr>
      <w:r>
        <w:rPr>
          <w:rStyle w:val="FootnoteReference"/>
        </w:rPr>
        <w:footnoteRef/>
      </w:r>
      <w:r>
        <w:t xml:space="preserve"> </w:t>
      </w:r>
      <w:r>
        <w:tab/>
        <w:t xml:space="preserve">Il-metodoloġija għall-valutazzjoni tal-impatt ġiet aġġornata fl-2019. Il-Kunsill għar-riforma amministrattiva (korp konsultattiv tal-Kunsill tal-Ministri) approva mudelli ġodda u gwida dwar il-valutazzjonijiet tal-impatt fi Frar 2021. Il-Gvern jippubblika wkoll il-lista ta’ valutazzjonijiet tal-impatt fuq is-sit web tiegħu tal-konsultazzjonijiet.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Is-sit web tal-Parlament juri li l-abbozzi tal-liġijiet tal-Kunsill tal-Ministri għandhom dawn id-dokumenti.</w:t>
      </w:r>
    </w:p>
  </w:footnote>
  <w:footnote w:id="163">
    <w:p>
      <w:pPr>
        <w:pStyle w:val="FootnoteText"/>
        <w:spacing w:after="0"/>
        <w:ind w:left="284" w:hanging="284"/>
      </w:pPr>
      <w:r>
        <w:rPr>
          <w:rStyle w:val="FootnoteReference"/>
        </w:rPr>
        <w:footnoteRef/>
      </w:r>
      <w:r>
        <w:t xml:space="preserve"> </w:t>
      </w:r>
      <w:r>
        <w:tab/>
        <w:t>L-istudju tal-attività tat-tfassil tal-liġijiet tal-Assemblea Nazzjonali (April 2017 – Marzu 2021), p. 16 u p. 20.</w:t>
      </w:r>
    </w:p>
  </w:footnote>
  <w:footnote w:id="164">
    <w:p>
      <w:pPr>
        <w:pStyle w:val="FootnoteText"/>
        <w:spacing w:after="0"/>
        <w:ind w:left="284" w:hanging="284"/>
      </w:pPr>
      <w:r>
        <w:rPr>
          <w:rStyle w:val="FootnoteReference"/>
        </w:rPr>
        <w:footnoteRef/>
      </w:r>
      <w:r>
        <w:t xml:space="preserve"> </w:t>
      </w:r>
      <w:r>
        <w:tab/>
        <w:t xml:space="preserve">Il-Kunsill tal-Ministri (2020), Gwida għall-valutazzjoni tal-impatt </w:t>
      </w:r>
      <w:r>
        <w:rPr>
          <w:i/>
          <w:iCs/>
        </w:rPr>
        <w:t>ex-post</w:t>
      </w:r>
      <w:r>
        <w:t>.</w:t>
      </w:r>
    </w:p>
  </w:footnote>
  <w:footnote w:id="165">
    <w:p>
      <w:pPr>
        <w:pStyle w:val="FootnoteText"/>
        <w:spacing w:after="0"/>
        <w:ind w:left="284" w:hanging="284"/>
      </w:pPr>
      <w:r>
        <w:rPr>
          <w:rStyle w:val="FootnoteReference"/>
        </w:rPr>
        <w:footnoteRef/>
      </w:r>
      <w:r>
        <w:t xml:space="preserve"> </w:t>
      </w:r>
      <w:r>
        <w:tab/>
        <w:t>F’93 % tal-abbozzi ta’ leġiżlazzjoni - Ara l-Istudju tal-attività tat-tfassil tal-liġijiet tal-Assemblea Nazzjonali (April 2017 – Marzu 2021), p. 56-57.</w:t>
      </w:r>
    </w:p>
  </w:footnote>
  <w:footnote w:id="166">
    <w:p>
      <w:pPr>
        <w:pStyle w:val="FootnoteText"/>
        <w:spacing w:after="0"/>
        <w:ind w:left="284" w:hanging="284"/>
      </w:pPr>
      <w:r>
        <w:rPr>
          <w:rStyle w:val="FootnoteReference"/>
        </w:rPr>
        <w:footnoteRef/>
      </w:r>
      <w:r>
        <w:t xml:space="preserve"> </w:t>
      </w:r>
      <w:r>
        <w:tab/>
        <w:t>Ara r-referenza preċedenti.</w:t>
      </w:r>
    </w:p>
  </w:footnote>
  <w:footnote w:id="167">
    <w:p>
      <w:pPr>
        <w:pStyle w:val="FootnoteText"/>
        <w:spacing w:after="0"/>
        <w:ind w:left="284" w:hanging="284"/>
      </w:pPr>
      <w:r>
        <w:rPr>
          <w:rStyle w:val="FootnoteReference"/>
        </w:rPr>
        <w:footnoteRef/>
      </w:r>
      <w:r>
        <w:t xml:space="preserve"> </w:t>
      </w:r>
      <w:r>
        <w:tab/>
        <w:t>F’9 % tal-abbozzi tal-leġiżlazzjoni – Ara l-istudju tal-attività tat-tfassil tal-liġijiet tal-Assemblea Nazzjonali (April 2017 – Marzu 2021), p. 59.</w:t>
      </w:r>
    </w:p>
  </w:footnote>
  <w:footnote w:id="168">
    <w:p>
      <w:pPr>
        <w:pStyle w:val="FootnoteText"/>
        <w:spacing w:after="0"/>
        <w:ind w:left="284" w:hanging="284"/>
      </w:pPr>
      <w:r>
        <w:rPr>
          <w:rStyle w:val="FootnoteReference"/>
        </w:rPr>
        <w:footnoteRef/>
      </w:r>
      <w:r>
        <w:t xml:space="preserve"> </w:t>
      </w:r>
      <w:r>
        <w:tab/>
        <w:t>F’37 % tal-abbozzi ta’ liġijiet proposti, id-dispożizzjonijiet finali u tranżizzjonali emendaw leġiżlazzjoni oħra, li huma 2 % aktar apparagun tal-Assemblea Nazzjonali preċedenti. L-istudju tal-attività tat-tfassil tal-liġijiet tal-Assemblea Nazzjonali (April 2017 – Marzu 2021), p. 46. (Eż. l-introduzzjoni ta’ emendi fil-Kodiċi Kriminali permezz tal-Kodiċi tal-Kummerċ Marittimu jagħmlu t-trasport mhux regolat ta’ persuni bħala reat kriminali, minkejja li diġà huwa punibbli skont il-leġiżlazzjoni amministrattiva).</w:t>
      </w:r>
    </w:p>
  </w:footnote>
  <w:footnote w:id="169">
    <w:p>
      <w:pPr>
        <w:pStyle w:val="FootnoteText"/>
        <w:spacing w:after="0"/>
        <w:ind w:left="284" w:hanging="284"/>
      </w:pPr>
      <w:r>
        <w:rPr>
          <w:rStyle w:val="FootnoteReference"/>
        </w:rPr>
        <w:footnoteRef/>
      </w:r>
      <w:r>
        <w:t xml:space="preserve"> </w:t>
      </w:r>
      <w:r>
        <w:tab/>
        <w:t>Ir-Rapport tal-2020 dwar l-Istat tad-Dritt, il-Kapitolu tal-pajjiż dwar is-sitwazzjoni tal-istat tad-dritt fil-Bulgarija, p.19.</w:t>
      </w:r>
    </w:p>
  </w:footnote>
  <w:footnote w:id="170">
    <w:p>
      <w:pPr>
        <w:pStyle w:val="FootnoteText"/>
        <w:spacing w:after="0"/>
        <w:ind w:left="284" w:hanging="284"/>
      </w:pPr>
      <w:r>
        <w:rPr>
          <w:rStyle w:val="FootnoteReference"/>
        </w:rPr>
        <w:footnoteRef/>
      </w:r>
      <w:r>
        <w:t xml:space="preserve"> </w:t>
      </w:r>
      <w:r>
        <w:tab/>
        <w:t>Informazzjoni li waslet fil-kuntest taż-żjara fil-pajjiż fil-Bulgarija. Pereżempju, ara l-liġi li tistabbilixxi l-mekkaniżmu għall-obbligu ta’ rendikont u r-responsabbiltà kriminali tal-Prosekutur Ġenerali u d-deputati tiegħu jew tagħha, fejn, l-emendi bejn iż-żewġ stadji ta’ qari ġew introdotti sal-iskadenza u approvati ftit wara mingħajr dibattitu fil-fond. Il-proċess jista’ jiġi esplorat fuq https://www.parliament.bg/bg/bills/ID/163448</w:t>
      </w:r>
    </w:p>
  </w:footnote>
  <w:footnote w:id="171">
    <w:p>
      <w:pPr>
        <w:pStyle w:val="FootnoteText"/>
        <w:spacing w:after="0"/>
        <w:ind w:left="284" w:hanging="284"/>
      </w:pPr>
      <w:r>
        <w:rPr>
          <w:rStyle w:val="FootnoteReference"/>
        </w:rPr>
        <w:footnoteRef/>
      </w:r>
      <w:r>
        <w:t xml:space="preserve"> </w:t>
      </w:r>
      <w:r>
        <w:tab/>
        <w:t>L-Assemblea Nazzjonali tar-Repubblika tal-Bulgarija (2020),</w:t>
      </w:r>
      <w:r>
        <w:tab/>
        <w:t>id-Deċiżjoni li jiġi ddikjarat l-istat ta’ emerġenza, it-13 ta’ Marzu 2020, u l-Assemblea Nazzjonali tar-Repubblika tal-Bulgarija (2020), id-Deċiżjoni li jiġi estiż l-istat ta’ emerġenza, it-3 ta’ April 2020. Din id-deċiżjoni tat setgħat estensivi lill-Gvern biex jieħu l-miżuri kollha meħtieġa biex jindirizza l-emerġenza.</w:t>
      </w:r>
    </w:p>
  </w:footnote>
  <w:footnote w:id="172">
    <w:p>
      <w:pPr>
        <w:pStyle w:val="FootnoteText"/>
        <w:spacing w:after="0"/>
        <w:ind w:left="284" w:hanging="284"/>
      </w:pPr>
      <w:r>
        <w:rPr>
          <w:rStyle w:val="FootnoteReference"/>
        </w:rPr>
        <w:footnoteRef/>
      </w:r>
      <w:r>
        <w:t xml:space="preserve"> </w:t>
      </w:r>
      <w:r>
        <w:tab/>
        <w:t>Il-Liġi li temenda u tissupplimenta l-Att dwar is-Saħħa.</w:t>
      </w:r>
    </w:p>
  </w:footnote>
  <w:footnote w:id="173">
    <w:p>
      <w:pPr>
        <w:pStyle w:val="FootnoteText"/>
        <w:spacing w:after="0"/>
        <w:ind w:left="284" w:hanging="284"/>
      </w:pPr>
      <w:r>
        <w:rPr>
          <w:rStyle w:val="FootnoteReference"/>
        </w:rPr>
        <w:footnoteRef/>
      </w:r>
      <w:r>
        <w:t xml:space="preserve"> </w:t>
      </w:r>
      <w:r>
        <w:tab/>
        <w:t>L-Artikolu 63 tal-Att dwar is-Saħħa. Skont din is-sistema l-ġdida, il-Kunsill tal-Ministri jista’ jiddikjara sitwazzjoni ta’ emerġenza ta’ epidemija għal ċertu perjodu ta’ żmien fuq suġġeriment tal-Ministru għas-Saħħa. Dan jippermetti li wħud mill-miżuri meħuda taħt l-istat ta’ emerġenza jkomplu japplikaw u jiġu introdotti oħrajn ġodda, minkejja tmiem l-istat ta’emerġenza.</w:t>
      </w:r>
    </w:p>
  </w:footnote>
  <w:footnote w:id="174">
    <w:p>
      <w:pPr>
        <w:pStyle w:val="FootnoteText"/>
        <w:spacing w:after="0"/>
        <w:ind w:left="284" w:hanging="284"/>
      </w:pPr>
      <w:r>
        <w:rPr>
          <w:rStyle w:val="FootnoteReference"/>
        </w:rPr>
        <w:footnoteRef/>
      </w:r>
      <w:r>
        <w:t xml:space="preserve"> </w:t>
      </w:r>
      <w:r>
        <w:tab/>
        <w:t xml:space="preserve">Wara talba mingħand il-President tar-Repubblika; id-Deċiżjoni tal-Qorti Kostituzzjonali, il-kawża Nru 7 tal-2020. </w:t>
      </w:r>
    </w:p>
  </w:footnote>
  <w:footnote w:id="175">
    <w:p>
      <w:pPr>
        <w:pStyle w:val="FootnoteText"/>
        <w:spacing w:after="0"/>
        <w:ind w:left="284" w:hanging="284"/>
      </w:pPr>
      <w:r>
        <w:rPr>
          <w:rStyle w:val="FootnoteReference"/>
        </w:rPr>
        <w:footnoteRef/>
      </w:r>
      <w:r>
        <w:t xml:space="preserve"> </w:t>
      </w:r>
      <w:r>
        <w:tab/>
        <w:t xml:space="preserve">Id-Deċiżjoni tal-Qorti Kostituzzjonali Nru 10 tal-2020 tal-kawża Nru 7 tal-2020, it-23 ta’ Lulju 2020. </w:t>
      </w:r>
    </w:p>
  </w:footnote>
  <w:footnote w:id="176">
    <w:p>
      <w:pPr>
        <w:pStyle w:val="FootnoteText"/>
        <w:spacing w:after="0"/>
        <w:ind w:left="284" w:hanging="284"/>
      </w:pPr>
      <w:r>
        <w:rPr>
          <w:rStyle w:val="FootnoteReference"/>
        </w:rPr>
        <w:footnoteRef/>
      </w:r>
      <w:r>
        <w:t xml:space="preserve"> </w:t>
      </w:r>
      <w:r>
        <w:tab/>
        <w:t>Kontribut tal-Bulgarija għar-Rapport tal-2021 dwar l-Istat tad-Dritt, p. 42-43.</w:t>
      </w:r>
    </w:p>
  </w:footnote>
  <w:footnote w:id="177">
    <w:p>
      <w:pPr>
        <w:pStyle w:val="FootnoteText"/>
        <w:spacing w:after="0"/>
        <w:ind w:left="284" w:hanging="284"/>
      </w:pPr>
      <w:r>
        <w:rPr>
          <w:rStyle w:val="FootnoteReference"/>
        </w:rPr>
        <w:footnoteRef/>
      </w:r>
      <w:r>
        <w:t xml:space="preserve"> </w:t>
      </w:r>
      <w:r>
        <w:tab/>
        <w:t>Il-kawża tal-Qorti Kostituzzjonali tal-2020, Nru 13.</w:t>
      </w:r>
    </w:p>
  </w:footnote>
  <w:footnote w:id="178">
    <w:p>
      <w:pPr>
        <w:pStyle w:val="FootnoteText"/>
        <w:spacing w:after="0"/>
        <w:ind w:left="284" w:hanging="284"/>
      </w:pPr>
      <w:r>
        <w:rPr>
          <w:rStyle w:val="FootnoteReference"/>
        </w:rPr>
        <w:footnoteRef/>
      </w:r>
      <w:r>
        <w:t xml:space="preserve"> </w:t>
      </w:r>
      <w:r>
        <w:tab/>
        <w:t>Id-Deċiżjoni tal-Qorti Kostituzzjonali Nru 2 tal-2021 dwar il-Kawża Nru 13 tal-2020.</w:t>
      </w:r>
    </w:p>
  </w:footnote>
  <w:footnote w:id="179">
    <w:p>
      <w:pPr>
        <w:pStyle w:val="FootnoteText"/>
        <w:spacing w:after="0"/>
        <w:ind w:left="284" w:hanging="284"/>
      </w:pPr>
      <w:r>
        <w:rPr>
          <w:rStyle w:val="FootnoteReference"/>
        </w:rPr>
        <w:footnoteRef/>
      </w:r>
      <w:r>
        <w:t xml:space="preserve"> </w:t>
      </w:r>
      <w:r>
        <w:tab/>
        <w:t xml:space="preserve">Għal aktar informazzjoni ara l-Pjan ta’ Azzjoni b’miżuri li jindirizzaw it-tħassib imqajjem mir-Rapport tal-2020 dwar l-Istat tad-Dritt - </w:t>
      </w:r>
      <w:hyperlink r:id="rId7" w:history="1">
        <w:r>
          <w:rPr>
            <w:rStyle w:val="Hyperlink"/>
          </w:rPr>
          <w:t>https://www.strategy.bg/StrategicDocuments/View.aspx?lang=bg-BG&amp;Id=1314</w:t>
        </w:r>
      </w:hyperlink>
    </w:p>
  </w:footnote>
  <w:footnote w:id="180">
    <w:p>
      <w:pPr>
        <w:pStyle w:val="FootnoteText"/>
        <w:spacing w:after="0"/>
        <w:ind w:left="284" w:hanging="284"/>
      </w:pPr>
      <w:r>
        <w:rPr>
          <w:rStyle w:val="FootnoteReference"/>
        </w:rPr>
        <w:footnoteRef/>
      </w:r>
      <w:r>
        <w:t xml:space="preserve"> </w:t>
      </w:r>
      <w:r>
        <w:tab/>
        <w:t xml:space="preserve">L-abbozz ta’ liġi </w:t>
      </w:r>
      <w:r>
        <w:rPr>
          <w:color w:val="000000"/>
          <w:shd w:val="clear" w:color="auto" w:fill="FFFFFF"/>
        </w:rPr>
        <w:t>054-01-60</w:t>
      </w:r>
      <w:r>
        <w:t xml:space="preserve"> - l-abbozz ta’ liġi li jemenda u jissupplimenta l-liġi dwar l-entitajiet legali mingħajr skop ta’ qligħ.</w:t>
      </w:r>
    </w:p>
  </w:footnote>
  <w:footnote w:id="181">
    <w:p>
      <w:pPr>
        <w:pStyle w:val="FootnoteText"/>
        <w:spacing w:after="0"/>
        <w:ind w:left="284" w:hanging="284"/>
      </w:pPr>
      <w:r>
        <w:rPr>
          <w:rStyle w:val="FootnoteReference"/>
        </w:rPr>
        <w:footnoteRef/>
      </w:r>
      <w:r>
        <w:t xml:space="preserve"> </w:t>
      </w:r>
      <w:r>
        <w:tab/>
        <w:t xml:space="preserve">Il-partijiet ikkonċernati esprimew it-tħassib tagħhom fl-opinjonijiet tagħhom ippubblikati fuq is-sit web tal-Parlament bħala parti mill-proċess għall-promulgazzjoni tal-liġi, u dan it-tħassib jinkludi limitazzjonijiet tal-libertà ta’ assoċjazzjoni u l-moviment liberu tal-kapital, kif ukoll il-pubbliċità tar-reġistru li jista’ jirriżulta wkoll minn atti ta’ implimentazzjoni (ara l-kontribut taċ-Ċentru Bulgaru għal-Liġi dwar in-Nonprofitt, il-Forum Bulgaru tad-Donazzjonijiet, il-Kumitat ta’ Helsinki tal-Bulgarija), - </w:t>
      </w:r>
      <w:hyperlink r:id="rId8" w:history="1">
        <w:r>
          <w:rPr>
            <w:rStyle w:val="Hyperlink"/>
          </w:rPr>
          <w:t>https://www.parliament.bg/bg/bills/ID/157496</w:t>
        </w:r>
      </w:hyperlink>
    </w:p>
  </w:footnote>
  <w:footnote w:id="182">
    <w:p>
      <w:pPr>
        <w:pStyle w:val="FootnoteText"/>
        <w:spacing w:after="0"/>
        <w:ind w:left="284" w:hanging="284"/>
      </w:pPr>
      <w:r>
        <w:rPr>
          <w:rStyle w:val="FootnoteReference"/>
        </w:rPr>
        <w:footnoteRef/>
      </w:r>
      <w:r>
        <w:t xml:space="preserve"> </w:t>
      </w:r>
      <w:r>
        <w:tab/>
        <w:t xml:space="preserve">Fuq l-istess linja – ara l-Qorti tal-Ġustizzja tal-Unjoni Ewropea, is-sentenza tat-18 ta’ Ġunju 2020, </w:t>
      </w:r>
      <w:r>
        <w:rPr>
          <w:i/>
          <w:iCs/>
        </w:rPr>
        <w:t>il-Kummissjoni vs l-Ungerija</w:t>
      </w:r>
      <w:r>
        <w:t xml:space="preserve">, C-78/18. </w:t>
      </w:r>
    </w:p>
  </w:footnote>
  <w:footnote w:id="183">
    <w:p>
      <w:pPr>
        <w:pStyle w:val="FootnoteText"/>
        <w:spacing w:after="0"/>
        <w:ind w:left="284" w:hanging="284"/>
      </w:pPr>
      <w:r>
        <w:rPr>
          <w:rStyle w:val="FootnoteReference"/>
        </w:rPr>
        <w:footnoteRef/>
      </w:r>
      <w:r>
        <w:t xml:space="preserve"> </w:t>
      </w:r>
      <w:r>
        <w:tab/>
        <w:t>Ladarba l-mandat ta’ Assemblea Nazzjonali jiskadi, l-abbozzi tal-leġiżlazzjonijiet pendenti jiskadu. Dawn jistgħu jerġgħu jiddaħħlu mill-Assemblea Nazzjonali li jmiss, madankollu, il-proċess leġiżlattiv għandu jibda mill-bidu nett.</w:t>
      </w:r>
    </w:p>
  </w:footnote>
  <w:footnote w:id="184">
    <w:p>
      <w:pPr>
        <w:pStyle w:val="FootnoteText"/>
        <w:spacing w:after="0"/>
        <w:ind w:left="284" w:hanging="284"/>
      </w:pPr>
      <w:r>
        <w:rPr>
          <w:rStyle w:val="FootnoteReference"/>
        </w:rPr>
        <w:footnoteRef/>
      </w:r>
      <w:r>
        <w:t xml:space="preserve"> </w:t>
      </w:r>
      <w:r>
        <w:tab/>
        <w:t>Ara l-klassifikazzjoni mogħtija minn CIVICUS, il-Bulgarija. Il-klassifikazzjoni hija fuq skala ta’ ħames kategoriji, li huma: miftuħ, ristrett, imxekkel, repress u magħluq.</w:t>
      </w:r>
    </w:p>
  </w:footnote>
  <w:footnote w:id="185">
    <w:p>
      <w:pPr>
        <w:pStyle w:val="FootnoteText"/>
        <w:spacing w:after="0"/>
        <w:ind w:left="284" w:hanging="284"/>
      </w:pPr>
      <w:r>
        <w:rPr>
          <w:rStyle w:val="FootnoteReference"/>
        </w:rPr>
        <w:footnoteRef/>
      </w:r>
      <w:r>
        <w:t xml:space="preserve"> </w:t>
      </w:r>
      <w:r>
        <w:tab/>
        <w:t>Informazzjoni li waslet fil-kuntest taż-żjara fil-pajjiż fil-Bulgarija.</w:t>
      </w:r>
    </w:p>
  </w:footnote>
  <w:footnote w:id="186">
    <w:p>
      <w:pPr>
        <w:pStyle w:val="FootnoteText"/>
        <w:spacing w:after="0"/>
        <w:ind w:left="284" w:hanging="284"/>
      </w:pPr>
      <w:r>
        <w:rPr>
          <w:rStyle w:val="FootnoteReference"/>
        </w:rPr>
        <w:footnoteRef/>
      </w:r>
      <w:r>
        <w:t xml:space="preserve"> </w:t>
      </w:r>
      <w:r>
        <w:tab/>
        <w:t>Kontribut mill-Uffiċċju Reġjonali għall-Ewropa tal-OHCHR tan-NU għar-Rapport tal-2021 dwar l-Istat tad-Dritt, pp.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i jakkumpanja d-dokument"/>
    <w:docVar w:name="LW_CORRIGENDUM" w:val="&lt;UNUSED&gt;"/>
    <w:docVar w:name="LW_COVERPAGE_EXISTS" w:val="True"/>
    <w:docVar w:name="LW_COVERPAGE_GUID" w:val="6F278567-0552-41A6-8BE6-65911E930E17"/>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ssell, "/>
    <w:docVar w:name="LW_EMISSION_SUFFIX" w:val=" "/>
    <w:docVar w:name="LW_ID_DOCTYPE_NONLW" w:val="CP-025"/>
    <w:docVar w:name="LW_LANGUE" w:val="MT"/>
    <w:docVar w:name="LW_LEVEL_OF_SENSITIVITY" w:val="Standard treatment"/>
    <w:docVar w:name="LW_NOM.INST" w:val="IL-KUMMISSJONI EWROPEA"/>
    <w:docVar w:name="LW_NOM.INST_JOINTDOC" w:val="&lt;EMPTY&gt;"/>
    <w:docVar w:name="LW_OBJETACTEPRINCIPAL.CP" w:val="Rapport tal-2021 dwar l-Istat tad-Dritt_x000d__x000d__x000d__x000b_Is-sitwazzjoni tal-istat tad-dritt fl-Unjoni Ewropea"/>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tal-2021 dwar l-Istat tad-Dritt_x000d__x000d__x000d__x000d__x000d__x000d__x000d__x000d__x000b__x000d_Il-Kapitolu tal-Pajji\u380? dwar is-sitwazzjoni tal-istat tad-dritt fil-Bulgarija"/>
    <w:docVar w:name="LW_TYPE.DOC.CP" w:val="DOKUMENT TA\u8217? \u294?IDMA TAL-PERSUNAL TAL-KUMMISSJONI"/>
    <w:docVar w:name="LW_TYPEACTEPRINCIPAL.CP" w:val="KOMUNIKAZZJONI TAL-KUMMISSJONI LILL-PARLAMENT EWROPEW, LILL-KUNSILL, LILL-KUMITAT EKONOMIKU U SO\u266?JALI EWROPEW U LILL-KUMITAT TAR-RE\u288?JUN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mt-MT"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mt-MT"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mt-MT"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mt-MT"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www.constcourt.bg/bg/Cases/Details/585" TargetMode="External"/><Relationship Id="rId39" Type="http://schemas.openxmlformats.org/officeDocument/2006/relationships/hyperlink" Target="https://www.parliament.bg/en/rulesoftheorganisations"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data.consilium.europa.eu/doc/document/ST-14856-2019-INIT/en/pdf" TargetMode="External"/><Relationship Id="rId42" Type="http://schemas.openxmlformats.org/officeDocument/2006/relationships/hyperlink" Target="https://news.lex.bg/564"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monitor.civicus.org/country/bulgaria/" TargetMode="External"/><Relationship Id="rId33" Type="http://schemas.openxmlformats.org/officeDocument/2006/relationships/hyperlink" Target="https://www.europarl.europa.eu/news/en/press-room/20201016IPR89564/member-states-must-stop-selling-eu-passports-immediately-meps-demand" TargetMode="External"/><Relationship Id="rId38" Type="http://schemas.openxmlformats.org/officeDocument/2006/relationships/hyperlink" Target="https://www.minfin.bg/upload/46720/National+Development+Programme+BULGARIA+2030.pdf" TargetMode="External"/><Relationship Id="rId46" Type="http://schemas.openxmlformats.org/officeDocument/2006/relationships/hyperlink" Target="https://home.treasury.gov/policy-issues/financial-sanctions/recent-actions/2021060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search.coe.int/cm/Pages/result_details.aspx?ObjectID=0900001680a1abfa" TargetMode="External"/><Relationship Id="rId41" Type="http://schemas.openxmlformats.org/officeDocument/2006/relationships/hyperlink" Target="https://www.parliament.bg/bg/desision/ID/15739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rm.coe.int/european-commission-for-the-efficiency-of-justice-cepej-revised-guidel/168078c492" TargetMode="External"/><Relationship Id="rId32" Type="http://schemas.openxmlformats.org/officeDocument/2006/relationships/hyperlink" Target="https://ec.europa.eu/anti-fraud/media-corner/news/01-02-2021/olaf-recommends-recovery-nearly-eu6-million-after-alleged-abuse-power_en" TargetMode="External"/><Relationship Id="rId37" Type="http://schemas.openxmlformats.org/officeDocument/2006/relationships/hyperlink" Target="https://ime.bg/bg/articles/komandirovane-na-magistrati-ili-kadruvane-tihomylkom/" TargetMode="External"/><Relationship Id="rId40" Type="http://schemas.openxmlformats.org/officeDocument/2006/relationships/hyperlink" Target="https://www.parliament.bg/bg/desision/ID/157374" TargetMode="External"/><Relationship Id="rId45" Type="http://schemas.openxmlformats.org/officeDocument/2006/relationships/hyperlink" Target="https://www.vas.bg/bg/a/predlozheniyata-za-reforma-na-sdebnata-karta"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strategy.bg/PublicConsultations/View.aspx?lang=bg-BG&amp;Id=5828" TargetMode="External"/><Relationship Id="rId28" Type="http://schemas.openxmlformats.org/officeDocument/2006/relationships/hyperlink" Target="https://www.coe.int/en/web/media-freedom/bulgaria" TargetMode="External"/><Relationship Id="rId36" Type="http://schemas.openxmlformats.org/officeDocument/2006/relationships/hyperlink" Target="https://rm.coe.int/CoERMPublicCommonSearchServices/DisplayDCTMContent?documentId=09000016806c983f"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www.strategy.bg/Publications/View.aspx?lang=bg-BG&amp;categoryId=&amp;Id=320&amp;y=&amp;m=&amp;d" TargetMode="External"/><Relationship Id="rId44" Type="http://schemas.openxmlformats.org/officeDocument/2006/relationships/hyperlink" Target="https://rsf.org/en/bulgaria"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www.constcourt.bg/bg/Acts/GetHtmlContent/96c8d204-d2eb-4785-beac-7133ed3b6cd2" TargetMode="External"/><Relationship Id="rId30" Type="http://schemas.openxmlformats.org/officeDocument/2006/relationships/hyperlink" Target="https://ec.europa.eu/info/sites/info/files/20171212-st15587_en.pdf" TargetMode="External"/><Relationship Id="rId35" Type="http://schemas.openxmlformats.org/officeDocument/2006/relationships/hyperlink" Target="https://fra.europa.eu/sites/default/files/fra_uploads/bulgaria-report-covid-19-april-2020_en.pdf" TargetMode="External"/><Relationship Id="rId43" Type="http://schemas.openxmlformats.org/officeDocument/2006/relationships/hyperlink" Target="http://www.vks.bg/novini/nip.html"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10.0.41212.0</Version>
    <Date>2020-09-14T15:57:03</Date>
    <Language>EN</Language>
    <Note/>
  </Created>
  <Edited>
    <Version>10.0.42447.0</Version>
    <Date>2021-08-26T17:10:53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C600F49-2842-4085-85E5-9E414CF78C6D}">
  <ds:schemaRefs>
    <ds:schemaRef ds:uri="http://purl.org/dc/terms/"/>
    <ds:schemaRef ds:uri="71fe9c91-5602-4bdb-b72c-69451971f68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cf8ecc5-ce9f-4cc1-bb60-062c62b05209"/>
    <ds:schemaRef ds:uri="http://www.w3.org/XML/1998/namespace"/>
    <ds:schemaRef ds:uri="http://purl.org/dc/dcmitype/"/>
  </ds:schemaRefs>
</ds:datastoreItem>
</file>

<file path=customXml/itemProps4.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5.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8D5AF-DE81-4212-AA67-ACF191BCD993}">
  <ds:schemaRefs/>
</ds:datastoreItem>
</file>

<file path=customXml/itemProps7.xml><?xml version="1.0" encoding="utf-8"?>
<ds:datastoreItem xmlns:ds="http://schemas.openxmlformats.org/officeDocument/2006/customXml" ds:itemID="{07B4D6B3-BEE4-401F-B486-D2CEF8A3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6538</Words>
  <Characters>53223</Characters>
  <Application>Microsoft Office Word</Application>
  <DocSecurity>0</DocSecurity>
  <PresentationFormat>Microsoft Word 14.0</PresentationFormat>
  <Lines>749</Lines>
  <Paragraphs>197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37</cp:revision>
  <cp:lastPrinted>2021-07-19T20:16:00Z</cp:lastPrinted>
  <dcterms:created xsi:type="dcterms:W3CDTF">2021-08-26T13:32:00Z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_LW_INVALIDATED__LW_INVALIDATED__LW_INVALIDATED__LW_INVALIDATED_ContentTypeId">
    <vt:lpwstr>0x0101005C2F05394DCE044693DCAA726179B598</vt:lpwstr>
  </property>
</Properties>
</file>