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C985383-E747-4520-A140-8D37075D0CD8" style="width:455pt;height:559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FooterCoverPage"/>
        <w:rPr>
          <w:noProof/>
        </w:rPr>
      </w:pPr>
      <w:bookmarkStart w:id="1" w:name="_GoBack"/>
      <w:bookmarkEnd w:id="1"/>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lang w:eastAsia="en-GB"/>
        </w:rPr>
      </w:pPr>
      <w:r>
        <w:rPr>
          <w:rFonts w:eastAsia="Times New Roman" w:cs="Times New Roman"/>
          <w:b/>
          <w:smallCaps/>
          <w:noProof/>
          <w:u w:val="single"/>
          <w:lang w:eastAsia="en-GB"/>
        </w:rPr>
        <w:t>Astratt</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Issoktaw sforzi importanti biex tittejjeb l-indipendenza, l-integrità, il-kwalità u l-effiċjenza tas-sistema tal-ġustizzja Slovakka, li diġà kienet ittieħdet nota tagħhom fir-Rapport tal-2020 dwar l-Istat tad-Dritt. F’Diċembru 2020, il-Parlament adotta riforma estensiva tal-Kostituzzjoni u l-leġiżlazzjoni ta’ implimentazzjoni rigward is-sistema tal-ġustizzja, b’mod partikolari l-Qorti Kostituzzjonali u l-Kunsill Ġudizzjarju. L-awtoritajiet żiedu wkoll l-isforzi tagħhom biex jindirizzaw il-korruzzjoni fil-ġudikatura. Qed titħejja riforma tal-mappa ġudizzjarja, bl-involviment tal-Kunsill tal-Ewropa, li ġġenerat għadd ta’ kummenti mill-partijiet ikkonċernati. Ġiet stabbilita Qorti Amministrattiva Suprema. Ġew eletti Prosekutur Ġenerali ġdid u Prosekutur Speċjali permezz ta’ proċedura trasparenti ġdida. Dawn ir-riformi jirriflettu l-isforzi biex tittejjeb is-sistema tal-ġustizzja u huwa importanti li l-implimentazzjoni tagħhom tqis l-istandards Ewropej rilevanti għas-salvagwardja tal-indipendenza ġudizzjarja. Dan huwa importanti wkoll meta wieħed iqis il-livell perċepit tal-indipendenza tal-ġudikatura, għad li tjieb fost il-kumpaniji, għadu ferm baxx fost il-pubbliku ġenerali.</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L-isforzi tas-Slovakkja biex trażżan il-korruzzjoni żdiedu b’mod sinifikanti u taw il-frott tagħhom b’għadd ta’ każijiet ta’ korruzzjoni fil-livelli għolja li bdew jiġu investigati u mressqa l-qorti. Ġew magħżula u maħtura uffiċjali ewlenin, inkluż il-Kap tal-Uffiċċju l-ġdid tal-Protezzjoni tal-Informaturi, li se jibda jopera mill-1 ta’ Settembru 2021. Il-kapaċità li jiġu individwati u investigati reati ta’ korruzzjoni għadha tista’ tissaħħaħ permezz ta’ investimenti fl-ispeċjalizzazzjoni, għarfien espert analitiku apposta u taħriġ dwar l-integrità għall-Aġenzija Nazzjonali kontra l-Kriminalità. Qed isir progress bil-mod fil-prevenzjoni kontra l-korruzzjoni. Sa issa diversi tentattivi biex il-lobbjar jiġi rregolat ma rnexxewx. Madankollu, huma ppjanati jew jinsabu fl-istadju inizjali abbozzi ta’ leġiżlazzjoni dwar il-lobbjar, dikjarazzjonijiet tal-assi “revolving doors”, kunflitti tal-interess tal-membri tal-Parlament u l-akkwist pubbliku.</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Il-Kostituzzjoni u l-leġiżlazzjoni sekondarja tas-Slovakkja jipprovdu qafas legali għall-protezzjoni tal-libertà tal-espressjoni, għad-dritt tal-aċċess għall-informazzjoni pubblika, għall-pluraliżmu tal-media u għad-drittijiet tal-istampa. Abbozz ta’ liġi li qed jiġi diskuss u skedat għall-adozzjoni f’Settembru 2021 huwa mistenni li jdaħħal qafas biex tiġi aċċertata t-trasparenza tas-sjieda tal-media. Il-pjanijiet tal-gvern li jipproponi leġiżlazzjoni maħsuba biex jiġi ggarantit ambjent aktar favorevoli għall-ġurnalisti ġew posposti. Id-distribuzzjoni tar-reklamar tal-istat għadha mhijiex irregolata. Ingħataw għadd ta’ kundanni fir-rigward tal-individwi involuti fil-qtil tal-ġurnalist investigattiv Ján Kuciak u tal-għarusa tiegħu fl-2018. Il-liberazzjoni tal-persuni li allegatament orkestraw il-qtil ġiet annullata mill-Qorti Suprema, li għaddiet il-kawża lura lill-Qorti Kriminali Speċjalizzata. Ġiet ikkonfermata kundanna waħda. Ma ddaħħlet l-ebda skema ta’ sostenn għall-media tal-aħbarijiet biex tagħmel tajjeb għall-impatt tal-pandemija tal-COVID-19.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Rigward is-sistema ta’ kontrokontrolli, għad hemm il-ħtieġa li jittejjeb il-proċess leġiżlattiv billi jissaħħaħ l-involviment tal-partijiet ikkonċernati u tas-soċjetà ċivili, kif diġà kien ġie nnutat fir-Rapport tal-2020 dwar l-Istat tad-Dritt. Ir-riforma Kostituzzjonali ta’ Diċembru 2020 teskludi b’mod espliċitu l-kompetenza tal-Qorti Kostituzzjonali li teżamina l-liġijiet Kostituzzjonali, li skattat l-istħarriġ ta’ din id-dispożizzjoni mill-Qorti Kostituzzjonali. L-istat ta’ emerġenza b’rabta mal-pandemija tal-COVID-19 baqa’ fis-seħħ għall-biċċa l-kbira tal-</w:t>
      </w:r>
      <w:r>
        <w:rPr>
          <w:noProof/>
        </w:rPr>
        <w:lastRenderedPageBreak/>
        <w:t>2020 u ntemm f’Mejju 2021, wara bidla fil-leġiżlazzjoni f’Diċembru 2020 biex jiġi permess l-estensjoni tiegħu. Id-Difensur Pubbliku tad-Drittijiet u ċ-Ċentru Nazzjonali għad-Drittijiet tal-Bniedem kellhom rwol attiv biex jiddefendu d-drittijiet fundamentali matul il-pandemija. Hemm tħassib li qed jikber dwar il-finanzjament ta’ ċerti NGOs, b’mod partikolari limitazzjonijiet għall-NGOs li jaħdmu fil-qasam tal-ugwaljanza bejn il-ġeneri.</w:t>
      </w:r>
    </w:p>
    <w:p>
      <w:pPr>
        <w:pStyle w:val="Heading1"/>
        <w:rPr>
          <w:noProof/>
        </w:rPr>
      </w:pPr>
      <w:r>
        <w:rPr>
          <w:noProof/>
        </w:rPr>
        <w:t xml:space="preserve">Is-Sistema Ġudizzjarja </w:t>
      </w:r>
    </w:p>
    <w:p>
      <w:pPr>
        <w:rPr>
          <w:rFonts w:eastAsia="Times New Roman" w:cs="Times New Roman"/>
          <w:noProof/>
          <w:szCs w:val="20"/>
        </w:rPr>
      </w:pPr>
      <w:r>
        <w:rPr>
          <w:noProof/>
        </w:rPr>
        <w:t>Is-sistema tal-qorti tar-Repubblika Slovakka tikkonsisti f’54 Qorti Distrettwali, tmien Qrati Reġjonali, il-Qorti Kriminali Speċjalizzata, il-Qorti Suprema, il-Qorti Amministrattiva Suprema u l-Qorti Kostituzzjonali Slovakka</w:t>
      </w:r>
      <w:r>
        <w:rPr>
          <w:rFonts w:eastAsia="Times New Roman" w:cs="Times New Roman"/>
          <w:noProof/>
          <w:vertAlign w:val="superscript"/>
          <w:lang w:eastAsia="fr-FR"/>
        </w:rPr>
        <w:footnoteReference w:id="2"/>
      </w:r>
      <w:r>
        <w:rPr>
          <w:noProof/>
        </w:rPr>
        <w:t>. Il-Qrati Reġjonali jiffunzjonaw bħala l-qrati tal-appell f’kawżi ċivili, kummerċjali u kriminali u fl-istess ħin jiffunzjonaw bħala l-qrati tal-prim’istanza f’materji amministrattivi. Il-Qorti Kriminali Speċjalizzata hija kompetenti biex tiġġudika materji kriminali serji kif enumerati fid-dispożizzjoni rilevanti tal-Kodiċi tal-Proċedura Kriminali</w:t>
      </w:r>
      <w:r>
        <w:rPr>
          <w:rFonts w:eastAsia="Times New Roman" w:cs="Times New Roman"/>
          <w:noProof/>
          <w:vertAlign w:val="superscript"/>
          <w:lang w:eastAsia="fr-FR"/>
        </w:rPr>
        <w:footnoteReference w:id="3"/>
      </w:r>
      <w:r>
        <w:rPr>
          <w:noProof/>
        </w:rPr>
        <w:t>. Il-Kunsill Ġudizzjarju għandu rwol ċentrali fl-awtoamministrazzjoni tal-ġudikatura u fil-ħatra, is-sospensjoni u t-tkeċċija tal-imħallfin, kif ukoll fiż-żamma tal-etika ġudizzjarja. Nofs il-membri tiegħu (disgħa minn 18) huma mħallfin eletti mill-pari tagħhom. Membri oħra tal-Kunsill Ġudizzjarju jinħatru mill-President Slovakk, mill-Parlament u mill-Gvern</w:t>
      </w:r>
      <w:r>
        <w:rPr>
          <w:rFonts w:eastAsia="Times New Roman" w:cs="Times New Roman"/>
          <w:noProof/>
          <w:vertAlign w:val="superscript"/>
          <w:lang w:eastAsia="fr-FR"/>
        </w:rPr>
        <w:footnoteReference w:id="4"/>
      </w:r>
      <w:r>
        <w:rPr>
          <w:noProof/>
        </w:rPr>
        <w:t>. Is-servizz tal-prosekuzzjoni pubblika tas-Slovakkja huwa awtorità indipendenti tal-Istat, immexxi mill-Prosekutur Ġenerali</w:t>
      </w:r>
      <w:r>
        <w:rPr>
          <w:rFonts w:eastAsia="Times New Roman" w:cs="Times New Roman"/>
          <w:noProof/>
          <w:vertAlign w:val="superscript"/>
          <w:lang w:eastAsia="fr-FR"/>
        </w:rPr>
        <w:footnoteReference w:id="5"/>
      </w:r>
      <w:r>
        <w:rPr>
          <w:noProof/>
        </w:rPr>
        <w:t>.</w:t>
      </w:r>
      <w:r>
        <w:rPr>
          <w:i/>
          <w:iCs/>
          <w:noProof/>
        </w:rPr>
        <w:t xml:space="preserve"> </w:t>
      </w:r>
      <w:r>
        <w:rPr>
          <w:noProof/>
        </w:rPr>
        <w:t>Is-Slovakkja tipparteċipa fl-Uffiċċju tal-Prosekutur Pubbliku Ewropew. Il-Kamra tal-Avukati Slovakka hija organizzazzjoni professjonali indipendenti awtoamministrattiva</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Indipendenza </w:t>
      </w:r>
    </w:p>
    <w:p>
      <w:pPr>
        <w:rPr>
          <w:rFonts w:eastAsia="Times New Roman" w:cs="Times New Roman"/>
          <w:noProof/>
          <w:szCs w:val="20"/>
        </w:rPr>
      </w:pPr>
      <w:r>
        <w:rPr>
          <w:b/>
          <w:bCs/>
          <w:noProof/>
        </w:rPr>
        <w:t xml:space="preserve">Il-livell perċepit tal-indipendenza tal-ġudikatura tjieb fost il-kumpaniji iżda għadu baxx, u baxx ħafna fost il-pubbliku ġenerali. </w:t>
      </w:r>
      <w:r>
        <w:rPr>
          <w:noProof/>
        </w:rPr>
        <w:t>Daqs 30 % tal-kumpaniji jipperċepixxu l-livell tal-indipendenza ġudizzjarja bħala “pjuttost tajba jew tajba ħafna”, li huwa titjib kunsiderevoli meta mqabbel mal-2020 (15 %)</w:t>
      </w:r>
      <w:r>
        <w:rPr>
          <w:rStyle w:val="FootnoteReference"/>
          <w:rFonts w:eastAsia="Times New Roman" w:cs="Times New Roman"/>
          <w:noProof/>
          <w:lang w:eastAsia="fr-FR"/>
        </w:rPr>
        <w:footnoteReference w:id="7"/>
      </w:r>
      <w:r>
        <w:rPr>
          <w:noProof/>
        </w:rPr>
        <w:t>. Min-naħa l-oħra, ma kien hemm l-ebda titjib simili fil-perċezzjonijiet tal-indipendenza tal-qrati u l-imħallfin fost il-pubbliku ġenerali, bi 28 % jipperċepixxu l-indipendenza ġudizzjarja bħala “pjuttost tajba jew tajba ħafna” u 65 % bħala “pjuttost ħażina jew ħażina ħafna”</w:t>
      </w:r>
      <w:r>
        <w:rPr>
          <w:rStyle w:val="FootnoteReference"/>
          <w:rFonts w:eastAsia="Times New Roman" w:cs="Times New Roman"/>
          <w:noProof/>
          <w:lang w:eastAsia="fr-FR"/>
        </w:rPr>
        <w:footnoteReference w:id="8"/>
      </w:r>
      <w:r>
        <w:rPr>
          <w:noProof/>
        </w:rPr>
        <w:t>, f’konformità max-xejra fit-tul, kif innutat diġà fir-Rapport tal-2020 dwar l-Istat tad-Dritt</w:t>
      </w:r>
      <w:r>
        <w:rPr>
          <w:rStyle w:val="FootnoteReference"/>
          <w:rFonts w:eastAsia="Times New Roman" w:cs="Times New Roman"/>
          <w:noProof/>
          <w:lang w:eastAsia="fr-FR"/>
        </w:rPr>
        <w:footnoteReference w:id="9"/>
      </w:r>
      <w:r>
        <w:rPr>
          <w:noProof/>
        </w:rPr>
        <w:t>. Ir-raġunijiet li spiss jingħataw għan-nuqqas perċepit ta’ indipendenza huma relatati, kważi fuq l-istess livell, mal-interferenza jew il-pressjoni mill-Gvern u l-politiċi u l-interferenza jew il-pressjoni minn interessi ekonomiċi jew interessi speċifiċi oħra</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L-awtoritajiet ħadu passi biex jindirizza allegazzjonijiet ta’ korruzzjoni u abbuż tal-uffiċċju fil-ġudikatura. </w:t>
      </w:r>
      <w:r>
        <w:rPr>
          <w:noProof/>
        </w:rPr>
        <w:t>B’segwitu għal operazzjonijiet bi profil għoli tal-pulizija msemmija fir-Rapport tal-2020 dwar l-Istat tad-Dritt</w:t>
      </w:r>
      <w:r>
        <w:rPr>
          <w:rStyle w:val="FootnoteReference"/>
          <w:noProof/>
        </w:rPr>
        <w:footnoteReference w:id="11"/>
      </w:r>
      <w:r>
        <w:rPr>
          <w:noProof/>
        </w:rPr>
        <w:t>, ingħata bidu għal aktar operazzjonijiet. Bħalissa, 20 imħallef</w:t>
      </w:r>
      <w:r>
        <w:rPr>
          <w:rStyle w:val="FootnoteReference"/>
          <w:rFonts w:cs="Times New Roman"/>
          <w:noProof/>
        </w:rPr>
        <w:footnoteReference w:id="12"/>
      </w:r>
      <w:r>
        <w:rPr>
          <w:noProof/>
        </w:rPr>
        <w:t xml:space="preserve"> u rappreżentanti oħra tal-ġustizzja u l-infurzar tal-liġi</w:t>
      </w:r>
      <w:r>
        <w:rPr>
          <w:rStyle w:val="FootnoteReference"/>
          <w:rFonts w:cs="Times New Roman"/>
          <w:noProof/>
        </w:rPr>
        <w:footnoteReference w:id="13"/>
      </w:r>
      <w:r>
        <w:rPr>
          <w:noProof/>
        </w:rPr>
        <w:t xml:space="preserve"> huma soġġetti għal proċedimenti kriminali marbuta ma’ allegazzjonijiet serji ta’ korruzzjoni u abbuż tal-uffiċċju, fi sforz akbar mill-awtoritajiet pubbliċi biex titnaqqas il-korruzzjoni fis-sistema tal-ġustizzja. Ġie kkundannat imħallef. Minħabba l-prosekuzzjoni kriminali, diversi mħallfin irriżenjaw mill-kariga tagħhom jew ġew sospiżi temporanjament mill-qadi ta’ dmirijiethom</w:t>
      </w:r>
      <w:r>
        <w:rPr>
          <w:rStyle w:val="FootnoteReference"/>
          <w:rFonts w:cs="Times New Roman"/>
          <w:noProof/>
        </w:rPr>
        <w:footnoteReference w:id="14"/>
      </w:r>
      <w:r>
        <w:rPr>
          <w:noProof/>
        </w:rPr>
        <w:t>. Il-ħtieġa li jibqa’ jiġi indirizzat tħassib speċifiku rigward l-integrità kumplessiva tas-sistema tal-ġustizzja tqajmet ukoll fil-kuntest tas-Semestru Ewropew, u dwar dan is-Slovakkja rċeviet rakkomandazzjoni speċifika għall-pajjiż</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Ġiet adottata riforma komprensiva tas-sistema ġudizzjarja, li tikkonsisti minn emendi tal-Kostituzzjoni u leġiżlazzjoni ta’ implimentazzjoni. </w:t>
      </w:r>
      <w:r>
        <w:rPr>
          <w:noProof/>
        </w:rPr>
        <w:t>Dan sar wara li l-Gvern ħabbar li se jmexxi ’l quddiem riforma bl-għan li tiżdied il-fiduċja tal-pubblika fl-istat tad-dritt</w:t>
      </w:r>
      <w:r>
        <w:rPr>
          <w:rStyle w:val="FootnoteReference"/>
          <w:rFonts w:eastAsia="Times New Roman" w:cs="Times New Roman"/>
          <w:noProof/>
          <w:lang w:eastAsia="fr-FR"/>
        </w:rPr>
        <w:footnoteReference w:id="16"/>
      </w:r>
      <w:r>
        <w:rPr>
          <w:noProof/>
        </w:rPr>
        <w:t>, kif spjegat fir-Rapport tal-2020 dwar l-Istat tad-Dritt</w:t>
      </w:r>
      <w:r>
        <w:rPr>
          <w:rStyle w:val="FootnoteReference"/>
          <w:rFonts w:eastAsia="Times New Roman" w:cs="Times New Roman"/>
          <w:noProof/>
          <w:lang w:eastAsia="fr-FR"/>
        </w:rPr>
        <w:footnoteReference w:id="17"/>
      </w:r>
      <w:r>
        <w:rPr>
          <w:noProof/>
        </w:rPr>
        <w:t>. F’Diċembru 2020, ġew adottati l-emenda tal-Kostituzzjoni u l-leġiżlazzjoni ta’ implimentazzjoni, li b’mod partikolari stabbilew Qorti Amministrattiva Suprema, daħħlu bidliet</w:t>
      </w:r>
      <w:r>
        <w:rPr>
          <w:rStyle w:val="FootnoteReference"/>
          <w:rFonts w:eastAsia="Times New Roman" w:cs="Times New Roman"/>
          <w:noProof/>
          <w:lang w:eastAsia="fr-FR"/>
        </w:rPr>
        <w:footnoteReference w:id="18"/>
      </w:r>
      <w:r>
        <w:rPr>
          <w:noProof/>
        </w:rPr>
        <w:t xml:space="preserve"> fl-għażla u l-ħatra tal-imħallfin tal-Qorti Kostituzzjonali u emendaw diversi dispożizzjonijiet rigward il-Kunsill Ġudizzjarju. Il-partijiet ikkonċernati nnutaw li r-riforma kienet rifless tal-isforzi biex tittejjeb is-sistema tal-ġustizzja u tissaħħaħ l-indipendenza tagħha</w:t>
      </w:r>
      <w:r>
        <w:rPr>
          <w:rStyle w:val="FootnoteReference"/>
          <w:rFonts w:eastAsia="Times New Roman" w:cs="Times New Roman"/>
          <w:noProof/>
          <w:lang w:eastAsia="fr-FR"/>
        </w:rPr>
        <w:footnoteReference w:id="19"/>
      </w:r>
      <w:r>
        <w:rPr>
          <w:noProof/>
        </w:rPr>
        <w:t xml:space="preserve">, għad li xi partijiet tar-riforma sabu oppożizzjoni (ara hawn taħt). </w:t>
      </w:r>
    </w:p>
    <w:p>
      <w:pPr>
        <w:rPr>
          <w:rFonts w:eastAsia="Times New Roman" w:cs="Times New Roman"/>
          <w:noProof/>
          <w:szCs w:val="20"/>
        </w:rPr>
      </w:pPr>
      <w:r>
        <w:rPr>
          <w:b/>
          <w:bCs/>
          <w:noProof/>
        </w:rPr>
        <w:t>Filwaqt li xi fatturi tar-riforma rigward il-Kunsill Ġudizzjarju ntlaqgħu b’sodisfazzjon, tqajjem xi tħassib rigward ir-reġim għat-tkeċċija tal-membri tiegħu.</w:t>
      </w:r>
      <w:r>
        <w:rPr>
          <w:noProof/>
        </w:rPr>
        <w:t xml:space="preserve"> Ir-riforma Kostituzzjonali daħħlet bidlet fil-metodi ta’ ħatra tal-membri tal-Kunsill Ġudizzjarju, estendiet is-setgħat tal-Kunsill u emendat id-dispożizzjoni rigward it-tkeċċija tal-membri tiegħu</w:t>
      </w:r>
      <w:r>
        <w:rPr>
          <w:rStyle w:val="FootnoteReference"/>
          <w:rFonts w:eastAsia="Times New Roman" w:cs="Times New Roman"/>
          <w:noProof/>
          <w:lang w:eastAsia="fr-FR"/>
        </w:rPr>
        <w:footnoteReference w:id="20"/>
      </w:r>
      <w:r>
        <w:rPr>
          <w:noProof/>
        </w:rPr>
        <w:t>. Ir-riforma daħħlet regola li skontha l-imħallfin-membri tal-Kunsill jiġu eletti f’diversi distretti elettorali</w:t>
      </w:r>
      <w:r>
        <w:rPr>
          <w:rStyle w:val="FootnoteReference"/>
          <w:rFonts w:eastAsia="Times New Roman" w:cs="Times New Roman"/>
          <w:noProof/>
          <w:lang w:eastAsia="fr-FR"/>
        </w:rPr>
        <w:footnoteReference w:id="21"/>
      </w:r>
      <w:r>
        <w:rPr>
          <w:noProof/>
        </w:rPr>
        <w:t>. Skont il-Gvern, l-għan tal-bidla huwa li tiżdied il-leġittimità tal-Kunsill billi tiġi żgurata rappreżentanza tal-imħallfin aktar diversifikata. L-objettiv huwa konsistenti mar-rakkomandazzjonijiet tal-Kunsill tal-Ewropa</w:t>
      </w:r>
      <w:r>
        <w:rPr>
          <w:rStyle w:val="FootnoteReference"/>
          <w:rFonts w:eastAsia="Times New Roman" w:cs="Times New Roman"/>
          <w:noProof/>
          <w:lang w:eastAsia="fr-FR"/>
        </w:rPr>
        <w:footnoteReference w:id="22"/>
      </w:r>
      <w:r>
        <w:rPr>
          <w:noProof/>
        </w:rPr>
        <w:t>. Ir-riforma testendi wkoll is-setgħat tal-Kunsill Ġudizzjarju</w:t>
      </w:r>
      <w:r>
        <w:rPr>
          <w:rStyle w:val="FootnoteReference"/>
          <w:rFonts w:eastAsia="Times New Roman" w:cs="Times New Roman"/>
          <w:noProof/>
          <w:lang w:eastAsia="fr-FR"/>
        </w:rPr>
        <w:footnoteReference w:id="23"/>
      </w:r>
      <w:r>
        <w:rPr>
          <w:noProof/>
        </w:rPr>
        <w:t>. Barra minn hekk, ir-riforma tipprevedi b’mod espliċitu li l-membru tal-Kunsill Ġudizzjarju, inkluż il-Presidenti u l-Viċi President tiegħu, jistgħu jitkeċċew fi kwalunkwe mument mill-awtorità li tkun ħatrithom</w:t>
      </w:r>
      <w:r>
        <w:rPr>
          <w:rStyle w:val="FootnoteReference"/>
          <w:rFonts w:eastAsia="Times New Roman" w:cs="Times New Roman"/>
          <w:noProof/>
          <w:lang w:eastAsia="fr-FR"/>
        </w:rPr>
        <w:footnoteReference w:id="24"/>
      </w:r>
      <w:r>
        <w:rPr>
          <w:noProof/>
        </w:rPr>
        <w:t>. Skont il-memorandum ta’ spjegazzjoni</w:t>
      </w:r>
      <w:r>
        <w:rPr>
          <w:rStyle w:val="FootnoteReference"/>
          <w:rFonts w:eastAsia="Times New Roman" w:cs="Times New Roman"/>
          <w:noProof/>
          <w:lang w:eastAsia="fr-FR"/>
        </w:rPr>
        <w:footnoteReference w:id="25"/>
      </w:r>
      <w:r>
        <w:rPr>
          <w:noProof/>
        </w:rPr>
        <w:t>, dan jimplika li tali proposta għat-tkeċċija ma għandhiex għalfejn tkun ibbażata fuq xi kriterji preskritti mill-liġi</w:t>
      </w:r>
      <w:r>
        <w:rPr>
          <w:rStyle w:val="FootnoteReference"/>
          <w:rFonts w:eastAsia="Times New Roman" w:cs="Times New Roman"/>
          <w:noProof/>
          <w:lang w:eastAsia="fr-FR"/>
        </w:rPr>
        <w:footnoteReference w:id="26"/>
      </w:r>
      <w:r>
        <w:rPr>
          <w:noProof/>
        </w:rPr>
        <w:t xml:space="preserve"> u minflok, tista’ tkun immotivata minn nuqqas ta’ fiduċja</w:t>
      </w:r>
      <w:r>
        <w:rPr>
          <w:rStyle w:val="FootnoteReference"/>
          <w:rFonts w:eastAsia="Times New Roman" w:cs="Times New Roman"/>
          <w:noProof/>
          <w:lang w:eastAsia="fr-FR"/>
        </w:rPr>
        <w:footnoteReference w:id="27"/>
      </w:r>
      <w:r>
        <w:rPr>
          <w:noProof/>
        </w:rPr>
        <w:t>. Il-partijiet ikkonċernati esprimew tħassib li dan l-aspett tar-riforma jaf ikollu impatt negattiv fuq l-indipendenza tal-Kunsill Ġudizzjarju</w:t>
      </w:r>
      <w:r>
        <w:rPr>
          <w:rStyle w:val="FootnoteReference"/>
          <w:rFonts w:eastAsia="Times New Roman" w:cs="Times New Roman"/>
          <w:noProof/>
          <w:lang w:eastAsia="fr-FR"/>
        </w:rPr>
        <w:footnoteReference w:id="28"/>
      </w:r>
      <w:r>
        <w:rPr>
          <w:noProof/>
        </w:rPr>
        <w:t>. Dan it-tħassib ġie rifless ukoll f’opinjoni tal-Bureau tal-Kunsill Konsultattiv ta’ Mħallfin Ewropej (CCJE) tad-9 ta’ Diċembru 2020</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Membru li jitkeċċa jista’ jikkontesta d-deċiżjoni tat-tkeċċija quddiem il-Qorti Kostituzzjonali billi jippreżenta lment kostituzzjonali</w:t>
      </w:r>
      <w:r>
        <w:rPr>
          <w:rStyle w:val="FootnoteReference"/>
          <w:rFonts w:eastAsia="Times New Roman" w:cs="Times New Roman"/>
          <w:noProof/>
          <w:lang w:eastAsia="fr-FR"/>
        </w:rPr>
        <w:footnoteReference w:id="30"/>
      </w:r>
      <w:r>
        <w:rPr>
          <w:noProof/>
        </w:rPr>
        <w:t>. Huwa importanti li l-Kunsill Ġudizzjarju jkun soġġett għal biżżejjed garanziji fir-rigward tal-indipendenza tiegħu b’rabta mal-leġiżlatura u l-eżekuttiv inkluż fir-rigward tal-mod kif il-Membri tiegħu jistgħu jitkeċċew</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Ġiet introdotta età tal-irtirar għall-imħallfin biex tiġi pprovduta ċ-ċertezza</w:t>
      </w:r>
      <w:r>
        <w:rPr>
          <w:rStyle w:val="FootnoteReference"/>
          <w:rFonts w:eastAsia="Times New Roman" w:cs="Times New Roman"/>
          <w:b/>
          <w:noProof/>
          <w:szCs w:val="20"/>
          <w:lang w:eastAsia="fr-FR"/>
        </w:rPr>
        <w:footnoteReference w:id="32"/>
      </w:r>
      <w:r>
        <w:rPr>
          <w:b/>
          <w:noProof/>
          <w:szCs w:val="20"/>
        </w:rPr>
        <w:t>.</w:t>
      </w:r>
      <w:r>
        <w:rPr>
          <w:noProof/>
        </w:rPr>
        <w:t xml:space="preserve"> B’segwitu għall-emendi tal-Kostituzzjoni, l-imħallfin jirtiraw malli jagħlqu 67 sena</w:t>
      </w:r>
      <w:r>
        <w:rPr>
          <w:rStyle w:val="FootnoteReference"/>
          <w:rFonts w:eastAsia="Times New Roman" w:cs="Times New Roman"/>
          <w:noProof/>
          <w:szCs w:val="20"/>
          <w:lang w:eastAsia="fr-FR"/>
        </w:rPr>
        <w:footnoteReference w:id="33"/>
      </w:r>
      <w:r>
        <w:rPr>
          <w:noProof/>
        </w:rPr>
        <w:t xml:space="preserve">. Billi r-riforma eliminat is-setgħa diskrezzjonali tal-Kunsill Ġudizzjarju li jipproponi l-irtirar ta’ mħallef li jkollu aktar minn 65 sena, l-emenda ttejjeb iċ-ċertezza tad-dritt u l-istabbiltà għall-imħallfin. </w:t>
      </w:r>
    </w:p>
    <w:p>
      <w:pPr>
        <w:rPr>
          <w:noProof/>
          <w:sz w:val="22"/>
        </w:rPr>
      </w:pPr>
      <w:r>
        <w:rPr>
          <w:b/>
          <w:noProof/>
        </w:rPr>
        <w:t xml:space="preserve">Ir-reġim tar-responsabbiltà kriminali tal-imħallfin ġie emendat. </w:t>
      </w:r>
      <w:r>
        <w:rPr>
          <w:noProof/>
        </w:rPr>
        <w:t>F’Ottubru 2020, ġiet adottata emenda tal-Kodiċi Kriminali</w:t>
      </w:r>
      <w:r>
        <w:rPr>
          <w:rStyle w:val="FootnoteReference"/>
          <w:rFonts w:eastAsia="Times New Roman" w:cs="Times New Roman"/>
          <w:noProof/>
          <w:szCs w:val="20"/>
          <w:lang w:eastAsia="fr-FR"/>
        </w:rPr>
        <w:footnoteReference w:id="34"/>
      </w:r>
      <w:r>
        <w:rPr>
          <w:noProof/>
        </w:rPr>
        <w:t>, segwita minn emenda tad-Dispożizzjoni kostituzzjonali dwar l-immunità tal-imħallfin. Skont ir-riformi,</w:t>
      </w:r>
      <w:r>
        <w:rPr>
          <w:b/>
          <w:noProof/>
        </w:rPr>
        <w:t xml:space="preserve"> </w:t>
      </w:r>
      <w:r>
        <w:rPr>
          <w:noProof/>
        </w:rPr>
        <w:t>l-imħallfin</w:t>
      </w:r>
      <w:r>
        <w:rPr>
          <w:rStyle w:val="FootnoteReference"/>
          <w:rFonts w:eastAsia="Times New Roman" w:cs="Times New Roman"/>
          <w:noProof/>
          <w:lang w:eastAsia="fr-FR"/>
        </w:rPr>
        <w:footnoteReference w:id="35"/>
      </w:r>
      <w:r>
        <w:rPr>
          <w:noProof/>
        </w:rPr>
        <w:t xml:space="preserve"> ma jistgħux jinżammu responsabbli għal opinjoni espressa matul it-teħid deċiżjonali tagħhom, dment li t-teħid deċiżjonali ta’ mħallef ma jiġix ikkwalifikat bħala reat</w:t>
      </w:r>
      <w:r>
        <w:rPr>
          <w:rStyle w:val="FootnoteReference"/>
          <w:rFonts w:eastAsia="Times New Roman" w:cs="Times New Roman"/>
          <w:noProof/>
          <w:lang w:eastAsia="fr-FR"/>
        </w:rPr>
        <w:footnoteReference w:id="36"/>
      </w:r>
      <w:r>
        <w:rPr>
          <w:noProof/>
        </w:rPr>
        <w:t>. F’dak ir-rigward, ġie introdott fil-Kodiċi Kriminali reat ġdid ta’ “abbuż tal-liġi”</w:t>
      </w:r>
      <w:r>
        <w:rPr>
          <w:rStyle w:val="FootnoteReference"/>
          <w:rFonts w:eastAsia="Times New Roman" w:cs="Times New Roman"/>
          <w:noProof/>
          <w:lang w:eastAsia="fr-FR"/>
        </w:rPr>
        <w:footnoteReference w:id="37"/>
      </w:r>
      <w:r>
        <w:rPr>
          <w:noProof/>
        </w:rPr>
        <w:t>. Skont din id-dispożizzjoni, l-imħallfin</w:t>
      </w:r>
      <w:r>
        <w:rPr>
          <w:rStyle w:val="FootnoteReference"/>
          <w:rFonts w:eastAsia="Times New Roman" w:cs="Times New Roman"/>
          <w:noProof/>
          <w:lang w:eastAsia="fr-FR"/>
        </w:rPr>
        <w:footnoteReference w:id="38"/>
      </w:r>
      <w:r>
        <w:rPr>
          <w:noProof/>
        </w:rPr>
        <w:t xml:space="preserve"> jistgħu jitressqu l-qorti għal deċiżjoni arbitrarja li tikkawża ħsara jew tagħmel favur lil persuna oħra</w:t>
      </w:r>
      <w:r>
        <w:rPr>
          <w:rStyle w:val="FootnoteReference"/>
          <w:rFonts w:eastAsia="Times New Roman" w:cs="Times New Roman"/>
          <w:noProof/>
          <w:lang w:eastAsia="fr-FR"/>
        </w:rPr>
        <w:footnoteReference w:id="39"/>
      </w:r>
      <w:r>
        <w:rPr>
          <w:noProof/>
        </w:rPr>
        <w:t>. Id-dispożizzjoni hija prevista li tintuża biss f’każijiet ta’ deċiżjonijiet manifestament arbitrarji u skorretti</w:t>
      </w:r>
      <w:r>
        <w:rPr>
          <w:rStyle w:val="FootnoteReference"/>
          <w:rFonts w:eastAsia="Times New Roman" w:cs="Times New Roman"/>
          <w:noProof/>
          <w:lang w:eastAsia="fr-FR"/>
        </w:rPr>
        <w:footnoteReference w:id="40"/>
      </w:r>
      <w:r>
        <w:rPr>
          <w:noProof/>
        </w:rPr>
        <w:t>. Il-proċedimenti kriminali huma mmexxija mill-Prosekutur Speċjali u minn Qorti Kriminali Speċjalizzata. Imħallef akkużat b’dan ir-reat għandu d-dritt li jitlob lill-Kunsill Ġudizzjarji jesprimi n-nuqqas ta’ qbil tiegħu mat-tkomplija tal-prosekuzzjoni kriminali, li, f’każ li jingħata, ikun ifisser it-terminazzjoni tal-proċedimenti</w:t>
      </w:r>
      <w:r>
        <w:rPr>
          <w:rStyle w:val="FootnoteReference"/>
          <w:rFonts w:eastAsia="Times New Roman" w:cs="Times New Roman"/>
          <w:noProof/>
          <w:lang w:eastAsia="fr-FR"/>
        </w:rPr>
        <w:footnoteReference w:id="41"/>
      </w:r>
      <w:r>
        <w:rPr>
          <w:noProof/>
        </w:rPr>
        <w:t>. L-imħallef imressaq il-qorti jista’ jiġi sospiż b’mod temporanju biss permezz ta’ deċiżjoni tal-qorti dixxiplinari</w:t>
      </w:r>
      <w:r>
        <w:rPr>
          <w:rStyle w:val="FootnoteReference"/>
          <w:rFonts w:eastAsia="Times New Roman" w:cs="Times New Roman"/>
          <w:noProof/>
          <w:lang w:eastAsia="fr-FR"/>
        </w:rPr>
        <w:footnoteReference w:id="42"/>
      </w:r>
      <w:r>
        <w:rPr>
          <w:noProof/>
        </w:rPr>
        <w:t>. Filwaqt li l-istandards Ewropej jipprevedu li f’każijiet eċċezzjonali ta’ malizzja jew negliġenza gravi jista’ jiġri li l-imħallfin jinżammu responsabbli għat-teħid deċiżjonali tagħhom, kull reġim li jirregola r-responsabbiltà tal-imħallfin irid jipprovdi, b’mod ċar u preċiż, il-garanziji meħtieġa biex jiġi evitat kull riskju li dan jintuża bħala strument ta’ pressjoni fuq l-attività ġudizzjarja jew sistema ta’ kontroll politiku tal-kontenut tad-deċiżjonijiet ġudizzjarji</w:t>
      </w:r>
      <w:r>
        <w:rPr>
          <w:rStyle w:val="FootnoteReference"/>
          <w:rFonts w:eastAsia="Times New Roman" w:cs="Times New Roman"/>
          <w:noProof/>
          <w:lang w:eastAsia="fr-FR"/>
        </w:rPr>
        <w:footnoteReference w:id="43"/>
      </w:r>
      <w:r>
        <w:rPr>
          <w:noProof/>
        </w:rPr>
        <w:t>. Huwa importanti li meta jiġu applikati dawn id-dispożizzjonijiet il-ġodda fil-prattika, dawn is-salvagwardji jiġu osservati f’konformità mal-istandards Ewropej. Ċerti partijiet ikkonċernati esprimew tħassib dwar l-emenda kostituzzjonali rigward l-immunità tal-imħallfin, u nnutaw li l-lingwaġġ ġeneriku u vag jista’ jwassal għal riskju potenzjali ta’ abbuż</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Ir-riforma kostituzzjonali riċenti emendat ir-reġim tat-trasferiment tal-imħallfin mingħajr il-kunsens tagħhom. </w:t>
      </w:r>
      <w:r>
        <w:rPr>
          <w:noProof/>
        </w:rPr>
        <w:t>Fir-riforma kostituzzjonali riċenti kien previst li l-imħallfin jistgħu jiġu trasferiti, mingħajr il-kunsens tagħhom, f’każ ta’ bidla tal-mappa ġudizzjarja, jekk trasferiment bħal dan ikun meħtieġ biex jiġi ggarantit it-tħaddim kif suppost tal-ġudikatura</w:t>
      </w:r>
      <w:r>
        <w:rPr>
          <w:rStyle w:val="FootnoteReference"/>
          <w:rFonts w:eastAsia="Times New Roman" w:cs="Times New Roman"/>
          <w:noProof/>
          <w:lang w:eastAsia="fr-FR"/>
        </w:rPr>
        <w:footnoteReference w:id="45"/>
      </w:r>
      <w:r>
        <w:rPr>
          <w:noProof/>
        </w:rPr>
        <w:t>. Skont l-istandards Ewropej, huwa possibbli, li f’każijiet eċċezzjonali, l-imħallfin jiġu trasferiti mingħajr il-kunsens tagħhom, dment li jkun hemm fis-seħħ biżżejjed salvagwardji. Dawn is-salvagwardji jinkludu rekwiżit li l-imħallef ma jistax jiġi trasferit f’qorti inferjuri u li jkun hemm il-possibbiltà ta’ rikors għal stħarriġ ġudizzjarju mill-imħallef</w:t>
      </w:r>
      <w:r>
        <w:rPr>
          <w:rStyle w:val="FootnoteReference"/>
          <w:rFonts w:eastAsia="Times New Roman" w:cs="Times New Roman"/>
          <w:noProof/>
          <w:lang w:eastAsia="fr-FR"/>
        </w:rPr>
        <w:footnoteReference w:id="46"/>
      </w:r>
      <w:r>
        <w:rPr>
          <w:noProof/>
        </w:rPr>
        <w:t>. Se jkun importanti li l-liġi ta’ implimentazzjoni</w:t>
      </w:r>
      <w:r>
        <w:rPr>
          <w:rStyle w:val="FootnoteReference"/>
          <w:rFonts w:eastAsia="Times New Roman" w:cs="Times New Roman"/>
          <w:noProof/>
          <w:lang w:eastAsia="fr-FR"/>
        </w:rPr>
        <w:footnoteReference w:id="47"/>
      </w:r>
      <w:r>
        <w:rPr>
          <w:noProof/>
        </w:rPr>
        <w:t xml:space="preserve"> tipprovdi biżżejjed salvagwardji filwaqt li jitqiesu l-istandards Ewropej.</w:t>
      </w:r>
    </w:p>
    <w:p>
      <w:pPr>
        <w:rPr>
          <w:noProof/>
        </w:rPr>
      </w:pPr>
      <w:r>
        <w:rPr>
          <w:b/>
          <w:bCs/>
          <w:noProof/>
        </w:rPr>
        <w:t xml:space="preserve">Qed jitħejja abbozz ta’ riforma tal-mappa ġudizzjarja. </w:t>
      </w:r>
      <w:r>
        <w:rPr>
          <w:noProof/>
        </w:rPr>
        <w:t>B’segwitu għar-rakkomandazzjonijiet minn rapport mill-Kummissjoni tal-Kunsill tal-Ewropa għall-Effiċjenza tal-Ġustizzja (Council of Europe Commission for the Efficiency of Justice, CEPEJ)</w:t>
      </w:r>
      <w:r>
        <w:rPr>
          <w:rStyle w:val="FootnoteReference"/>
          <w:rFonts w:eastAsia="Times New Roman" w:cs="Times New Roman"/>
          <w:noProof/>
          <w:lang w:eastAsia="fr-FR"/>
        </w:rPr>
        <w:footnoteReference w:id="48"/>
      </w:r>
      <w:r>
        <w:rPr>
          <w:noProof/>
        </w:rPr>
        <w:t xml:space="preserve"> sabiex, fost l-oħrajn, issir riflessjoni dwar it-titjib tal-ispeċjalizzazzjoni tal-imħallfin u dwar bidla tal-mappa ġudizzjarja, b’mod partikolari rigward it-tnaqqis tal-għadd ta’ qrati distrettwali</w:t>
      </w:r>
      <w:r>
        <w:rPr>
          <w:rStyle w:val="FootnoteReference"/>
          <w:rFonts w:eastAsia="Times New Roman" w:cs="Times New Roman"/>
          <w:noProof/>
          <w:lang w:eastAsia="fr-FR"/>
        </w:rPr>
        <w:footnoteReference w:id="49"/>
      </w:r>
      <w:r>
        <w:rPr>
          <w:noProof/>
        </w:rPr>
        <w:t>, il-Ministeru għall-Ġustizzja organizza gruppi ta’ ħidma, magħmula, fost l-oħrajn, minn imħallfin, biex iħejji abbozz ta’ riforma tal-mappa ġudizzjarja</w:t>
      </w:r>
      <w:r>
        <w:rPr>
          <w:rStyle w:val="FootnoteReference"/>
          <w:rFonts w:eastAsia="Times New Roman" w:cs="Times New Roman"/>
          <w:noProof/>
          <w:lang w:eastAsia="fr-FR"/>
        </w:rPr>
        <w:footnoteReference w:id="50"/>
      </w:r>
      <w:r>
        <w:rPr>
          <w:noProof/>
        </w:rPr>
        <w:t>. L-għan tar-riforma huwa li tiżdied il-fiduċja pubblika fil-ġudikatura u tittejjeb l-effiċjenza u l-kwalità tagħha</w:t>
      </w:r>
      <w:r>
        <w:rPr>
          <w:rStyle w:val="FootnoteReference"/>
          <w:rFonts w:eastAsia="Times New Roman" w:cs="Times New Roman"/>
          <w:noProof/>
          <w:lang w:eastAsia="fr-FR"/>
        </w:rPr>
        <w:footnoteReference w:id="51"/>
      </w:r>
      <w:r>
        <w:rPr>
          <w:noProof/>
        </w:rPr>
        <w:t>. L-abbozz tal-mappa huwa bbażat fuq il-ħtieġa li l-qrati jkunu mdaqqsa biżżejjed sabiex l-imħallfin ikunu jistgħu jispeċjalizzaw aktar f’kull qorti, biex jiġu rrispettati l-identitajiet kulturali u reġjonali u biex ikun hemm aċċessibbiltà tal-ġustizzja</w:t>
      </w:r>
      <w:r>
        <w:rPr>
          <w:rStyle w:val="FootnoteReference"/>
          <w:rFonts w:eastAsia="Times New Roman" w:cs="Times New Roman"/>
          <w:noProof/>
          <w:lang w:eastAsia="fr-FR"/>
        </w:rPr>
        <w:footnoteReference w:id="52"/>
      </w:r>
      <w:r>
        <w:rPr>
          <w:noProof/>
        </w:rPr>
        <w:t xml:space="preserve">. Fuq il-bażi ta’ </w:t>
      </w:r>
      <w:r>
        <w:rPr>
          <w:i/>
          <w:iCs/>
          <w:noProof/>
        </w:rPr>
        <w:t>data</w:t>
      </w:r>
      <w:r>
        <w:rPr>
          <w:noProof/>
        </w:rPr>
        <w:t xml:space="preserve"> rigward l-ammont ta’ xogħol tal-qrati ta’ bħalissa, kif ukoll l-infrastruttura u l-aċċessibbiltà tal-qrati, l-abbozz ta’ riforma ppropona li jitnaqqas l-għadd ta’ qrati distrettwali u reġjonali minn 54 għal 30 u minn tmienja għal tlieta</w:t>
      </w:r>
      <w:r>
        <w:rPr>
          <w:rStyle w:val="FootnoteReference"/>
          <w:rFonts w:eastAsia="Times New Roman" w:cs="Times New Roman"/>
          <w:noProof/>
          <w:lang w:eastAsia="fr-FR"/>
        </w:rPr>
        <w:footnoteReference w:id="53"/>
      </w:r>
      <w:r>
        <w:rPr>
          <w:noProof/>
        </w:rPr>
        <w:t xml:space="preserve"> rispettivament. L-imħallfin, il-persunal ġudizzjarju u l-kawżi mill-qrati xolti jitressqu għall-bqija tal-qrati suċċessuri</w:t>
      </w:r>
      <w:r>
        <w:rPr>
          <w:rStyle w:val="FootnoteReference"/>
          <w:rFonts w:eastAsia="Times New Roman" w:cs="Times New Roman"/>
          <w:noProof/>
          <w:lang w:eastAsia="fr-FR"/>
        </w:rPr>
        <w:footnoteReference w:id="54"/>
      </w:r>
      <w:r>
        <w:rPr>
          <w:noProof/>
        </w:rPr>
        <w:t>. Minn Settembru sa Diċembru 2020, l-abbozz ta’ riforma ġiet ippreżentata lill-imħallfin u partijiet ikkonċernati oħra; f’Jannar u Frar 2021 issoktaw id-diskussjonijiet</w:t>
      </w:r>
      <w:r>
        <w:rPr>
          <w:rStyle w:val="FootnoteReference"/>
          <w:rFonts w:eastAsia="Times New Roman" w:cs="Times New Roman"/>
          <w:noProof/>
          <w:lang w:eastAsia="fr-FR"/>
        </w:rPr>
        <w:footnoteReference w:id="55"/>
      </w:r>
      <w:r>
        <w:rPr>
          <w:noProof/>
        </w:rPr>
        <w:t>. Il-Ministeru għall-Ġustizzja bħalissa qed jevalwa l-kummenti ppreżentati fil-konsultazzjoni pubblika, li saret minn nofs Diċembru 2020 sal-bidu ta’ Marzu 2021</w:t>
      </w:r>
      <w:r>
        <w:rPr>
          <w:rStyle w:val="FootnoteReference"/>
          <w:rFonts w:eastAsia="Times New Roman" w:cs="Times New Roman"/>
          <w:noProof/>
          <w:lang w:eastAsia="fr-FR"/>
        </w:rPr>
        <w:footnoteReference w:id="56"/>
      </w:r>
      <w:r>
        <w:rPr>
          <w:noProof/>
        </w:rPr>
        <w:t>. L-abbozz ta’ riforma kien soġġett għal kritika minn diversi partijiet ikkonċernati, li rrapportaw, fost l-oħrajn, dwar nuqqas ta’ involviment matul il-proċess tal-abbozzar u esprimew tħassib rigward l-aċċessibbiltà tal-qrati</w:t>
      </w:r>
      <w:r>
        <w:rPr>
          <w:rStyle w:val="FootnoteReference"/>
          <w:rFonts w:eastAsia="Times New Roman" w:cs="Times New Roman"/>
          <w:noProof/>
          <w:lang w:eastAsia="fr-FR"/>
        </w:rPr>
        <w:footnoteReference w:id="57"/>
      </w:r>
      <w:r>
        <w:rPr>
          <w:noProof/>
        </w:rPr>
        <w:t>. Wara l-kritika, il-Ministeru għall-Ġustizzja ddeċieda li jkompli bil-konsultazzjonijiet mal-imħallfin sa Settembru 2021, u warajhom proposta għal riforma abbozzata mill-ġdid tal-mappa ġudizzjarja se terġa’ tkun soġġetta għal proċedura ta’ konsultazzjoni pubblika</w:t>
      </w:r>
      <w:r>
        <w:rPr>
          <w:rStyle w:val="FootnoteReference"/>
          <w:rFonts w:eastAsia="Times New Roman" w:cs="Times New Roman"/>
          <w:noProof/>
          <w:lang w:eastAsia="fr-FR"/>
        </w:rPr>
        <w:footnoteReference w:id="58"/>
      </w:r>
      <w:r>
        <w:rPr>
          <w:noProof/>
        </w:rPr>
        <w:t>. Billi r-riforma se tinvolvi t-trasferiment ta’ mħallfin</w:t>
      </w:r>
      <w:r>
        <w:rPr>
          <w:rStyle w:val="FootnoteReference"/>
          <w:rFonts w:eastAsia="Times New Roman" w:cs="Times New Roman"/>
          <w:noProof/>
          <w:lang w:eastAsia="fr-FR"/>
        </w:rPr>
        <w:footnoteReference w:id="59"/>
      </w:r>
      <w:r>
        <w:rPr>
          <w:noProof/>
        </w:rPr>
        <w:t>, għandu jiġi nnutat li skont l-istandards Ewropej, l-imħallfin li jiġu trasferiti mingħajr il-kunsens tagħhom sakemm iddum għaddejja r-riforma għandhom jibbenefikaw minn salvagwardji proċedurali sabiex jiġi żgurat li l-indipendenza tagħhom ma tkunx ipperikolata (ara aktar ’il fuq). Rieżami tas-CEPEJ tal-abbozz tar-riforma kkonkluda li l-metodoloġija użata hija f’konformità mal-linji gwida tagħha u mar-rapport ta’ valutazzjoni tagħha u enfasizza l-approċċ ibbażat fuq l-evidenza adottat mill-awtoritajiet Slovakki</w:t>
      </w:r>
      <w:r>
        <w:rPr>
          <w:rStyle w:val="FootnoteReference"/>
          <w:rFonts w:eastAsia="Times New Roman" w:cs="Times New Roman"/>
          <w:noProof/>
          <w:lang w:eastAsia="fr-FR"/>
        </w:rPr>
        <w:footnoteReference w:id="60"/>
      </w:r>
      <w:r>
        <w:rPr>
          <w:noProof/>
        </w:rPr>
        <w:t>. Ħarġet ukoll rakkomandazzjonijiet ulterjuri, bħar-riflessjoni dwar il-posponiment tal-implimentazzjoni tiegħu</w:t>
      </w:r>
      <w:r>
        <w:rPr>
          <w:rStyle w:val="FootnoteReference"/>
          <w:rFonts w:eastAsia="Times New Roman" w:cs="Times New Roman"/>
          <w:noProof/>
          <w:lang w:eastAsia="fr-FR"/>
        </w:rPr>
        <w:footnoteReference w:id="61"/>
      </w:r>
      <w:r>
        <w:rPr>
          <w:noProof/>
        </w:rPr>
        <w:t xml:space="preserve">. </w:t>
      </w:r>
    </w:p>
    <w:p>
      <w:pPr>
        <w:rPr>
          <w:b/>
          <w:noProof/>
        </w:rPr>
      </w:pPr>
      <w:r>
        <w:rPr>
          <w:b/>
          <w:noProof/>
        </w:rPr>
        <w:t>Ġiet stabbilita Qorti Amministrattiva Suprema u huma previsti qrati amministrattivi</w:t>
      </w:r>
      <w:r>
        <w:rPr>
          <w:rStyle w:val="FootnoteReference"/>
          <w:noProof/>
        </w:rPr>
        <w:footnoteReference w:id="62"/>
      </w:r>
      <w:r>
        <w:rPr>
          <w:noProof/>
        </w:rPr>
        <w:t>. Is-sistema l-ġdida tal-qrati amministrattivi hija mistennija li tkun magħmula minn tliet qrati amministrattivi, li qed jiġi propost li jiġu stabbiliti permezz tal-abbozz tar-riforma tal-mappa ġudizzjarja, u Qorti Amministrattiva Suprema, li nħolqot mir-riforma Kostituzzjonali riċenti u hija mistennija li tibda topera f’Awwissu 2021</w:t>
      </w:r>
      <w:r>
        <w:rPr>
          <w:rStyle w:val="FootnoteReference"/>
          <w:noProof/>
        </w:rPr>
        <w:footnoteReference w:id="63"/>
      </w:r>
      <w:r>
        <w:rPr>
          <w:noProof/>
        </w:rPr>
        <w:t>. Il-President tal-Qorti Amministrattiva Suprema nħatar</w:t>
      </w:r>
      <w:r>
        <w:rPr>
          <w:rStyle w:val="FootnoteReference"/>
          <w:noProof/>
        </w:rPr>
        <w:footnoteReference w:id="64"/>
      </w:r>
      <w:r>
        <w:rPr>
          <w:noProof/>
        </w:rPr>
        <w:t xml:space="preserve"> f’Mejju 2020 u l-proċess tal-għażla tal-imħallfin jinsab għaddej bħalissa. L-Imħallfin tal-Qorti jintgħażlu mill-Kunsill Ġudizzjarju</w:t>
      </w:r>
      <w:r>
        <w:rPr>
          <w:rStyle w:val="FootnoteReference"/>
          <w:noProof/>
        </w:rPr>
        <w:footnoteReference w:id="65"/>
      </w:r>
      <w:r>
        <w:rPr>
          <w:noProof/>
        </w:rPr>
        <w:t>. L-abbozz tar-riforma tal-mappa ġudizzjarja (ara aktar ’il fuq) jipprevedi l-ħolqien ta’ tliet qrati amministrattivi separati. Huwa previst</w:t>
      </w:r>
      <w:r>
        <w:rPr>
          <w:rStyle w:val="FootnoteReference"/>
          <w:noProof/>
        </w:rPr>
        <w:footnoteReference w:id="66"/>
      </w:r>
      <w:r>
        <w:rPr>
          <w:noProof/>
        </w:rPr>
        <w:t xml:space="preserve"> li l-presidenti ta’ dawn il-qrati amministrattivi l-ġodda jintgħażlu minn kumitat ta’ ħames membri, li għandhom jintgħażlu mill-Ministru għall-Ġustizzja, u tnejn minnhom minn kandidati nominati mill-Kunsill Ġudizzjarju</w:t>
      </w:r>
      <w:r>
        <w:rPr>
          <w:rStyle w:val="FootnoteReference"/>
          <w:noProof/>
        </w:rPr>
        <w:footnoteReference w:id="67"/>
      </w:r>
      <w:r>
        <w:rPr>
          <w:noProof/>
        </w:rPr>
        <w:t>. Fir-rigward tal-għażla tal-imħallfin fil-qrati amministrattivi, huwa propost</w:t>
      </w:r>
      <w:r>
        <w:rPr>
          <w:rStyle w:val="FootnoteReference"/>
          <w:noProof/>
        </w:rPr>
        <w:footnoteReference w:id="68"/>
      </w:r>
      <w:r>
        <w:rPr>
          <w:noProof/>
        </w:rPr>
        <w:t xml:space="preserve"> li l-Ministru għall-Ġustizzja</w:t>
      </w:r>
      <w:r>
        <w:rPr>
          <w:rStyle w:val="FootnoteReference"/>
          <w:noProof/>
        </w:rPr>
        <w:footnoteReference w:id="69"/>
      </w:r>
      <w:r>
        <w:rPr>
          <w:noProof/>
        </w:rPr>
        <w:t xml:space="preserve"> jiddetermina liema karigi se jiġu koperti minn trasferiment ta’ mħallfin</w:t>
      </w:r>
      <w:r>
        <w:rPr>
          <w:rStyle w:val="FootnoteReference"/>
          <w:noProof/>
        </w:rPr>
        <w:footnoteReference w:id="70"/>
      </w:r>
      <w:r>
        <w:rPr>
          <w:noProof/>
        </w:rPr>
        <w:t xml:space="preserve"> u liema permezz ta’ proċedura tal-għażla</w:t>
      </w:r>
      <w:r>
        <w:rPr>
          <w:rStyle w:val="FootnoteReference"/>
          <w:noProof/>
        </w:rPr>
        <w:footnoteReference w:id="71"/>
      </w:r>
      <w:r>
        <w:rPr>
          <w:noProof/>
        </w:rPr>
        <w:t>. Se jkun importanti li t-twaqqif ta’ dawn il-qrati u r-reġim applikabbli għalihom iqisu l-istandards Ewropej</w:t>
      </w:r>
      <w:r>
        <w:rPr>
          <w:rStyle w:val="FootnoteReference"/>
          <w:noProof/>
        </w:rPr>
        <w:footnoteReference w:id="72"/>
      </w:r>
      <w:r>
        <w:rPr>
          <w:noProof/>
        </w:rPr>
        <w:t>.</w:t>
      </w:r>
    </w:p>
    <w:p>
      <w:pPr>
        <w:rPr>
          <w:rFonts w:eastAsia="Times New Roman" w:cs="Times New Roman"/>
          <w:noProof/>
        </w:rPr>
      </w:pPr>
      <w:r>
        <w:rPr>
          <w:b/>
          <w:bCs/>
          <w:noProof/>
        </w:rPr>
        <w:t xml:space="preserve">Ġew eletti </w:t>
      </w:r>
      <w:r>
        <w:rPr>
          <w:b/>
          <w:noProof/>
        </w:rPr>
        <w:t xml:space="preserve">Prosekutur Ġenerali ġdid u </w:t>
      </w:r>
      <w:r>
        <w:rPr>
          <w:b/>
          <w:bCs/>
          <w:noProof/>
        </w:rPr>
        <w:t>Prosekutur Speċjali</w:t>
      </w:r>
      <w:r>
        <w:rPr>
          <w:b/>
          <w:noProof/>
        </w:rPr>
        <w:t xml:space="preserve"> permezz ta’ proċedura ġdida.</w:t>
      </w:r>
      <w:r>
        <w:rPr>
          <w:noProof/>
        </w:rPr>
        <w:t xml:space="preserve"> F’Settembru 2020, il-Parlament adotta liġi</w:t>
      </w:r>
      <w:r>
        <w:rPr>
          <w:rStyle w:val="FootnoteReference"/>
          <w:rFonts w:eastAsia="Times New Roman" w:cs="Times New Roman"/>
          <w:noProof/>
          <w:szCs w:val="20"/>
          <w:lang w:eastAsia="fr-FR"/>
        </w:rPr>
        <w:footnoteReference w:id="73"/>
      </w:r>
      <w:r>
        <w:rPr>
          <w:noProof/>
        </w:rPr>
        <w:t xml:space="preserve"> li daħħlet diversi bidliet fil-proċess tal-elezzjoni tal-Prosekutur Ġenerali u l-Prosekutur Speċjali</w:t>
      </w:r>
      <w:r>
        <w:rPr>
          <w:rStyle w:val="FootnoteReference"/>
          <w:rFonts w:eastAsia="Times New Roman" w:cs="Times New Roman"/>
          <w:noProof/>
          <w:lang w:eastAsia="fr-FR"/>
        </w:rPr>
        <w:footnoteReference w:id="74"/>
      </w:r>
      <w:r>
        <w:rPr>
          <w:noProof/>
        </w:rPr>
        <w:t>. Il-liġi estendiet il-lista tal-persuni bid-dritt li jipproponu kandidat(a) għall-uffiċċju tal-Prosekutur Ġenerali</w:t>
      </w:r>
      <w:r>
        <w:rPr>
          <w:rStyle w:val="FootnoteReference"/>
          <w:rFonts w:eastAsia="Times New Roman" w:cs="Times New Roman"/>
          <w:noProof/>
          <w:szCs w:val="20"/>
          <w:lang w:eastAsia="fr-FR"/>
        </w:rPr>
        <w:footnoteReference w:id="75"/>
      </w:r>
      <w:r>
        <w:rPr>
          <w:noProof/>
        </w:rPr>
        <w:t>, fetħet il-kandidatura għal dan l-uffiċċju għal kandidati li mhumiex prosekuturi, u introduċiet rekwiżit li l-kandidati kemm għal Prosekutur Ġenerali kif ukoll għal Prosekutur Speċjali jkunu soġġetti għal smigħ pubbliku fil-Parlament</w:t>
      </w:r>
      <w:r>
        <w:rPr>
          <w:rStyle w:val="FootnoteReference"/>
          <w:rFonts w:eastAsia="Times New Roman" w:cs="Times New Roman"/>
          <w:noProof/>
          <w:lang w:eastAsia="fr-FR"/>
        </w:rPr>
        <w:footnoteReference w:id="76"/>
      </w:r>
      <w:r>
        <w:rPr>
          <w:noProof/>
        </w:rPr>
        <w:t>. Ir-regoli l-ġodda ġew applikati f’Diċembru 2020 u Frar 2021 matul l-elezzjoni tal-kandidati għal Prosekutur Ġenerali u Prosekutur Speċjali. Iż-żewġ elezzjonijiet ġew segwiti mill-qrib mill-media u l-partijiet ikkonċernati nnutaw iż-żieda fit-trasparenza tal-proċess</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Kwalità </w:t>
      </w:r>
    </w:p>
    <w:p>
      <w:pPr>
        <w:rPr>
          <w:b/>
          <w:noProof/>
        </w:rPr>
      </w:pPr>
      <w:r>
        <w:rPr>
          <w:b/>
          <w:noProof/>
        </w:rPr>
        <w:t>L-isforzi biex id-diġitalizzazzjoni titmexxa ’l quddiem qed jagħtu l-frott tagħhom iżda fil-prattika jfeġġu dgħufijiet.</w:t>
      </w:r>
      <w:r>
        <w:rPr>
          <w:noProof/>
        </w:rPr>
        <w:t xml:space="preserve"> L-involviment attiv biex id-diġitalizzazzjoni tas-sistema tal-ġustizzja titmexxa ’l quddiem </w:t>
      </w:r>
      <w:r>
        <w:rPr>
          <w:rStyle w:val="FootnoteReference"/>
          <w:noProof/>
          <w:lang w:eastAsia="en-GB"/>
        </w:rPr>
        <w:footnoteReference w:id="78"/>
      </w:r>
      <w:r>
        <w:rPr>
          <w:noProof/>
        </w:rPr>
        <w:t xml:space="preserve"> beda jagħti l-frott tiegħu. Is-Slovakkja hija attrezzata tajjeb f’termini ta’ regoli proċedurali li jippermettu teknoloġija diġitali fil-qrati</w:t>
      </w:r>
      <w:r>
        <w:rPr>
          <w:rStyle w:val="FootnoteReference"/>
          <w:noProof/>
          <w:lang w:eastAsia="en-GB"/>
        </w:rPr>
        <w:footnoteReference w:id="79"/>
      </w:r>
      <w:r>
        <w:rPr>
          <w:noProof/>
        </w:rPr>
        <w:t>, kif ukoll firxa ta’ għodod u infrastruttura li jippermettu komunikazzjoni mill-bogħod u aċċess remot sigur għal-lant tax-xogħol</w:t>
      </w:r>
      <w:r>
        <w:rPr>
          <w:rStyle w:val="FootnoteReference"/>
          <w:noProof/>
          <w:lang w:eastAsia="en-GB"/>
        </w:rPr>
        <w:footnoteReference w:id="80"/>
      </w:r>
      <w:r>
        <w:rPr>
          <w:noProof/>
        </w:rPr>
        <w:t>, komunikazzjoni elettronika sigura bejn is-servizzi tal-qrati u l-istituzzjonijiet u l-professjonisti legali</w:t>
      </w:r>
      <w:r>
        <w:rPr>
          <w:rStyle w:val="FootnoteReference"/>
          <w:noProof/>
          <w:lang w:eastAsia="en-GB"/>
        </w:rPr>
        <w:footnoteReference w:id="81"/>
      </w:r>
      <w:r>
        <w:rPr>
          <w:noProof/>
        </w:rPr>
        <w:t xml:space="preserve"> jew possibbiltajiet għall-utenti li jagħtu bidu għal proċedimenti f’kawżi ċivili, kummerċjali u amministrattivi u jwettqu segwitu tagħhom</w:t>
      </w:r>
      <w:r>
        <w:rPr>
          <w:rStyle w:val="FootnoteReference"/>
          <w:noProof/>
          <w:lang w:eastAsia="en-GB"/>
        </w:rPr>
        <w:footnoteReference w:id="82"/>
      </w:r>
      <w:r>
        <w:rPr>
          <w:noProof/>
        </w:rPr>
        <w:t>. Tfaċċaw lakuni b’mod partikolari fir-rigward tas-servizz tal-prosekuzzjoni</w:t>
      </w:r>
      <w:r>
        <w:rPr>
          <w:rStyle w:val="FootnoteReference"/>
          <w:noProof/>
          <w:lang w:eastAsia="en-GB"/>
        </w:rPr>
        <w:footnoteReference w:id="83"/>
      </w:r>
      <w:r>
        <w:rPr>
          <w:noProof/>
        </w:rPr>
        <w:t xml:space="preserve"> u s-soluzzjonijiet diġitali għall-proċeduri tal-qorti f’kawżi kriminali</w:t>
      </w:r>
      <w:r>
        <w:rPr>
          <w:rStyle w:val="FootnoteReference"/>
          <w:noProof/>
          <w:lang w:eastAsia="en-GB"/>
        </w:rPr>
        <w:footnoteReference w:id="84"/>
      </w:r>
      <w:r>
        <w:rPr>
          <w:noProof/>
        </w:rPr>
        <w:t>. Madankollu, hemm sinjali li filwaqt li hemm għodod u infrastrutturi fis-seħħ, l-użu tagħhom fil-prattika jaf ikun ostakolat, inkluż permezz ta’ ostakli bħal faċilità għall-utent mill-inqas, inkompatibbiltà tas-sistemi ta’ informazzjoni differenti użati jew nuqqas ta’ ħiliet tal-utenti</w:t>
      </w:r>
      <w:r>
        <w:rPr>
          <w:rStyle w:val="FootnoteReference"/>
          <w:noProof/>
          <w:lang w:eastAsia="en-GB"/>
        </w:rPr>
        <w:footnoteReference w:id="85"/>
      </w:r>
      <w:r>
        <w:rPr>
          <w:noProof/>
        </w:rPr>
        <w:t>. Filwaqt li l-pandemija tal-COVID-19 b’mod kumplessiv ikkontribwiet għall-momentum fil-proċess ta’ diġitalizzazzjoni, ħarġet fid-deher uħud minn dawn in-nuqqasijiet prattiċi</w:t>
      </w:r>
      <w:r>
        <w:rPr>
          <w:rStyle w:val="FootnoteReference"/>
          <w:noProof/>
          <w:lang w:eastAsia="en-GB"/>
        </w:rPr>
        <w:footnoteReference w:id="86"/>
      </w:r>
      <w:r>
        <w:rPr>
          <w:noProof/>
        </w:rPr>
        <w:t>. Jinsabu għaddejjin diversi proġetti biex jiġu indirizzati l-ħtiġijiet tas-sistema tal-ġustizzja taħt it-tmexxija ta’ dipartiment ġdid tal-IT fil-Ministeru għall-Ġustizzja, inkluż l-iżvilupp ta’ Sistema ġdida ta’ Ġestjoni tal-Każijiet u reġistru kummerċjali ġdid, li ġew inklużi wkoll fil-Pjan Slovakk għall-Irkupru u r-Reżiljenza</w:t>
      </w:r>
      <w:r>
        <w:rPr>
          <w:rStyle w:val="FootnoteReference"/>
          <w:noProof/>
          <w:lang w:eastAsia="en-GB"/>
        </w:rPr>
        <w:footnoteReference w:id="87"/>
      </w:r>
      <w:r>
        <w:rPr>
          <w:noProof/>
        </w:rPr>
        <w:t xml:space="preserve">. </w:t>
      </w:r>
    </w:p>
    <w:p>
      <w:pPr>
        <w:rPr>
          <w:noProof/>
        </w:rPr>
      </w:pPr>
      <w:r>
        <w:rPr>
          <w:b/>
          <w:noProof/>
        </w:rPr>
        <w:t>Minkejja li l-pandemija kellha impatt notevoli fuq is-sistema tal-ġustizzja, kumplessivament, il-qrati u l-avukati setgħu jibqgħu għaddejjin bil-ħidma tagħhom.</w:t>
      </w:r>
      <w:r>
        <w:rPr>
          <w:noProof/>
        </w:rPr>
        <w:t xml:space="preserve"> L-għadd ta’ seduti ta’ smigħ li saru mill-qrati distrettwali u reġjonali naqas. Meta saru, is-seduti ta’ smigħ saru permezz ta’ vidjokonferenza jew, jekk meħtieġ, bil-preżenza fiżika u l-osservazzjoni tal-miżuri ta’ sikurezza. Il-Qorti Suprema ntlaqtet anqas, inkluż minħabba li l-biċċa l-kbira tal-proċedimenti tagħha jsiru bil-miktub</w:t>
      </w:r>
      <w:r>
        <w:rPr>
          <w:rStyle w:val="FootnoteReference"/>
          <w:noProof/>
        </w:rPr>
        <w:footnoteReference w:id="88"/>
      </w:r>
      <w:r>
        <w:rPr>
          <w:noProof/>
        </w:rPr>
        <w:t>. Anki l-avukati ntlaqtu mill-pandemija, iżda ma rrapportaw l-ebda ostaklu kbir fl-eżerċitar tal-ħidma tagħhom</w:t>
      </w:r>
      <w:r>
        <w:rPr>
          <w:rStyle w:val="FootnoteReference"/>
          <w:noProof/>
        </w:rPr>
        <w:footnoteReference w:id="89"/>
      </w:r>
      <w:r>
        <w:rPr>
          <w:noProof/>
        </w:rPr>
        <w:t>. Il-Kunsill Ġudizzjarju kien qed iwettaq monitoraġġ mill-qrib tas-sitwazzjoni fil-qrati. Il-Ministeru għall-Ġustizzja ppubblika linji gwida u informazzjoni rigward ir-restrizzjonijiet, li ġew apprezzati mill-qrati</w:t>
      </w:r>
      <w:r>
        <w:rPr>
          <w:rStyle w:val="FootnoteReference"/>
          <w:noProof/>
        </w:rPr>
        <w:footnoteReference w:id="90"/>
      </w:r>
      <w:r>
        <w:rPr>
          <w:noProof/>
        </w:rPr>
        <w:t>.</w:t>
      </w:r>
    </w:p>
    <w:p>
      <w:pPr>
        <w:pStyle w:val="Heading2"/>
        <w:rPr>
          <w:noProof/>
        </w:rPr>
      </w:pPr>
      <w:r>
        <w:rPr>
          <w:noProof/>
        </w:rPr>
        <w:t>Effiċjenza</w:t>
      </w:r>
    </w:p>
    <w:p>
      <w:pPr>
        <w:rPr>
          <w:rFonts w:eastAsia="Times New Roman" w:cs="Times New Roman"/>
          <w:b/>
          <w:smallCaps/>
          <w:noProof/>
          <w:szCs w:val="24"/>
          <w:u w:val="single"/>
        </w:rPr>
      </w:pPr>
      <w:r>
        <w:rPr>
          <w:b/>
          <w:noProof/>
        </w:rPr>
        <w:t>L-effiċjenza tal-proċedimenti fil-kawżi amministrattivi kompliet tmur aktar għall-agħar.</w:t>
      </w:r>
      <w:r>
        <w:rPr>
          <w:noProof/>
        </w:rPr>
        <w:t xml:space="preserve"> Ix-xejra tat-tul dejjem jiżdied tal-proċedimenti fil-kawżi amministrattivi, li mill-perspettiva tal-UE huwa komparabbilment twil, issoktat fl-2019, u laħqet 518-il jum meta mqabbla mal-157 jum fl-2018</w:t>
      </w:r>
      <w:r>
        <w:rPr>
          <w:rStyle w:val="FootnoteReference"/>
          <w:noProof/>
        </w:rPr>
        <w:footnoteReference w:id="91"/>
      </w:r>
      <w:r>
        <w:rPr>
          <w:noProof/>
        </w:rPr>
        <w:t>. Fl-istess waqt, ir-rata ta’ kklirjar kompliet tonqos ukoll, u naqset għal 81,4 % fl-2019 (meta mqabbla ma’ 96,1 % in 2018)</w:t>
      </w:r>
      <w:r>
        <w:rPr>
          <w:rStyle w:val="FootnoteReference"/>
          <w:noProof/>
        </w:rPr>
        <w:footnoteReference w:id="92"/>
      </w:r>
      <w:r>
        <w:rPr>
          <w:noProof/>
        </w:rPr>
        <w:t>. Dan jagħti x’wieħed jifhem li s-sistema ma jirnexxilhiex tlaħħaq b’mod effiċjenti mal-ammont ta’ xogħol fil-kawżi amministrattivi. Fir-rigward tal-kawżi ċivili u kummerċjali, it-tul stmat tal-proċedimenti f’kawżi ċivili u kummerċjali kontenzjużi żdied fl-2019 meta mqabbel mal-2018, u laħaq 170 jum (meta mqabbel ma’ 157 fl-2018)</w:t>
      </w:r>
      <w:r>
        <w:rPr>
          <w:rStyle w:val="FootnoteReference"/>
          <w:noProof/>
        </w:rPr>
        <w:footnoteReference w:id="93"/>
      </w:r>
      <w:r>
        <w:rPr>
          <w:noProof/>
        </w:rPr>
        <w:t>. Diversi ġabriet ta’ kawżi rigward it-tul eċċessiv tal-proċedimenti ċivili ġew eżaminati mill-Kunsill tal-Ewropa</w:t>
      </w:r>
      <w:r>
        <w:rPr>
          <w:rStyle w:val="FootnoteReference"/>
          <w:noProof/>
        </w:rPr>
        <w:footnoteReference w:id="94"/>
      </w:r>
      <w:r>
        <w:rPr>
          <w:noProof/>
        </w:rPr>
        <w:t xml:space="preserve">. </w:t>
      </w:r>
    </w:p>
    <w:p>
      <w:pPr>
        <w:pStyle w:val="Heading1"/>
        <w:rPr>
          <w:noProof/>
        </w:rPr>
      </w:pPr>
      <w:r>
        <w:rPr>
          <w:noProof/>
        </w:rPr>
        <w:t xml:space="preserve">Qafas Kontra l-Korruzzjoni </w:t>
      </w:r>
    </w:p>
    <w:p>
      <w:pPr>
        <w:rPr>
          <w:rFonts w:cstheme="minorHAnsi"/>
          <w:noProof/>
          <w:color w:val="000000"/>
          <w:shd w:val="clear" w:color="auto" w:fill="FFFFFF"/>
        </w:rPr>
      </w:pPr>
      <w:r>
        <w:rPr>
          <w:noProof/>
          <w:color w:val="000000"/>
          <w:bdr w:val="none" w:sz="0" w:space="0" w:color="auto" w:frame="1"/>
        </w:rPr>
        <w:t>Fis-Slovakkja, il-kompetenzi għall-prevenzjoni, l-individwar u l-prosekuzzjoni tal-korruzzjoni huma kondiviżi bejn diversi awtoritajiet. L-Uffiċċju tal-Gvern huwa l-korp ċentrali għall-koordinazzjoni tal-prevenzjoni tal-korruzzjoni, li jirrapporta direttament lill-Uffiċċju tal-Prim Ministru. L-Aġenzija Nazzjonali kontra l-Kriminalità tal-Presidju tal-Forza tal-Pulizija hija responsabbli għall-individwar u l-investigazzjoni ta’ reati ta’ korruzzjoni bl-eċċezzjoni ta’ reati ta’ korruzzjoni mwettqa minn membri tal-pulizija stess u ċerti aġenziji tal-infurzar tal-liġi li jaqgħu taħt il-mandat tal-Bureau tas-Servizz ta’ Spezzjoni</w:t>
      </w:r>
      <w:r>
        <w:rPr>
          <w:rStyle w:val="FootnoteReference"/>
          <w:rFonts w:cstheme="minorHAnsi"/>
          <w:noProof/>
          <w:color w:val="000000"/>
          <w:bdr w:val="none" w:sz="0" w:space="0" w:color="auto" w:frame="1"/>
        </w:rPr>
        <w:footnoteReference w:id="95"/>
      </w:r>
      <w:r>
        <w:rPr>
          <w:noProof/>
          <w:color w:val="000000"/>
          <w:bdr w:val="none" w:sz="0" w:space="0" w:color="auto" w:frame="1"/>
        </w:rPr>
        <w:t>. L-Uffiċċju tal-Prosekutur Speċjali</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għandu ġuriżdizzjoni </w:t>
      </w:r>
      <w:r>
        <w:rPr>
          <w:noProof/>
        </w:rPr>
        <w:t>esklużiva</w:t>
      </w:r>
      <w:r>
        <w:rPr>
          <w:noProof/>
          <w:color w:val="000000"/>
          <w:bdr w:val="none" w:sz="0" w:space="0" w:color="auto" w:frame="1"/>
        </w:rPr>
        <w:t xml:space="preserve"> fuq l-investigazzjoni ta’ reati kriminali taħt il-ġuriżdizzjoni sostantiva tal-Qorti Kriminali Speċjalizzata, inklużi reati ta’ korruzzjoni</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Il-perċezzjoni fost l-esperti u d-diriġenti tan-negozju hija li l-livell ta’ korruzzjoni fis-settur pubbliku jibqa’ għoli. </w:t>
      </w:r>
      <w:r>
        <w:rPr>
          <w:noProof/>
        </w:rPr>
        <w:t>Fl-Indiċi tal-2020 dwar il-Perċezzjoni tal-Korruzzjoni minn Transparency International, is-Slovakkja ġabet 49 minn 100 punt u tinsab fis-sbatax-il post fl-Unjoni Ewropea u fis-sittin post fid-dinja</w:t>
      </w:r>
      <w:r>
        <w:rPr>
          <w:rFonts w:cs="Times New Roman"/>
          <w:bCs/>
          <w:noProof/>
          <w:szCs w:val="24"/>
          <w:vertAlign w:val="superscript"/>
        </w:rPr>
        <w:footnoteReference w:id="98"/>
      </w:r>
      <w:r>
        <w:rPr>
          <w:noProof/>
        </w:rPr>
        <w:t>. Din il-perċezzjoni kienet relattivament stabbli</w:t>
      </w:r>
      <w:r>
        <w:rPr>
          <w:rFonts w:cs="Times New Roman"/>
          <w:noProof/>
          <w:szCs w:val="24"/>
          <w:vertAlign w:val="superscript"/>
        </w:rPr>
        <w:footnoteReference w:id="99"/>
      </w:r>
      <w:r>
        <w:rPr>
          <w:noProof/>
        </w:rPr>
        <w:t xml:space="preserve"> matul l-aħħar ħames snin</w:t>
      </w:r>
      <w:r>
        <w:rPr>
          <w:rFonts w:cs="Times New Roman"/>
          <w:noProof/>
          <w:szCs w:val="24"/>
          <w:vertAlign w:val="superscript"/>
        </w:rPr>
        <w:footnoteReference w:id="100"/>
      </w:r>
      <w:r>
        <w:rPr>
          <w:noProof/>
        </w:rPr>
        <w:t>.</w:t>
      </w:r>
    </w:p>
    <w:p>
      <w:pPr>
        <w:rPr>
          <w:rFonts w:cs="Times New Roman"/>
          <w:noProof/>
        </w:rPr>
      </w:pPr>
      <w:r>
        <w:rPr>
          <w:b/>
          <w:bCs/>
          <w:noProof/>
        </w:rPr>
        <w:t xml:space="preserve">Il-qafas strateġiku kontra l-korruzzjoni jiġi pprovdut mill-Politika Kontra l-Korruzzjoni għall-2019-2023. </w:t>
      </w:r>
      <w:r>
        <w:rPr>
          <w:noProof/>
        </w:rPr>
        <w:t>Il-Politika</w:t>
      </w:r>
      <w:r>
        <w:rPr>
          <w:rFonts w:cs="Times New Roman"/>
          <w:noProof/>
          <w:vertAlign w:val="superscript"/>
        </w:rPr>
        <w:footnoteReference w:id="101"/>
      </w:r>
      <w:r>
        <w:rPr>
          <w:noProof/>
        </w:rPr>
        <w:t xml:space="preserve"> tixħet il-lenti l-aktar fuq il-prevenzjoni permezz ta’ miżuri mhux vinkolanti u hija akkumpanjata minn pjan ta’ azzjoni, il-Programm Nazzjonali Kontra l-Korruzzjoni</w:t>
      </w:r>
      <w:r>
        <w:rPr>
          <w:rFonts w:cs="Times New Roman"/>
          <w:noProof/>
          <w:vertAlign w:val="superscript"/>
        </w:rPr>
        <w:footnoteReference w:id="102"/>
      </w:r>
      <w:r>
        <w:rPr>
          <w:noProof/>
        </w:rPr>
        <w:t>, u diversi programmi settorjali</w:t>
      </w:r>
      <w:r>
        <w:rPr>
          <w:rFonts w:cs="Times New Roman"/>
          <w:noProof/>
          <w:vertAlign w:val="superscript"/>
        </w:rPr>
        <w:footnoteReference w:id="103"/>
      </w:r>
      <w:r>
        <w:rPr>
          <w:noProof/>
        </w:rPr>
        <w:t>. Billi huwa essenzjalment identiku għad-dokument ta’ politika, il-pjan ta’ azzjoni attwali ma jippreżentax passi operazzjonali konkreti biex jiffaċilita l-implimentazzjoni tal-prijoritajiet politiċi. Il-Programm Nazzjonali Kontra l-Korruzzjoni bħalissa qiegħed jiġi aġġornat</w:t>
      </w:r>
      <w:r>
        <w:rPr>
          <w:rFonts w:cs="Times New Roman"/>
          <w:noProof/>
          <w:vertAlign w:val="superscript"/>
        </w:rPr>
        <w:footnoteReference w:id="104"/>
      </w:r>
      <w:r>
        <w:rPr>
          <w:noProof/>
        </w:rPr>
        <w:t>. Id-Dipartiment għall-Prevenzjoni tal-Korruzzjoni tal-Uffiċċju tal-Gvern jissorvelja l-implimentazzjoni tal-politika u tal-pjan ta’ azzjoni. Is-sorveljanza tal-implimentazzjoni tal-programmi settorjali hija l-kompetenza tal-korpi rilevanti tal-amministrazzjoni ċentrali tal-istat</w:t>
      </w:r>
      <w:r>
        <w:rPr>
          <w:rFonts w:cs="Times New Roman"/>
          <w:noProof/>
          <w:vertAlign w:val="superscript"/>
        </w:rPr>
        <w:footnoteReference w:id="105"/>
      </w:r>
      <w:r>
        <w:rPr>
          <w:noProof/>
        </w:rPr>
        <w:t xml:space="preserve">. </w:t>
      </w:r>
    </w:p>
    <w:p>
      <w:pPr>
        <w:rPr>
          <w:rFonts w:cs="Times New Roman"/>
          <w:noProof/>
        </w:rPr>
      </w:pPr>
      <w:r>
        <w:rPr>
          <w:b/>
          <w:bCs/>
          <w:noProof/>
        </w:rPr>
        <w:t>Il-qafas legali kriminali ġie kkomplementat bid-dħul fis-seħħ ta’ liġi ġdida dwar il-qbid tal-assi.</w:t>
      </w:r>
      <w:r>
        <w:rPr>
          <w:noProof/>
        </w:rPr>
        <w:t xml:space="preserve"> Fost l-oħrajn, il-liġi dwar il-qbid tal-assi</w:t>
      </w:r>
      <w:r>
        <w:rPr>
          <w:rFonts w:cs="Times New Roman"/>
          <w:noProof/>
          <w:vertAlign w:val="superscript"/>
        </w:rPr>
        <w:footnoteReference w:id="106"/>
      </w:r>
      <w:r>
        <w:rPr>
          <w:noProof/>
        </w:rPr>
        <w:t>, li daħlet fis-seħħ f’Jannar 2021, tipprevjeni l-legalizzazzjoni tal-assi kriminali permezz ta’ trasferimenti lill-terzi persuni u temenda l-kodiċi kriminali billi ddaħħal reati ġodda, bħar-reat li jiġu aċċettati jew offruti benefiċċji mhux ġustifikati jew vantaġġi indebiti, u r-reat tal-korruzzjoni indiretta</w:t>
      </w:r>
      <w:r>
        <w:rPr>
          <w:rFonts w:cs="Times New Roman"/>
          <w:noProof/>
          <w:vertAlign w:val="superscript"/>
        </w:rPr>
        <w:footnoteReference w:id="107"/>
      </w:r>
      <w:r>
        <w:rPr>
          <w:noProof/>
        </w:rPr>
        <w:t>. Barra minn hekk, l-att jintroduċi definizzjoni ta’ rikavati minn attività kriminali. B’mod partikolari, l-att jistabbilixxi Uffiċċju ġdid għall-Ġestjoni tal-Proprjetà Maqbuda</w:t>
      </w:r>
      <w:r>
        <w:rPr>
          <w:rFonts w:cs="Times New Roman"/>
          <w:noProof/>
          <w:vertAlign w:val="superscript"/>
        </w:rPr>
        <w:footnoteReference w:id="108"/>
      </w:r>
      <w:r>
        <w:rPr>
          <w:noProof/>
        </w:rPr>
        <w:t>. Jeżistu nuqqasijiet leġiżlattivi fir-rigward tal-awtorizzazzjoni tal-pulizija li titlob informazzjoni finanzjarja tas-suspettati mill-banek fl-istadju tal-investigazzjoni ta’ dawn ir-reati</w:t>
      </w:r>
      <w:r>
        <w:rPr>
          <w:rFonts w:cs="Times New Roman"/>
          <w:noProof/>
          <w:vertAlign w:val="superscript"/>
        </w:rPr>
        <w:footnoteReference w:id="109"/>
      </w:r>
      <w:r>
        <w:rPr>
          <w:noProof/>
        </w:rPr>
        <w:t>, kif ukoll fir-rigward tal-kriminalizzazzjoni tal-abbuż mill-preżunta influwenza</w:t>
      </w:r>
      <w:r>
        <w:rPr>
          <w:rFonts w:cs="Times New Roman"/>
          <w:noProof/>
          <w:vertAlign w:val="superscript"/>
        </w:rPr>
        <w:footnoteReference w:id="110"/>
      </w:r>
      <w:r>
        <w:rPr>
          <w:noProof/>
        </w:rPr>
        <w:t>.</w:t>
      </w:r>
    </w:p>
    <w:p>
      <w:pPr>
        <w:rPr>
          <w:rFonts w:cs="Times New Roman"/>
          <w:bCs/>
          <w:noProof/>
          <w:szCs w:val="24"/>
        </w:rPr>
      </w:pPr>
      <w:r>
        <w:rPr>
          <w:b/>
          <w:bCs/>
          <w:noProof/>
          <w:szCs w:val="24"/>
        </w:rPr>
        <w:t>Qed jiġu implimentati miżuri biex jiżdiedu r-riżorsi tal-Uffiċċju tal-Prosekutur Speċjali</w:t>
      </w:r>
      <w:r>
        <w:rPr>
          <w:b/>
          <w:noProof/>
          <w:szCs w:val="24"/>
        </w:rPr>
        <w:t xml:space="preserve"> bl-għan li jissaħħu l-kapaċitajiet tiegħu.</w:t>
      </w:r>
      <w:r>
        <w:rPr>
          <w:noProof/>
        </w:rPr>
        <w:t>. Fl-10 ta’ Frar 2021, il-Gvern approva proposta biex jiżdiedu r-riżorsi u l-għadd ta’ persunal speċjalizzat għall-Uffiċċju tal-Prosekutur Speċjali</w:t>
      </w:r>
      <w:r>
        <w:rPr>
          <w:rFonts w:cs="Times New Roman"/>
          <w:bCs/>
          <w:noProof/>
          <w:szCs w:val="24"/>
          <w:vertAlign w:val="superscript"/>
        </w:rPr>
        <w:footnoteReference w:id="111"/>
      </w:r>
      <w:r>
        <w:rPr>
          <w:noProof/>
        </w:rPr>
        <w:t>. Kumplessivament l-għadd ta’ prosekuturi żdied minn 35 għall-38 fl-2021. Bl-għan li jiġi indirizzat it-tħassib rigward ir-riżorsi u l-kapaċitajiet limitati biex il-korruzzjoni fil-livelli għolja titressaq il-qorti</w:t>
      </w:r>
      <w:r>
        <w:rPr>
          <w:rFonts w:cs="Times New Roman"/>
          <w:bCs/>
          <w:noProof/>
          <w:szCs w:val="24"/>
          <w:vertAlign w:val="superscript"/>
        </w:rPr>
        <w:footnoteReference w:id="112"/>
      </w:r>
      <w:r>
        <w:rPr>
          <w:noProof/>
        </w:rPr>
        <w:t>, id-diviżjoni li tittratta speċifikament il-korruzzjoni u r-reati relatati mal-korruzzjoni rdoppjat il-persunal minn ħames għal għaxar prosekuturi li hemm bħalissa fl-Uffiċċju tal-Prosekutur Speċjali</w:t>
      </w:r>
      <w:r>
        <w:rPr>
          <w:rFonts w:cs="Times New Roman"/>
          <w:bCs/>
          <w:noProof/>
          <w:szCs w:val="24"/>
          <w:vertAlign w:val="superscript"/>
        </w:rPr>
        <w:footnoteReference w:id="113"/>
      </w:r>
      <w:r>
        <w:rPr>
          <w:noProof/>
        </w:rPr>
        <w:t>. Ir-riorganizzazzjoni seħħet matul l-2021</w:t>
      </w:r>
      <w:r>
        <w:rPr>
          <w:rFonts w:cs="Times New Roman"/>
          <w:bCs/>
          <w:noProof/>
          <w:szCs w:val="24"/>
          <w:vertAlign w:val="superscript"/>
        </w:rPr>
        <w:footnoteReference w:id="114"/>
      </w:r>
      <w:r>
        <w:rPr>
          <w:noProof/>
        </w:rPr>
        <w:t>. Kien hemm qbil ukoll dwar żieda sinifikanti fir-riżorsi baġitarji għall-Uffiċċju tal-Prosekutur Speċjali</w:t>
      </w:r>
      <w:r>
        <w:rPr>
          <w:rFonts w:cs="Times New Roman"/>
          <w:bCs/>
          <w:noProof/>
          <w:szCs w:val="24"/>
          <w:vertAlign w:val="superscript"/>
        </w:rPr>
        <w:footnoteReference w:id="115"/>
      </w:r>
      <w:r>
        <w:rPr>
          <w:noProof/>
        </w:rPr>
        <w:t>. Għad hemm tħassib rigward il-livell ta’ fiduċja fil-pulizija, kif ukoll l-ispeċjalizzazzjoni u d-diġitalizzazzjoni tagħhom, li jaffettwaw il-kooperazzjoni tas-Servizz tal-Prosekuzzjoni mal-pulizija u l-individwar tal-korruzzjoni u tar-reati relatati mal-korruzzjoni</w:t>
      </w:r>
      <w:r>
        <w:rPr>
          <w:rFonts w:cs="Times New Roman"/>
          <w:bCs/>
          <w:noProof/>
          <w:szCs w:val="24"/>
          <w:vertAlign w:val="superscript"/>
        </w:rPr>
        <w:footnoteReference w:id="116"/>
      </w:r>
      <w:r>
        <w:rPr>
          <w:noProof/>
        </w:rPr>
        <w:t>. B’mod partikolari, kif iddikjarat fir-Rapport tal-2020 dwar l-Istat tad-Dritt, il-kapaċitajiet forensiċi u analitiċi msaħħa tal-Aġenzija Nazzjonali kontra l-Kriminalità jikkontribwixxu għal investigazzjonijiet finanzjarji aktar effettivi</w:t>
      </w:r>
      <w:r>
        <w:rPr>
          <w:rStyle w:val="FootnoteReference"/>
          <w:rFonts w:cs="Times New Roman"/>
          <w:bCs/>
          <w:noProof/>
          <w:szCs w:val="24"/>
        </w:rPr>
        <w:footnoteReference w:id="117"/>
      </w:r>
      <w:r>
        <w:rPr>
          <w:noProof/>
        </w:rPr>
        <w:t>. Sa Ġunju 2022 hija ppjanata riforma tal-pulizija biex timmodernizza l-pulizija f’dan ir-rigward</w:t>
      </w:r>
      <w:r>
        <w:rPr>
          <w:rFonts w:cs="Times New Roman"/>
          <w:bCs/>
          <w:noProof/>
          <w:szCs w:val="24"/>
          <w:vertAlign w:val="superscript"/>
        </w:rPr>
        <w:footnoteReference w:id="118"/>
      </w:r>
      <w:r>
        <w:rPr>
          <w:noProof/>
        </w:rPr>
        <w:t>.</w:t>
      </w:r>
    </w:p>
    <w:p>
      <w:pPr>
        <w:rPr>
          <w:rFonts w:cs="Times New Roman"/>
          <w:noProof/>
        </w:rPr>
      </w:pPr>
      <w:r>
        <w:rPr>
          <w:b/>
          <w:bCs/>
          <w:noProof/>
        </w:rPr>
        <w:t xml:space="preserve">L-isforzi biex tiġi miġġielda l-korruzzjoni fil-livelli għolja żdiedu b’mod sinifikanti matul il-perjodu tar-rapportar. </w:t>
      </w:r>
      <w:r>
        <w:rPr>
          <w:noProof/>
        </w:rPr>
        <w:t>Il-kapaċità ta’ investigazzjoni u prosekuzzjoni tal-korruzzjoni fil-livelli għolja tjiebet b’mod konsiderevoli wara d-dimostrazzjonijiet pubbliċi tal-massa kontra l-impunità perċepita għall-korruzzjoni fil-livelli għolja fuq il-bażi ta’ rivelazzjonijiet li saru fil-kuntest tal-qtil tal-ġurnalist Ján Kuciak u tal-għarusa tiegħu Martina Kušnírová fl-2018. Minn Ottubru 2020, għadd ta’ eks rappreżentanti f’karigi għolja mill-pulizija, is-servizz tal-prosekuzzjoni u l-ġudikatura kif ukoll mis-settur privat ġew mixlija b’korruzzjoni u reati relatati mal-korruzzjoni</w:t>
      </w:r>
      <w:r>
        <w:rPr>
          <w:rFonts w:cs="Times New Roman"/>
          <w:noProof/>
          <w:vertAlign w:val="superscript"/>
        </w:rPr>
        <w:footnoteReference w:id="119"/>
      </w:r>
      <w:r>
        <w:rPr>
          <w:noProof/>
        </w:rPr>
        <w:t>. Fl-2020, l-Aġenzija Nazzjonali kontra l-Kriminalità tat bidu għall-proċedimenti f’158 każ ta’ korruzzjoni</w:t>
      </w:r>
      <w:r>
        <w:rPr>
          <w:rFonts w:cs="Times New Roman"/>
          <w:noProof/>
          <w:vertAlign w:val="superscript"/>
        </w:rPr>
        <w:footnoteReference w:id="120"/>
      </w:r>
      <w:r>
        <w:rPr>
          <w:noProof/>
        </w:rPr>
        <w:t>. L-għadd ta’ individwi kkundannati għal reati ta’ korruzzjoni rdoppja u aktar mill-2019 (62 kundanna) għall-2020 (128 kundanna)</w:t>
      </w:r>
      <w:r>
        <w:rPr>
          <w:rFonts w:cs="Times New Roman"/>
          <w:noProof/>
          <w:vertAlign w:val="superscript"/>
        </w:rPr>
        <w:footnoteReference w:id="121"/>
      </w:r>
      <w:r>
        <w:rPr>
          <w:noProof/>
        </w:rPr>
        <w:t>. Dan l-aħħar, f’Mejju 2021, l-Aġenzija Nazzjonali kontra l-Kriminalità żammet detenuti diversi uffiċjali f’karigi għolja tal-Fond tal-Artijiet</w:t>
      </w:r>
      <w:r>
        <w:rPr>
          <w:rFonts w:cs="Times New Roman"/>
          <w:noProof/>
          <w:vertAlign w:val="superscript"/>
        </w:rPr>
        <w:footnoteReference w:id="122"/>
      </w:r>
      <w:r>
        <w:rPr>
          <w:noProof/>
        </w:rPr>
        <w:t xml:space="preserve"> li allegatament kienu involuti fi skemi ta’ korruzzjoni bejn l-2016 u l-2020</w:t>
      </w:r>
      <w:r>
        <w:rPr>
          <w:rFonts w:cs="Times New Roman"/>
          <w:noProof/>
          <w:vertAlign w:val="superscript"/>
        </w:rPr>
        <w:footnoteReference w:id="123"/>
      </w:r>
      <w:r>
        <w:rPr>
          <w:noProof/>
        </w:rPr>
        <w:t>. F’dan il-kuntest, l-Uffiċċju Ewropew ta’ Kontra l-Frodi (OLAF) diġà kien qajjem tħassib fl-2020 b’segwitu għal tliet investigazzjonijiet amministrattivi dwar il-pagamenti fl-agrikoltura rigward nuqqasijiet fil-Fond tal-Artijiet f’dak li għandu x’jaqsam ma’ trasparenza, trattament indaqs tal-applikanti għal-lokazzjoni u ċ-ċertezza tad-dritt fil-proċeduri interni</w:t>
      </w:r>
      <w:r>
        <w:rPr>
          <w:rFonts w:cs="Times New Roman"/>
          <w:noProof/>
          <w:vertAlign w:val="superscript"/>
        </w:rPr>
        <w:footnoteReference w:id="124"/>
      </w:r>
      <w:r>
        <w:rPr>
          <w:noProof/>
        </w:rPr>
        <w:t>. Madankollu, il-kooperazzjoni bejn l-Aġenzija Nazzjonali kontra l-Kriminalità, l-Uffiċċju tas-Sigurtà Nazzjonali, l-Uffiċċju Suprem tal-Awditjar u l-Unità tal-Intelligence Finanzjarja għadha tista’ tittejjeb u tkun aktar sfiqa sabiex tindividwa u tiddokumenta aħjar il-korruzzjoni</w:t>
      </w:r>
      <w:r>
        <w:rPr>
          <w:rFonts w:cs="Times New Roman"/>
          <w:noProof/>
          <w:vertAlign w:val="superscript"/>
        </w:rPr>
        <w:footnoteReference w:id="125"/>
      </w:r>
      <w:r>
        <w:rPr>
          <w:noProof/>
        </w:rPr>
        <w:t xml:space="preserve"> L-infurzar effettiv tat-tixħim barrani wkoll jibqa’ sors ta’ tħassib</w:t>
      </w:r>
      <w:r>
        <w:rPr>
          <w:rFonts w:cs="Times New Roman"/>
          <w:noProof/>
          <w:vertAlign w:val="superscript"/>
        </w:rPr>
        <w:footnoteReference w:id="126"/>
      </w:r>
      <w:r>
        <w:rPr>
          <w:noProof/>
        </w:rPr>
        <w:t>.</w:t>
      </w:r>
    </w:p>
    <w:p>
      <w:pPr>
        <w:rPr>
          <w:rFonts w:cs="Times New Roman"/>
          <w:noProof/>
        </w:rPr>
      </w:pPr>
      <w:r>
        <w:rPr>
          <w:b/>
          <w:noProof/>
        </w:rPr>
        <w:t>Il-Parlament tas-Slovakkja ħatar il-Kap tal-Uffiċċju għall-Protezzjoni tal-Informaturi fi Frar 2021</w:t>
      </w:r>
      <w:r>
        <w:rPr>
          <w:noProof/>
        </w:rPr>
        <w:t>. Wara din il-ħatra</w:t>
      </w:r>
      <w:r>
        <w:rPr>
          <w:rFonts w:cs="Times New Roman"/>
          <w:noProof/>
          <w:szCs w:val="24"/>
          <w:vertAlign w:val="superscript"/>
        </w:rPr>
        <w:footnoteReference w:id="127"/>
      </w:r>
      <w:r>
        <w:rPr>
          <w:noProof/>
        </w:rPr>
        <w:t>, l-Uffiċċju se jibda jopera u jaqdi l-funzjonijiet tiegħu fi żmien sitt xhur</w:t>
      </w:r>
      <w:r>
        <w:rPr>
          <w:rFonts w:cs="Times New Roman"/>
          <w:noProof/>
          <w:vertAlign w:val="superscript"/>
        </w:rPr>
        <w:footnoteReference w:id="128"/>
      </w:r>
      <w:r>
        <w:rPr>
          <w:noProof/>
        </w:rPr>
        <w:t>. Il-mandat tal-Kap tal-Uffiċċju huwa ta’ seba’ snin. L-Uffiċċju huwa indipendenti minn kwalunkwe dipartiment ieħor</w:t>
      </w:r>
      <w:r>
        <w:rPr>
          <w:rFonts w:cs="Times New Roman"/>
          <w:noProof/>
          <w:vertAlign w:val="superscript"/>
        </w:rPr>
        <w:footnoteReference w:id="129"/>
      </w:r>
      <w:r>
        <w:rPr>
          <w:noProof/>
        </w:rPr>
        <w:t>. Il-mandat tal-Uffiċċju se jiffoka fuq il-ksur tal-liġi u l-protezzjoni kontra miżuri ta’ ritaljazzjoni li jittieħdu mill-entità notifikata fuq il-bażi tal-prinċipji tal-kunfidenzjalità u l-anonimat</w:t>
      </w:r>
      <w:r>
        <w:rPr>
          <w:rFonts w:cs="Times New Roman"/>
          <w:noProof/>
          <w:vertAlign w:val="superscript"/>
        </w:rPr>
        <w:footnoteReference w:id="130"/>
      </w:r>
      <w:r>
        <w:rPr>
          <w:noProof/>
        </w:rPr>
        <w:t xml:space="preserve">. Ir-rwol tal-Uffiċċju huwa li jipprovdi pariri, taħriġ, gwida metodoloġika u sensibilizzazzjoni tal-pubbliku dwar il-whistleblowing, inklużi każijiet ta’ korruzzjoni. L-Uffiċċju jagħti rendikont lill-Parlament u se jipprovdi rapport annwali. L-udjenza fil-mira tal-Uffiċċju hija kemm is-settur pubbliku kif ukoll dak privat. </w:t>
      </w:r>
    </w:p>
    <w:p>
      <w:pPr>
        <w:rPr>
          <w:rFonts w:cs="Times New Roman"/>
          <w:noProof/>
          <w:szCs w:val="24"/>
        </w:rPr>
      </w:pPr>
      <w:r>
        <w:rPr>
          <w:b/>
          <w:bCs/>
          <w:noProof/>
        </w:rPr>
        <w:t>Is-Slovakkja ħadet impenn li tippreżenta abbozz ta’ liġi dwar il-lobbjar f’Novembru 2021.</w:t>
      </w:r>
      <w:r>
        <w:rPr>
          <w:noProof/>
        </w:rPr>
        <w:t xml:space="preserve"> Il-proċess immexxi mill-Uffiċċju tal-Gvern</w:t>
      </w:r>
      <w:r>
        <w:rPr>
          <w:rFonts w:cs="Times New Roman"/>
          <w:noProof/>
          <w:vertAlign w:val="superscript"/>
        </w:rPr>
        <w:footnoteReference w:id="131"/>
      </w:r>
      <w:r>
        <w:rPr>
          <w:noProof/>
        </w:rPr>
        <w:t xml:space="preserve"> jinsab fl-istadju ta’ tħejjija inizjali</w:t>
      </w:r>
      <w:r>
        <w:rPr>
          <w:rFonts w:cs="Times New Roman"/>
          <w:noProof/>
          <w:vertAlign w:val="superscript"/>
        </w:rPr>
        <w:footnoteReference w:id="132"/>
      </w:r>
      <w:r>
        <w:rPr>
          <w:noProof/>
        </w:rPr>
        <w:t>. Saru diversi tentattivi biex tiġi adottata leġiżlazzjoni iżda sa issa l-lobbjar għadu mhuwiex irregolat fis-Slovakkja</w:t>
      </w:r>
      <w:r>
        <w:rPr>
          <w:rStyle w:val="FootnoteReference"/>
          <w:rFonts w:cs="Times New Roman"/>
          <w:noProof/>
        </w:rPr>
        <w:footnoteReference w:id="133"/>
      </w:r>
      <w:r>
        <w:rPr>
          <w:noProof/>
        </w:rPr>
        <w:t>. Minħabba f’hekk, ma hemm l-ebda definizzjoni legali ta’ lobbisti, attivitajiet ta’ lobbjar u miri tal-lobbjar, u lanqas ma hemm fis-seħħ sanzjonijiet effettivi għal-lobbjar indebitu jew impronta leġiżlattiva</w:t>
      </w:r>
      <w:r>
        <w:rPr>
          <w:rFonts w:cs="Times New Roman"/>
          <w:noProof/>
          <w:vertAlign w:val="superscript"/>
        </w:rPr>
        <w:footnoteReference w:id="134"/>
      </w:r>
      <w:r>
        <w:rPr>
          <w:noProof/>
        </w:rPr>
        <w:t>. Madankollu, leġiżlazzjoni u għodod relatati jagħtu lok għat-traċċar tal-kummenti tal-partijiet ikkonċernati u tal-portata li biha jkunu sabu ruħhom f’abbozz leġiżlattiv</w:t>
      </w:r>
      <w:r>
        <w:rPr>
          <w:rFonts w:cs="Times New Roman"/>
          <w:noProof/>
          <w:vertAlign w:val="superscript"/>
        </w:rPr>
        <w:footnoteReference w:id="135"/>
      </w:r>
      <w:r>
        <w:rPr>
          <w:noProof/>
        </w:rPr>
        <w:t>. Kodiċi tal-Etika tal-membri tal-Parlament</w:t>
      </w:r>
      <w:r>
        <w:rPr>
          <w:rFonts w:cs="Times New Roman"/>
          <w:noProof/>
          <w:vertAlign w:val="superscript"/>
        </w:rPr>
        <w:footnoteReference w:id="136"/>
      </w:r>
      <w:r>
        <w:rPr>
          <w:noProof/>
        </w:rPr>
        <w:t xml:space="preserve"> u l-introduzzjoni ta’ regolament leġiżlattiv dwar ir-regoli ta’ wara l-impjieg (“revolving doors”) ukoll huma ppjanati għall-2021</w:t>
      </w:r>
      <w:r>
        <w:rPr>
          <w:rFonts w:cs="Times New Roman"/>
          <w:noProof/>
          <w:vertAlign w:val="superscript"/>
        </w:rPr>
        <w:footnoteReference w:id="137"/>
      </w:r>
      <w:r>
        <w:rPr>
          <w:noProof/>
        </w:rPr>
        <w:t>. Daħlu fis-seħħ emendi tal-Liġi dwar il-Protezzjoni tal-Interess Pubbliku li jipprevedu l-obbligu li jiġu ddikjarati r-rigali jew benefiċċji oħra u l-użu ta’ proprjetà mobbli jew immobbli</w:t>
      </w:r>
      <w:r>
        <w:rPr>
          <w:rFonts w:cs="Times New Roman"/>
          <w:noProof/>
          <w:vertAlign w:val="superscript"/>
        </w:rPr>
        <w:footnoteReference w:id="138"/>
      </w:r>
      <w:r>
        <w:rPr>
          <w:noProof/>
        </w:rPr>
        <w:t>.</w:t>
      </w:r>
    </w:p>
    <w:p>
      <w:pPr>
        <w:rPr>
          <w:rFonts w:cs="Times New Roman"/>
          <w:noProof/>
          <w:szCs w:val="24"/>
        </w:rPr>
      </w:pPr>
      <w:r>
        <w:rPr>
          <w:b/>
          <w:noProof/>
        </w:rPr>
        <w:t>Il-Gvern beħsiebu joħloq uffiċċju ċentralizzat ġdid għall-monitoraġġ u l-verifika tal-assi, inklużi tal-uffiċjali eżekuttivi ewlenin.</w:t>
      </w:r>
      <w:r>
        <w:rPr>
          <w:noProof/>
        </w:rPr>
        <w:t xml:space="preserve"> L-Uffiċċju tal-Gvern f’kooperazzjoni mal-Parlament jinsab fi stadju inizjali tal-kunċettwalizzazzjoni ta’ proposta leġiżlattiva biex jiġi stabbilit uffiċċju unfikat</w:t>
      </w:r>
      <w:r>
        <w:rPr>
          <w:rFonts w:cs="Times New Roman"/>
          <w:noProof/>
          <w:vertAlign w:val="superscript"/>
        </w:rPr>
        <w:footnoteReference w:id="139"/>
      </w:r>
      <w:r>
        <w:rPr>
          <w:noProof/>
        </w:rPr>
        <w:t>. Sa issa, is-sistema tad-dikjarazzjoni tal-assi għall-membri tal-Parlament, l-imħallfin, il-prosekuturi, l-uffiċjali pubbliċi u l-impjegati taċ-ċivil hija deċentralizzata. Fil-bidu tal-2021, ġie rrapportat dewmien kbir fil-pubblikazzjoni tad-dikjarazzjonijiet tal-assi tal-2019 tal-membri tal-Parlament dovuti f’Awwissu 2020, għal raġunijiet relatati mal-pandemija tal-COVID-19 u proċessi pendenti biex jiġu imposti multi għan-nonkonformità</w:t>
      </w:r>
      <w:r>
        <w:rPr>
          <w:rFonts w:cs="Times New Roman"/>
          <w:noProof/>
          <w:vertAlign w:val="superscript"/>
        </w:rPr>
        <w:footnoteReference w:id="140"/>
      </w:r>
    </w:p>
    <w:p>
      <w:pPr>
        <w:rPr>
          <w:rFonts w:cs="Times New Roman"/>
          <w:noProof/>
        </w:rPr>
      </w:pPr>
      <w:r>
        <w:rPr>
          <w:b/>
          <w:bCs/>
          <w:noProof/>
        </w:rPr>
        <w:t>Il-finanzi tal-partiti politiċi huma trasparenti, madankollu s-sorveljanza tista’ tissaħħaħ</w:t>
      </w:r>
      <w:r>
        <w:rPr>
          <w:noProof/>
        </w:rPr>
        <w:t>. Il-liġi prinċipali li tirregola l-finanzjament tal-partiti politiċi fis-Slovakkja hija l-Att dwar il-Partiti u l-Movimenti Politiċi</w:t>
      </w:r>
      <w:r>
        <w:rPr>
          <w:rFonts w:cs="Times New Roman"/>
          <w:noProof/>
          <w:vertAlign w:val="superscript"/>
        </w:rPr>
        <w:footnoteReference w:id="141"/>
      </w:r>
      <w:r>
        <w:rPr>
          <w:noProof/>
        </w:rPr>
        <w:t>. Id-donazzjonijiet lill-partiti politiċi huma limitati għal EUR 5 000 f’kontanti għal kull sena kalendarja, filwaqt li matul il-perjodu elettorali ma hemm l-ebda limitu simili. Id-donazzjonijiet minn entitajiet barranin u donaturi anonimi huma projbiti. Nuqqas ta’ konformità jista’ jwassal għal multa mill-Kummissjoni tal-Istat dwar l-Elezzjoni u l-Kontroll tal-Finanzjament tal-Partiti Politiċi li tammonta għad-doppju tal-introjtu mid-donazzjoni jew is-servizz bla ħlas. Il-partijiet huma mitluba jirrapportaw dwar il-finanzi tagħhom kull sena lill-Kummissjoni tal-Istat. Ir-rapporti finanzjarji jitqiegħdu għad-dispożizzjoni tal-pubbliku. Ir-rapporti huma ssorveljati mill-Kunsill Nazzjonali tar-Repubblika Slovakka u jridu jiżvelaw informazzjoni finanzjarja b’rabta mal-kampanji elettorali u l-identità tad-donaturi</w:t>
      </w:r>
      <w:r>
        <w:rPr>
          <w:rFonts w:cs="Times New Roman"/>
          <w:noProof/>
          <w:vertAlign w:val="superscript"/>
        </w:rPr>
        <w:footnoteReference w:id="142"/>
      </w:r>
      <w:r>
        <w:rPr>
          <w:noProof/>
        </w:rPr>
        <w:t>. Il-kapaċitajiet umani tal-korpi tas-sorveljanza huma limitati u tqajjem xi tħassib fir-rigward tan-nomini politiċi fihom</w:t>
      </w:r>
      <w:r>
        <w:rPr>
          <w:rFonts w:cs="Times New Roman"/>
          <w:noProof/>
          <w:vertAlign w:val="superscript"/>
        </w:rPr>
        <w:footnoteReference w:id="143"/>
      </w:r>
      <w:r>
        <w:rPr>
          <w:noProof/>
        </w:rPr>
        <w:t>. Abbozz ta’ liġi adottat fi żmien jumejn biex ir-regoli tal-finanzjament tal-kampanja għall-elezzjonijiet tal-2020 isiru aktar strinġenti billi jitqiegħed limitu fuq id-donazzjonijiet</w:t>
      </w:r>
      <w:r>
        <w:rPr>
          <w:rFonts w:cs="Times New Roman"/>
          <w:noProof/>
          <w:vertAlign w:val="superscript"/>
        </w:rPr>
        <w:footnoteReference w:id="144"/>
      </w:r>
      <w:r>
        <w:rPr>
          <w:noProof/>
        </w:rPr>
        <w:t xml:space="preserve"> laqat b’mod partikolari lill-partiti li ġew stabbiliti riċentement u għalhekk tqajjem tħassib fost il-partiti l-ġodda, is-soċjetà ċivili u l-media fir-rigward tal-kompetizzjoni ġusta bejn il-partiti.</w:t>
      </w:r>
    </w:p>
    <w:p>
      <w:pPr>
        <w:rPr>
          <w:rFonts w:cs="Times New Roman"/>
          <w:noProof/>
        </w:rPr>
      </w:pPr>
      <w:r>
        <w:rPr>
          <w:b/>
          <w:bCs/>
          <w:noProof/>
        </w:rPr>
        <w:t>Il-pandemija tal-COVID-19, skont dak li ġie rappurtat, ma kellha l-ebda impatt speċifiku fuq l-okkorrenza tal-korruzzjoni, l-individwar tal-korruzzjoni jew fuq l-isforzi biex tiġi miġġielda l-korruzzjoni fis-Slovakkja, skont is-Servizz tal-Prosekuzzjoni.</w:t>
      </w:r>
      <w:r>
        <w:rPr>
          <w:noProof/>
        </w:rPr>
        <w:t xml:space="preserve"> Xi proċessi ġew posposti minħabba l-pandemija tal-COVID-19 li wassal għal backlog tal-kawżi</w:t>
      </w:r>
      <w:r>
        <w:rPr>
          <w:rFonts w:cs="Times New Roman"/>
          <w:noProof/>
          <w:vertAlign w:val="superscript"/>
        </w:rPr>
        <w:footnoteReference w:id="145"/>
      </w:r>
      <w:r>
        <w:rPr>
          <w:noProof/>
        </w:rPr>
        <w:t>. Setturi b’riskju għoli li kienu suxxettibbli għall-korruzjoni qabel il-pandemija fil-biċċa l-kbira baqgħu suxxettibbli għall-korruzzjoni matul il-pandemija, inkluż l-akkwist pubbliku u s-settur tal-kura tas-saħħa, b’riskju u okkorrenza li żdiedu ta’ skemi ta’ frodi fis-sussidji b’rabta mal-pandemija fis-settur tal-aħħar</w:t>
      </w:r>
      <w:r>
        <w:rPr>
          <w:rFonts w:cs="Times New Roman"/>
          <w:noProof/>
          <w:vertAlign w:val="superscript"/>
        </w:rPr>
        <w:footnoteReference w:id="146"/>
      </w:r>
      <w:r>
        <w:rPr>
          <w:noProof/>
        </w:rPr>
        <w:t>. Fl-ambitu tal-programm settorjali kontra l-korruzzjoni tal-Ministeru għas-Saħħa</w:t>
      </w:r>
      <w:r>
        <w:rPr>
          <w:rFonts w:cs="Times New Roman"/>
          <w:noProof/>
          <w:vertAlign w:val="superscript"/>
        </w:rPr>
        <w:footnoteReference w:id="147"/>
      </w:r>
      <w:r>
        <w:rPr>
          <w:noProof/>
        </w:rPr>
        <w:t>, inħoloq grupp ta’ ħidma speċifiku biex jivvaluta r-riskji tal-korruzzjoni fil-kuntest tal-pandemija tal-COVID-19, li kkonstata żewġ oqsma ta’ riskju b’rabta ma’ rikjesti ta’ kostijiet ineliġibbli u rikjesti duplikati ta’ rimborż</w:t>
      </w:r>
      <w:r>
        <w:rPr>
          <w:rFonts w:cs="Times New Roman"/>
          <w:noProof/>
          <w:vertAlign w:val="superscript"/>
        </w:rPr>
        <w:footnoteReference w:id="148"/>
      </w:r>
      <w:r>
        <w:rPr>
          <w:noProof/>
        </w:rPr>
        <w:t>. Fi sforz biex jitnaqqas il-perjodu meħtieġ biex jiġu akkwistati oġġetti, servizzi u xogħol ta’ kostruzzjoni matul il-pandemija, il-Gvern ħejja proposta leġiżlattiva</w:t>
      </w:r>
      <w:r>
        <w:rPr>
          <w:rFonts w:cs="Times New Roman"/>
          <w:noProof/>
          <w:vertAlign w:val="superscript"/>
        </w:rPr>
        <w:footnoteReference w:id="149"/>
      </w:r>
      <w:r>
        <w:rPr>
          <w:noProof/>
        </w:rPr>
        <w:t xml:space="preserve"> li temenda l-liġi tiegħu dwar l-akkwist pubbliku. Madankollu, il-proposta ġiet riveduta f’Mejju 2021 b’segwitu għal petizzjoni u kritika mill-pubbliku minħabba l-esklużjoni tal-Uffiċċju għall-Akkwist Pubbliku mill-proċedura ta’ rieżami li kienet prevista inizjalment u b’hekk jiġi eskluż il-kontroll pubbliku tal-kummissjonijiet b’valur għoli</w:t>
      </w:r>
      <w:r>
        <w:rPr>
          <w:rFonts w:cs="Times New Roman"/>
          <w:noProof/>
          <w:vertAlign w:val="superscript"/>
        </w:rPr>
        <w:footnoteReference w:id="150"/>
      </w:r>
      <w:r>
        <w:rPr>
          <w:noProof/>
        </w:rPr>
        <w:t>. Skont is-soċjetà ċivili, il-proposta leġiżlattiva riveduta tindirizza t-tħassib imqajjem fil-petizzjoni u żżid it-trasparenza u l-kontroll pubbliku biex b’hekk jitnaqqsu r-riskji tal-korruzzjoni</w:t>
      </w:r>
      <w:r>
        <w:rPr>
          <w:rFonts w:cs="Times New Roman"/>
          <w:noProof/>
          <w:vertAlign w:val="superscript"/>
        </w:rPr>
        <w:footnoteReference w:id="151"/>
      </w:r>
      <w:r>
        <w:rPr>
          <w:noProof/>
        </w:rPr>
        <w:t>.</w:t>
      </w:r>
    </w:p>
    <w:p>
      <w:pPr>
        <w:pStyle w:val="Heading1"/>
        <w:rPr>
          <w:noProof/>
        </w:rPr>
      </w:pPr>
      <w:r>
        <w:rPr>
          <w:noProof/>
        </w:rPr>
        <w:t xml:space="preserve">Il-Pluraliżmu tal-Media u l-Libertà tal-Media </w:t>
      </w:r>
    </w:p>
    <w:p>
      <w:pPr>
        <w:rPr>
          <w:rFonts w:cs="Times New Roman"/>
          <w:noProof/>
          <w:szCs w:val="24"/>
        </w:rPr>
      </w:pPr>
      <w:r>
        <w:rPr>
          <w:noProof/>
        </w:rPr>
        <w:t>Il-Kostituzzjoni tas-Slovakkja tħaddan fiha d-dritt ta’ espressjoni tal-opinjoni bi kliem, b’mod stampat, b’immaġini jew b’mezzi oħra, id dritt li wieħed ifittex, jirċievi u jxerred ideat u informazzjoni, kif ukoll id-dritt ta’ aċċess għall-informazzjoni. Id-dritt ta’ aċċess għall-informazzjoni jsib espressjoni ġuridika fl-Att dwar il-Libertà tal-Informazzjoni</w:t>
      </w:r>
      <w:r>
        <w:rPr>
          <w:rFonts w:cs="Times New Roman"/>
          <w:noProof/>
          <w:vertAlign w:val="superscript"/>
        </w:rPr>
        <w:footnoteReference w:id="152"/>
      </w:r>
      <w:r>
        <w:rPr>
          <w:noProof/>
        </w:rPr>
        <w:t>. L-Att dwar ix-Xandir u t-Trażmissjoni mill-Ġdid</w:t>
      </w:r>
      <w:r>
        <w:rPr>
          <w:rFonts w:cs="Times New Roman"/>
          <w:noProof/>
          <w:vertAlign w:val="superscript"/>
        </w:rPr>
        <w:footnoteReference w:id="153"/>
      </w:r>
      <w:r>
        <w:rPr>
          <w:noProof/>
        </w:rPr>
        <w:t xml:space="preserve"> għandu l-għan li jiżgura l-pluralità tal-informazzjoni, filwaqt li l-Att dwar l-Istampa</w:t>
      </w:r>
      <w:r>
        <w:rPr>
          <w:rFonts w:cs="Times New Roman"/>
          <w:noProof/>
          <w:vertAlign w:val="superscript"/>
        </w:rPr>
        <w:footnoteReference w:id="154"/>
      </w:r>
      <w:r>
        <w:rPr>
          <w:noProof/>
        </w:rPr>
        <w:t xml:space="preserve"> jistabbilixxi regoli relatati mal-istampa u mal-ġurnalisti</w:t>
      </w:r>
      <w:r>
        <w:rPr>
          <w:rStyle w:val="FootnoteReference"/>
          <w:rFonts w:cs="Times New Roman"/>
          <w:noProof/>
        </w:rPr>
        <w:footnoteReference w:id="155"/>
      </w:r>
      <w:r>
        <w:rPr>
          <w:noProof/>
        </w:rPr>
        <w:t>. Hemm leġiżlazzjoni pendenti biex l-Att dwar ix-Xandir u t-Trażmissjoni mill-Ġdid jiġi allinjat mad-Direttiva tas-Servizz tal-Media Awdjoviżiva (AVMS - Audiovisual Media Service)</w:t>
      </w:r>
      <w:r>
        <w:rPr>
          <w:rStyle w:val="FootnoteReference"/>
          <w:rFonts w:cs="Times New Roman"/>
          <w:noProof/>
        </w:rPr>
        <w:footnoteReference w:id="156"/>
      </w:r>
      <w:r>
        <w:rPr>
          <w:noProof/>
        </w:rPr>
        <w:t xml:space="preserve">. </w:t>
      </w:r>
    </w:p>
    <w:p>
      <w:pPr>
        <w:rPr>
          <w:rFonts w:cs="Times New Roman"/>
          <w:noProof/>
          <w:szCs w:val="24"/>
        </w:rPr>
      </w:pPr>
      <w:r>
        <w:rPr>
          <w:b/>
          <w:noProof/>
          <w:szCs w:val="24"/>
        </w:rPr>
        <w:t>Il-Kunsill għax-Xandir u t-Trażmissjoni mill-Ġdid jopera b’mod awtonomu</w:t>
      </w:r>
      <w:r>
        <w:rPr>
          <w:rStyle w:val="FootnoteReference"/>
          <w:rFonts w:cs="Times New Roman"/>
          <w:b/>
          <w:noProof/>
          <w:szCs w:val="24"/>
        </w:rPr>
        <w:footnoteReference w:id="157"/>
      </w:r>
      <w:r>
        <w:rPr>
          <w:b/>
          <w:noProof/>
          <w:szCs w:val="24"/>
        </w:rPr>
        <w:t xml:space="preserve">. </w:t>
      </w:r>
      <w:r>
        <w:rPr>
          <w:noProof/>
        </w:rPr>
        <w:t>Minħabba li l-Kunsill tax-Xandir għandu l-baġit tiegħu stess, ir-riżorsi allokati jitqiesu adegwati biex jaqdi d-doveri tiegħu</w:t>
      </w:r>
      <w:r>
        <w:rPr>
          <w:rFonts w:cs="Times New Roman"/>
          <w:noProof/>
          <w:szCs w:val="24"/>
          <w:vertAlign w:val="superscript"/>
        </w:rPr>
        <w:footnoteReference w:id="158"/>
      </w:r>
      <w:r>
        <w:rPr>
          <w:noProof/>
        </w:rPr>
        <w:t xml:space="preserve"> u l-liġi tistabbilixxi regoli ċari dwar il-ħatra u t-tkeċċija tal-membri tal-Kunsill</w:t>
      </w:r>
      <w:r>
        <w:rPr>
          <w:rFonts w:cs="Times New Roman"/>
          <w:noProof/>
          <w:szCs w:val="24"/>
          <w:vertAlign w:val="superscript"/>
        </w:rPr>
        <w:footnoteReference w:id="159"/>
      </w:r>
      <w:r>
        <w:rPr>
          <w:noProof/>
        </w:rPr>
        <w:t>, l-Għodda għall-Monitoraġġ tal-Pluraliżmu tal-Media tal-2021</w:t>
      </w:r>
      <w:r>
        <w:rPr>
          <w:rFonts w:cs="Times New Roman"/>
          <w:noProof/>
          <w:szCs w:val="24"/>
          <w:vertAlign w:val="superscript"/>
        </w:rPr>
        <w:footnoteReference w:id="160"/>
      </w:r>
      <w:r>
        <w:rPr>
          <w:noProof/>
        </w:rPr>
        <w:t xml:space="preserve"> tikkonferma li l-indipendenza tal-Kunsill hija garantita b’mod kumplessiv, għad li n-nomini politiċi sporadiċi għadhom problema. </w:t>
      </w:r>
    </w:p>
    <w:p>
      <w:pPr>
        <w:rPr>
          <w:rFonts w:cs="Times New Roman"/>
          <w:noProof/>
        </w:rPr>
      </w:pPr>
      <w:r>
        <w:rPr>
          <w:b/>
          <w:bCs/>
          <w:noProof/>
        </w:rPr>
        <w:t>Abbozz ta’ liġi li jemenda l-Att dwar ix-Xandir u t-Trażmissjoni mill-Ġdid huwa mistenni li jdaħħal qafas biex tiġi aċċertata t-trasparenza tas-sjieda tal-media.</w:t>
      </w:r>
      <w:r>
        <w:rPr>
          <w:noProof/>
        </w:rPr>
        <w:t>. Sakemm jgħaddi dak l-abbozz ta’ liġi, skedat li jiġi adottat sa tmiem l-2021</w:t>
      </w:r>
      <w:r>
        <w:rPr>
          <w:rStyle w:val="FootnoteReference"/>
          <w:rFonts w:cs="Times New Roman"/>
          <w:noProof/>
        </w:rPr>
        <w:footnoteReference w:id="161"/>
      </w:r>
      <w:r>
        <w:rPr>
          <w:noProof/>
        </w:rPr>
        <w:t>, li huwa mistenni li jdaħħal dispożizzjonijiet dwar it-trasparenza tal-istruttura tas-sjieda u tas-sjieda benefiċjarja kif previst fid-Direttiva AVMS, l-Għodda għall-Monitoraġġ tal-Pluraliżmu tal-Media tal-2021 (MPM 2021 - 2021 Media Pluralism Monitor), għal darb’oħra</w:t>
      </w:r>
      <w:r>
        <w:rPr>
          <w:rStyle w:val="FootnoteReference"/>
          <w:rFonts w:cs="Times New Roman"/>
          <w:noProof/>
        </w:rPr>
        <w:footnoteReference w:id="162"/>
      </w:r>
      <w:r>
        <w:rPr>
          <w:noProof/>
        </w:rPr>
        <w:t xml:space="preserve"> hija tal-fehma li n-nuqqas ta’ regolamentazzjoni jfisser li dan għadu qasam ta’ riskju għoli</w:t>
      </w:r>
      <w:r>
        <w:rPr>
          <w:rStyle w:val="FootnoteReference"/>
          <w:noProof/>
        </w:rPr>
        <w:t xml:space="preserve"> </w:t>
      </w:r>
      <w:r>
        <w:rPr>
          <w:rStyle w:val="FootnoteReference"/>
          <w:rFonts w:cs="Times New Roman"/>
          <w:noProof/>
        </w:rPr>
        <w:footnoteReference w:id="163"/>
      </w:r>
      <w:r>
        <w:rPr>
          <w:noProof/>
        </w:rPr>
        <w:t xml:space="preserve">. L-Att dwar ix-Xandir u t-Trażmissjoni mill-Ġdid jinkludi limiti massimi u limitazzjonijiet biex ma jitħalliex li jkun hemm grad għoli ta’ konċentrazzjoni orizzontali ta’ sjieda fis-swieq tat-televiżjoni u tar-radju. Madankollu nuqqas ta’ </w:t>
      </w:r>
      <w:r>
        <w:rPr>
          <w:i/>
          <w:iCs/>
          <w:noProof/>
        </w:rPr>
        <w:t>data</w:t>
      </w:r>
      <w:r>
        <w:rPr>
          <w:noProof/>
        </w:rPr>
        <w:t xml:space="preserve"> fir-rigward tad-dħul u tal-kwoti tas-suq tal-udjenza jagħmilha diffiċli li ssir valutazzjoni tas-sitwazzjoni attwali</w:t>
      </w:r>
      <w:r>
        <w:rPr>
          <w:rStyle w:val="FootnoteReference"/>
          <w:noProof/>
        </w:rPr>
        <w:footnoteReference w:id="164"/>
      </w:r>
      <w:r>
        <w:rPr>
          <w:noProof/>
        </w:rPr>
        <w:t>.</w:t>
      </w:r>
    </w:p>
    <w:p>
      <w:pPr>
        <w:rPr>
          <w:rFonts w:eastAsia="Calibri"/>
          <w:noProof/>
          <w:szCs w:val="24"/>
        </w:rPr>
      </w:pPr>
      <w:r>
        <w:rPr>
          <w:b/>
          <w:bCs/>
          <w:noProof/>
        </w:rPr>
        <w:t xml:space="preserve">Ingħataw għadd ta’ kundanni fir-rigward tal-individwi involuti fil-qtil tal-ġurnalist Ján Kuciak u tal-għarusa tiegħu Martina Kušnírová fl-2018. </w:t>
      </w:r>
      <w:r>
        <w:rPr>
          <w:noProof/>
        </w:rPr>
        <w:t>Tliet individwi ġew ikkundannati u mogħtija sentenza ta’ priġunerija ta’ bejn 15 u 25 sena mill-Qorti Kriminali Speċjalizzata. Waħda mis-sentenzi ġiet appellata mill-akkużat. Il-prosekutur pubbliku appella mid-deċiżjoni ta’ liberazzjoni tal-qorti tal-Prim’Istanza tal-persuni li allegatament orkestraw l-assassinju</w:t>
      </w:r>
      <w:r>
        <w:rPr>
          <w:rStyle w:val="FootnoteReference"/>
          <w:rFonts w:cs="Times New Roman"/>
          <w:noProof/>
        </w:rPr>
        <w:footnoteReference w:id="165"/>
      </w:r>
      <w:r>
        <w:rPr>
          <w:noProof/>
        </w:rPr>
        <w:t>. Fil-15 ta’ Ġunju 2021, il-Qorti Suprema annullat id-deċiżjoni ta’ liberazzjoni tal-Prim’Istanza tal-Qorti Kriminali Speċjalizzata u għaddiet il-kawża lura lil din il-Qorti tal-aħħar. Il-Qorti Suprema kkonfermat ukoll is-sentenza ta’ 25 sena priġunerija mogħtija lil wieħed mill-akkużati l-oħra</w:t>
      </w:r>
      <w:r>
        <w:rPr>
          <w:rStyle w:val="FootnoteReference"/>
          <w:rFonts w:eastAsia="Times New Roman" w:cs="Times New Roman"/>
          <w:noProof/>
          <w:lang w:eastAsia="fr-FR"/>
        </w:rPr>
        <w:footnoteReference w:id="166"/>
      </w:r>
      <w:r>
        <w:rPr>
          <w:noProof/>
        </w:rPr>
        <w:t>.</w:t>
      </w:r>
    </w:p>
    <w:p>
      <w:pPr>
        <w:rPr>
          <w:noProof/>
        </w:rPr>
      </w:pPr>
      <w:r>
        <w:rPr>
          <w:b/>
          <w:bCs/>
          <w:noProof/>
        </w:rPr>
        <w:t xml:space="preserve">Kien hemm rapporti ta’ attakki verbali kontra l-ġurnalisti u strumenti medjatiċi kemm mill-politiċi tan-naħa tal-gvern kif ukoll tan-naħa tal-oppożizzjoni. </w:t>
      </w:r>
      <w:r>
        <w:rPr>
          <w:noProof/>
        </w:rPr>
        <w:t>Il-ġurnalisti ġew akkużati bi “stmerrija” u li mminaw il-ħidma tal-Gvern matul il-pandemija tal-COVID-19.</w:t>
      </w:r>
      <w:r>
        <w:rPr>
          <w:b/>
          <w:bCs/>
          <w:noProof/>
        </w:rPr>
        <w:t xml:space="preserve"> </w:t>
      </w:r>
      <w:r>
        <w:rPr>
          <w:noProof/>
        </w:rPr>
        <w:t>Minn Settembru 2020 ’l hawn, il-Pjattaforma tal-Kunsill tal-Ewropa għall-promozzjoni tal-protezzjoni tal-ġurnaliżmu u tas-sikurezza tal-ġurnalisti ppubblikat allerta waħda għas-Slovakkja</w:t>
      </w:r>
      <w:r>
        <w:rPr>
          <w:rFonts w:cs="Times New Roman"/>
          <w:noProof/>
          <w:vertAlign w:val="superscript"/>
        </w:rPr>
        <w:footnoteReference w:id="167"/>
      </w:r>
      <w:r>
        <w:rPr>
          <w:noProof/>
        </w:rPr>
        <w:t xml:space="preserve"> li kienet tirrigwarda s-sorveljanza minn individwi mhux magħrufa ta’ ġurnalist ta’ gazzetta</w:t>
      </w:r>
      <w:r>
        <w:rPr>
          <w:rStyle w:val="FootnoteReference"/>
          <w:rFonts w:cs="Times New Roman"/>
          <w:noProof/>
        </w:rPr>
        <w:footnoteReference w:id="168"/>
      </w:r>
      <w:r>
        <w:rPr>
          <w:noProof/>
        </w:rPr>
        <w:t>. Il-leġiżlazzjoni proposta bl-għan li ssaħħaħ il-protezzjoni tal-ġurnalisti ġiet posposta minħabba l-pandemija tal-COVID-19</w:t>
      </w:r>
      <w:r>
        <w:rPr>
          <w:rStyle w:val="FootnoteReference"/>
          <w:rFonts w:cs="Times New Roman"/>
          <w:noProof/>
        </w:rPr>
        <w:footnoteReference w:id="169"/>
      </w:r>
      <w:r>
        <w:rPr>
          <w:noProof/>
        </w:rPr>
        <w:t>. Il-proposti jinkludu definizzjoni tal-istatus ta’ ġurnalisti, il-protezzjoni tas-sorsi ġurnalistiċi kif ukoll aċċess imtejjeb għall-informazzjoni. Barra minn hekk, il-Gvern qiegħed iħejji emendi għal-liġijiet stretti dwar id-diffamazzjoni kriminali li għandha s-Slovakkja bħalissa sabiex il-ġurnalisti jiġu ssalvagwardjati. Ma ddaħħlet l-ebda skema ta’ sostenn għall-media tal-aħbarijiet biex tagħmel tajjeb għall-impatt tal-pandemija tal-COVID-19</w:t>
      </w:r>
      <w:r>
        <w:rPr>
          <w:rStyle w:val="FootnoteReference"/>
          <w:rFonts w:cs="Times New Roman"/>
          <w:noProof/>
        </w:rPr>
        <w:footnoteReference w:id="170"/>
      </w:r>
      <w:r>
        <w:rPr>
          <w:noProof/>
        </w:rPr>
        <w:t xml:space="preserve">. </w:t>
      </w:r>
    </w:p>
    <w:p>
      <w:pPr>
        <w:pStyle w:val="Heading1"/>
        <w:rPr>
          <w:noProof/>
        </w:rPr>
      </w:pPr>
      <w:r>
        <w:rPr>
          <w:noProof/>
        </w:rPr>
        <w:t>Kwistjonijiet istituzzjonali oħra relatati mas-Sistema ta’ Kontrokontrolli</w:t>
      </w:r>
    </w:p>
    <w:p>
      <w:pPr>
        <w:rPr>
          <w:rFonts w:cs="Times New Roman"/>
          <w:noProof/>
          <w:szCs w:val="24"/>
        </w:rPr>
      </w:pPr>
      <w:r>
        <w:rPr>
          <w:noProof/>
        </w:rPr>
        <w:t>Is-Slovakkja hija repubblika parlamentari fejn il-Kunsill Nazzjonali (il-Parlament) huwa l-uniku korp kostituzzjonali u leġiżlattiv</w:t>
      </w:r>
      <w:r>
        <w:rPr>
          <w:rFonts w:cs="Times New Roman"/>
          <w:noProof/>
          <w:szCs w:val="24"/>
          <w:vertAlign w:val="superscript"/>
        </w:rPr>
        <w:footnoteReference w:id="171"/>
      </w:r>
      <w:r>
        <w:rPr>
          <w:noProof/>
        </w:rPr>
        <w:t>. Id-dritt li tiġi introdotta leġiżlazzjoni jappartjeni għall-Kumitati tal-Parlament, għall-membri individwali tal-Parlament, u għall-Gvern</w:t>
      </w:r>
      <w:r>
        <w:rPr>
          <w:rFonts w:cs="Times New Roman"/>
          <w:noProof/>
          <w:szCs w:val="24"/>
          <w:vertAlign w:val="superscript"/>
        </w:rPr>
        <w:footnoteReference w:id="172"/>
      </w:r>
      <w:r>
        <w:rPr>
          <w:noProof/>
        </w:rPr>
        <w:t xml:space="preserve">. Il-Qorti Kostituzzjonali tiddeċiedi dwar il-konformità tal-liġijiet mal-Kostituzzjoni, l-atti kostituzzjonali u l-ftehimiet internazzjonali, u tiżgura r-rispett tad-drittijiet fundamentali u kostituzzjonali. L-awtoritajiet indipendenti wkoll għandhom rwol fis-salvagwardja tad-drittijiet fundamentali. </w:t>
      </w:r>
    </w:p>
    <w:p>
      <w:pPr>
        <w:rPr>
          <w:rFonts w:eastAsia="Times New Roman" w:cs="Times New Roman"/>
          <w:noProof/>
          <w:szCs w:val="20"/>
        </w:rPr>
      </w:pPr>
      <w:r>
        <w:rPr>
          <w:b/>
          <w:bCs/>
          <w:noProof/>
        </w:rPr>
        <w:t xml:space="preserve">Tqajjem tħassib dwar l-inklużività tal-proċess tat-tfassil tal-liġijiet. </w:t>
      </w:r>
      <w:r>
        <w:rPr>
          <w:noProof/>
        </w:rPr>
        <w:t>Ir-riforma Kostituzzjonali riċenti (ara t-Taqsima I) tħabbret fid-Dikjarazzjoni tal-Programm governattiv ta’ April 2020 u, b’segwitu għal preżentazzjoni lil diversi partijiet ikkonċernati</w:t>
      </w:r>
      <w:r>
        <w:rPr>
          <w:rStyle w:val="FootnoteReference"/>
          <w:rFonts w:eastAsia="Times New Roman" w:cs="Times New Roman"/>
          <w:noProof/>
          <w:lang w:eastAsia="fr-FR"/>
        </w:rPr>
        <w:footnoteReference w:id="173"/>
      </w:r>
      <w:r>
        <w:rPr>
          <w:noProof/>
        </w:rPr>
        <w:t xml:space="preserve"> u konsultazzjoni pubblika bil-miktub f’Lulju 2020, ġiet ippreżentata lill-Parlament fil-bidu ta’ Ottubru 2020 u approvata f’Diċembru 2020. Il-partijiet ikkonċernati esprimew tħassib dwar in-nuqqas ta’ dibattitu estensiv u infurmat rigward il-karatteristiċi ewlenin tar-riforma, kif ukoll dwar in-nuqqas ta’ konsultazzjoni tal-Kummissjoni ta’ Venezja, minħabba l-ambitu u l-portata tar-riforma</w:t>
      </w:r>
      <w:r>
        <w:rPr>
          <w:rStyle w:val="FootnoteReference"/>
          <w:rFonts w:eastAsia="Times New Roman" w:cs="Times New Roman"/>
          <w:noProof/>
          <w:lang w:eastAsia="fr-FR"/>
        </w:rPr>
        <w:footnoteReference w:id="174"/>
      </w:r>
      <w:r>
        <w:rPr>
          <w:noProof/>
        </w:rPr>
        <w:t>. Il-partijiet ikkonċernati saħqu fuq l-importanza li l-bidliet kostituzzjonali jiġu wara diskussjoni miftuħa u tempestiva, li tinvolvi lill-partijiet ikkonċernati u lis-soċjetà ċivili, f’konformità mal-istandards Ewropej</w:t>
      </w:r>
      <w:r>
        <w:rPr>
          <w:rStyle w:val="FootnoteReference"/>
          <w:rFonts w:eastAsia="Times New Roman" w:cs="Times New Roman"/>
          <w:noProof/>
          <w:lang w:eastAsia="fr-FR"/>
        </w:rPr>
        <w:footnoteReference w:id="175"/>
      </w:r>
      <w:r>
        <w:rPr>
          <w:noProof/>
        </w:rPr>
        <w:t>. Il-partijiet ikkonċernati wkoll esprimew tħassib dwar in-nuqqas ta’ involviment tagħhom fi proċessi leġiżlattivi oħra</w:t>
      </w:r>
      <w:r>
        <w:rPr>
          <w:rStyle w:val="FootnoteReference"/>
          <w:rFonts w:eastAsia="Times New Roman" w:cs="Times New Roman"/>
          <w:noProof/>
          <w:lang w:eastAsia="fr-FR"/>
        </w:rPr>
        <w:footnoteReference w:id="176"/>
      </w:r>
      <w:r>
        <w:rPr>
          <w:noProof/>
        </w:rPr>
        <w:t xml:space="preserve"> u dwar l-użu ta’ proċeduri rapidi fil-Parlament, li kienu segwiti wkoll minn leġiżlazzjoni li ma kinitx relatata strettament mal-pandemija</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Pjanijiet li tħabbru fl-2020 għat-titjib tal-proċess tat-tfassil tal-liġijiet u t-tisħiħ tat-trasparenza, l-effiċjenza u r-rendikontabbiltà tal-amministrazzjoni pubblika għadhom ma twettqux</w:t>
      </w:r>
      <w:r>
        <w:rPr>
          <w:rStyle w:val="FootnoteReference"/>
          <w:b/>
          <w:bCs/>
          <w:noProof/>
        </w:rPr>
        <w:footnoteReference w:id="178"/>
      </w:r>
      <w:r>
        <w:rPr>
          <w:b/>
          <w:bCs/>
          <w:noProof/>
        </w:rPr>
        <w:t xml:space="preserve">. </w:t>
      </w:r>
      <w:r>
        <w:rPr>
          <w:noProof/>
        </w:rPr>
        <w:t>Il-Gvern il-ġdid stabbilit f’April 2021 inkluda fid-Dikjarazzjoni tal-Programm tiegħu, l-impenji tal-Gvernijiet li ppreċedewh</w:t>
      </w:r>
      <w:r>
        <w:rPr>
          <w:rStyle w:val="FootnoteReference"/>
          <w:noProof/>
        </w:rPr>
        <w:footnoteReference w:id="179"/>
      </w:r>
      <w:r>
        <w:rPr>
          <w:noProof/>
        </w:rPr>
        <w:t xml:space="preserve"> biex jittejjeb il-proċess biex jitħejjew u jgħaddu l-liġijiet, tissaħħaħ it-trasparenza, l-effiċjenza u r-rendikontabbiltà tal-amministrazzjoni pubblika, jiġi estiż l-aċċess għall-informazzjoni u titwessa’ l-applikazzjoni ta’ gvern miftuħ. Ħa f’idu wkoll l-impenn li jsaħħaħ il-kompetenzi tal-Uffiċċju Suprem tal-Awditjar</w:t>
      </w:r>
      <w:r>
        <w:rPr>
          <w:rStyle w:val="FootnoteReference"/>
          <w:noProof/>
        </w:rPr>
        <w:footnoteReference w:id="180"/>
      </w:r>
      <w:r>
        <w:rPr>
          <w:noProof/>
        </w:rPr>
        <w:t>. Dwar dan kollu la għadhom ġew ippreżentati proposti u lanqas tnedew konsultazzjonijiet mal-partijiet interessati. Emenda tal-Att dwar l-Aċċess Liberu għall-Informazzjoni tinsab fil-fażi ta’ tħejjija fil-Gvern</w:t>
      </w:r>
      <w:r>
        <w:rPr>
          <w:rStyle w:val="FootnoteReference"/>
          <w:noProof/>
        </w:rPr>
        <w:footnoteReference w:id="181"/>
      </w:r>
      <w:r>
        <w:rPr>
          <w:noProof/>
        </w:rPr>
        <w:t xml:space="preserve">. </w:t>
      </w:r>
    </w:p>
    <w:p>
      <w:pPr>
        <w:rPr>
          <w:rFonts w:eastAsia="Times New Roman" w:cs="Times New Roman"/>
          <w:noProof/>
          <w:szCs w:val="20"/>
        </w:rPr>
      </w:pPr>
      <w:r>
        <w:rPr>
          <w:b/>
          <w:bCs/>
          <w:noProof/>
        </w:rPr>
        <w:t>Ir-riforma Kostituzzjonali tistipula speċifikament li l-Qorti Kostituzzjonali ma għandhiex il-kompetenza li tistħarreġ il-liġijiet Kostituzzjonali</w:t>
      </w:r>
      <w:r>
        <w:rPr>
          <w:noProof/>
        </w:rPr>
        <w:t>. Fl-imgħoddi, il-Qorti Kostituzzjonali affermat is-setgħa tagħha li tivvaluta l-kostituzzjonalità tal-liġijiet kostituzzjonali, li użat darba biex tipproteġi l-indipendenza ġudizzjarja</w:t>
      </w:r>
      <w:r>
        <w:rPr>
          <w:rStyle w:val="FootnoteReference"/>
          <w:rFonts w:eastAsia="Times New Roman" w:cs="Times New Roman"/>
          <w:noProof/>
          <w:lang w:eastAsia="fr-FR"/>
        </w:rPr>
        <w:footnoteReference w:id="182"/>
      </w:r>
      <w:r>
        <w:rPr>
          <w:noProof/>
        </w:rPr>
        <w:t>. Ir-riforma Kostituzzjonali riċenti (ara t-Taqsima I) biddlet il-lingwaġġ tal-Kostituzzjoni sabiex tipprojbixxi speċifikament lill-Qorti milli tistħarreġ il-kostituzzjonalità ta’ tali liġijiet. Il-bidla ġiet ikkritikata mill-partijiet ikkonċernati</w:t>
      </w:r>
      <w:r>
        <w:rPr>
          <w:rStyle w:val="FootnoteReference"/>
          <w:rFonts w:eastAsia="Times New Roman" w:cs="Times New Roman"/>
          <w:noProof/>
          <w:lang w:eastAsia="fr-FR"/>
        </w:rPr>
        <w:footnoteReference w:id="183"/>
      </w:r>
      <w:r>
        <w:rPr>
          <w:noProof/>
        </w:rPr>
        <w:t>. Il-kostituzzjonalità ta’ din l-emenda ġiet ikkontestata quddiem il-Qorti Kostituzzjonali, fejn għadha pendenti</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Il-Parlament emenda l-leġiżlazzjoni rigward l-istat ta’ emerġenza biex jiġi permess il-prolongament lil hinn minn 90 jum</w:t>
      </w:r>
      <w:r>
        <w:rPr>
          <w:noProof/>
        </w:rPr>
        <w:t>. Il-Parlament kompla jopera matul l-istat ta’ emerġenza mingħajr xkiel kbir</w:t>
      </w:r>
      <w:r>
        <w:rPr>
          <w:rStyle w:val="FootnoteReference"/>
          <w:rFonts w:eastAsia="Times New Roman" w:cs="Times New Roman"/>
          <w:noProof/>
          <w:lang w:eastAsia="fr-FR"/>
        </w:rPr>
        <w:footnoteReference w:id="185"/>
      </w:r>
      <w:r>
        <w:rPr>
          <w:noProof/>
        </w:rPr>
        <w:t>. L-istat ta’ emerġenza jippermetti lill-Gvern jadotta digrieti li jillimitaw ċerti drittijiet u libertajiet, bħal-libertà tal-moviment</w:t>
      </w:r>
      <w:r>
        <w:rPr>
          <w:rStyle w:val="FootnoteReference"/>
          <w:rFonts w:eastAsia="Times New Roman" w:cs="Times New Roman"/>
          <w:noProof/>
          <w:lang w:eastAsia="fr-FR"/>
        </w:rPr>
        <w:footnoteReference w:id="186"/>
      </w:r>
      <w:r>
        <w:rPr>
          <w:noProof/>
        </w:rPr>
        <w:t>. L-istat ta’ emerġenza jista’ jiġi ddikjarat mill-Gvern għal mhux aktar minn 90 jum, bil-kundizzjonijiet stipulati minn liġi Kostituzzjonali</w:t>
      </w:r>
      <w:r>
        <w:rPr>
          <w:rStyle w:val="FootnoteReference"/>
          <w:rFonts w:eastAsia="Times New Roman" w:cs="Times New Roman"/>
          <w:noProof/>
          <w:lang w:eastAsia="fr-FR"/>
        </w:rPr>
        <w:footnoteReference w:id="187"/>
      </w:r>
      <w:r>
        <w:rPr>
          <w:noProof/>
        </w:rPr>
        <w:t>. B’segwitu għall-applikazzjoni tal-istat ta’ emerġenza mis-16 ta’ Marzu 2020 sat-13 ta’ Ġunju 2020</w:t>
      </w:r>
      <w:r>
        <w:rPr>
          <w:rStyle w:val="FootnoteReference"/>
          <w:rFonts w:eastAsia="Times New Roman" w:cs="Times New Roman"/>
          <w:noProof/>
          <w:lang w:eastAsia="fr-FR"/>
        </w:rPr>
        <w:footnoteReference w:id="188"/>
      </w:r>
      <w:r>
        <w:rPr>
          <w:noProof/>
        </w:rPr>
        <w:t>, il-Gvern iddikjara stat ta’ emerġenza ġdid mill-1 ta’ Ottubru 2020. F’Diċembru 2020, il-Parlament emenda l-leġiżlazzjoni rilevanti biex jippermetti l-estensjoni ripetuta tal-istat ta’ emerġenza mill-Gvern b’40 jum b’rekwiżit ta’ approvazzjoni sussegwenti mill-Parlament</w:t>
      </w:r>
      <w:r>
        <w:rPr>
          <w:rStyle w:val="FootnoteReference"/>
          <w:rFonts w:eastAsia="Times New Roman" w:cs="Times New Roman"/>
          <w:noProof/>
          <w:lang w:eastAsia="fr-FR"/>
        </w:rPr>
        <w:footnoteReference w:id="189"/>
      </w:r>
      <w:r>
        <w:rPr>
          <w:noProof/>
        </w:rPr>
        <w:t>. L-istat ta’ emerġenza ntemm fil-15 ta’ Mejju 2021. Il-Qorti Kostituzzjonali għandha l-kompetenza li tistħarreġ il-kostituzzjonalità ta’ dikjarazzjoni ta’ stat ta’ emerġenza u l-estensjoni tiegħu</w:t>
      </w:r>
      <w:r>
        <w:rPr>
          <w:rStyle w:val="FootnoteReference"/>
          <w:rFonts w:eastAsia="Times New Roman" w:cs="Times New Roman"/>
          <w:noProof/>
          <w:lang w:eastAsia="fr-FR"/>
        </w:rPr>
        <w:footnoteReference w:id="190"/>
      </w:r>
      <w:r>
        <w:rPr>
          <w:noProof/>
        </w:rPr>
        <w:t>. Madankollu, il-partijiet ikkonċernati nnutaw li l-limiti ta’ żmien għal stħarriġ bħal dan huma qosra</w:t>
      </w:r>
      <w:r>
        <w:rPr>
          <w:rStyle w:val="FootnoteReference"/>
          <w:rFonts w:eastAsia="Times New Roman" w:cs="Times New Roman"/>
          <w:noProof/>
          <w:lang w:eastAsia="fr-FR"/>
        </w:rPr>
        <w:footnoteReference w:id="191"/>
      </w:r>
      <w:r>
        <w:rPr>
          <w:noProof/>
        </w:rPr>
        <w:t>. Saret petizzjoni lill-Qorti Kostituzzjonali biex tistħarreġ il-kostituzzjonalità tad-dikjarazzjoni u ta’ waħda mill-estensjonijiet, u fiż-żewġ okkażjonijiet iddikjarat il-konformità tagħha mal-leġiżlazzjoni rilevanti</w:t>
      </w:r>
      <w:r>
        <w:rPr>
          <w:rStyle w:val="FootnoteReference"/>
          <w:rFonts w:eastAsia="Times New Roman" w:cs="Times New Roman"/>
          <w:noProof/>
          <w:lang w:eastAsia="fr-FR"/>
        </w:rPr>
        <w:footnoteReference w:id="192"/>
      </w:r>
      <w:r>
        <w:rPr>
          <w:noProof/>
        </w:rPr>
        <w:t>. Il-Qorti Kostituzzjonali stħarrġet ukoll diversi miżuri adottati fil-kuntest tal-pandemija u ċċarat mistoqsijiet b’rabta mal-kompetenza tal-qrati ordinarji li jaġġudikaw fuq miżuri bħal dawn. Madankollu, b’segwitu għal bidliet sussegwenti tal-leġiżlazzjoni</w:t>
      </w:r>
      <w:r>
        <w:rPr>
          <w:rStyle w:val="FootnoteReference"/>
          <w:rFonts w:eastAsia="Times New Roman" w:cs="Times New Roman"/>
          <w:noProof/>
          <w:lang w:eastAsia="fr-FR"/>
        </w:rPr>
        <w:footnoteReference w:id="193"/>
      </w:r>
      <w:r>
        <w:rPr>
          <w:noProof/>
        </w:rPr>
        <w:t>, ġie espress tħassib li d-dritt għal stħarriġ ġudizzjarju ta’ ċerti miżuri jaf mhuwiex garantit biżżejjed</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Id-Difensur Pubbliku tad-Drittijiet u ċ-Ċentru Nazzjonali għad-Drittijiet tal-Bniedem kellhom rwol attiv biex jiddefendu d-drittijiet taċ-ċittadini matul il-pandemija. </w:t>
      </w:r>
      <w:r>
        <w:rPr>
          <w:noProof/>
        </w:rPr>
        <w:t>Id-Difensur Pubbliku tad-Drittijiet huwa korp indipendenti bil-kompitu li jipproteġi d-drittijiet u l-libertajiet fundamentali fil-proċedimenti quddiem l-amministrazzjoni pubblika u korpi pubbliċi oħra, filwaqt li ċ-Ċentru Nazzjonali Slovakk għad-Drittijiet tal-Bniedem huwa l-Istituzzjoni Nazzjonali kompetenti għad-Drittijiet tal-Bniedem kif ukoll il-korp tal-ugwaljanza fis-Slovakkja</w:t>
      </w:r>
      <w:r>
        <w:rPr>
          <w:rStyle w:val="FootnoteReference"/>
          <w:rFonts w:eastAsia="Times New Roman" w:cs="Times New Roman"/>
          <w:noProof/>
          <w:lang w:eastAsia="fr-FR"/>
        </w:rPr>
        <w:footnoteReference w:id="195"/>
      </w:r>
      <w:r>
        <w:rPr>
          <w:noProof/>
        </w:rPr>
        <w:t>. Matul il-pandemija tal-COVID-19, id-Difensur Pubbliku tad-Drittijiet kellu żieda ta’ kważi 50 % f’ilmenti, kif ukoll żieda fit-talbiet mill-pubbliku għal gwida rigward miżuri relatati mal-pandemija</w:t>
      </w:r>
      <w:r>
        <w:rPr>
          <w:rStyle w:val="FootnoteReference"/>
          <w:rFonts w:eastAsia="Times New Roman" w:cs="Times New Roman"/>
          <w:noProof/>
          <w:lang w:eastAsia="fr-FR"/>
        </w:rPr>
        <w:footnoteReference w:id="196"/>
      </w:r>
      <w:r>
        <w:rPr>
          <w:noProof/>
        </w:rPr>
        <w:t>. L-ammont ta’ xogħol taċ-Ċentru Nazzjonali għad-Drittijiet tal-Bniedem kien paragunabbli għal dak tal-aħħar snin, iżda l-kontenut tal-ilmenti nbidel, bil-maġġorparti jirrigwardaw miżuri relatati mal-pandemija</w:t>
      </w:r>
      <w:r>
        <w:rPr>
          <w:rStyle w:val="FootnoteReference"/>
          <w:rFonts w:eastAsia="Times New Roman" w:cs="Times New Roman"/>
          <w:noProof/>
          <w:lang w:eastAsia="fr-FR"/>
        </w:rPr>
        <w:footnoteReference w:id="197"/>
      </w:r>
      <w:r>
        <w:rPr>
          <w:noProof/>
        </w:rPr>
        <w:t>. L-istituzzjonijiet sabu ksur f’għadd ta’ oqsma, bħal fir-rigward tal-kwarantina imposta mill-istat ta’ persuni li jaslu lura minn barra l-pajjiż, l-iżolament sħiħ ta’ ċerti insedjamenti tar-Roma, u restrizzjonijiet għall-aċċess għall-kura tas-saħħa u d-dritt għall-edukazzjoni</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Għad hemm fis-seħħ qafas legali abilitanti għall-organizzazzjonijiet tas-soċjetà ċivili iżda feġġ xi tħassib dwar il-limitazzjoni tal-finanzjament ta’ ċerti NGOs</w:t>
      </w:r>
      <w:r>
        <w:rPr>
          <w:b/>
          <w:bCs/>
          <w:noProof/>
          <w:vertAlign w:val="superscript"/>
        </w:rPr>
        <w:t xml:space="preserve"> </w:t>
      </w:r>
      <w:r>
        <w:rPr>
          <w:rStyle w:val="FootnoteReference"/>
          <w:rFonts w:eastAsia="Times New Roman" w:cs="Times New Roman"/>
          <w:b/>
          <w:bCs/>
          <w:noProof/>
          <w:lang w:eastAsia="fr-FR"/>
        </w:rPr>
        <w:footnoteReference w:id="199"/>
      </w:r>
      <w:r>
        <w:rPr>
          <w:b/>
          <w:bCs/>
          <w:noProof/>
        </w:rPr>
        <w:t xml:space="preserve">. </w:t>
      </w:r>
      <w:r>
        <w:rPr>
          <w:noProof/>
        </w:rPr>
        <w:t>L-impenn li s-soċjetà ċivili tkompli tissaħħaħ daħal għalih il-Gvern il-ġdid</w:t>
      </w:r>
      <w:r>
        <w:rPr>
          <w:rStyle w:val="FootnoteReference"/>
          <w:rFonts w:eastAsia="Times New Roman" w:cs="Times New Roman"/>
          <w:noProof/>
          <w:lang w:eastAsia="fr-FR"/>
        </w:rPr>
        <w:footnoteReference w:id="200"/>
      </w:r>
      <w:r>
        <w:rPr>
          <w:noProof/>
        </w:rPr>
        <w:t>. F’Diċembru 2020 tnieda Reġistru ġdid tal-Organizzazzjonijiet Mhux Governattivi Mingħajr Skop ta’ Qligħ</w:t>
      </w:r>
      <w:r>
        <w:rPr>
          <w:rStyle w:val="FootnoteReference"/>
          <w:rFonts w:eastAsia="Times New Roman" w:cs="Times New Roman"/>
          <w:noProof/>
          <w:lang w:eastAsia="fr-FR"/>
        </w:rPr>
        <w:footnoteReference w:id="201"/>
      </w:r>
      <w:r>
        <w:rPr>
          <w:noProof/>
        </w:rPr>
        <w:t>. Jirrappreżenta reġistru pubbliku uniku tal-organizzazzjonijiet kollha definiti mill-Att rispettiv li joperaw fis-Slovakkja u għandu l-għan li jkompli jtejjeb it-trasparenza. Ġie rrapportat tħassib mill-partijiet ikkonċernati rigward attakki verbali minn awtoritajiet pubbliċi u politiċi fuq attivisti u organizzazzjonijiet tas-soċjetà ċivili</w:t>
      </w:r>
      <w:r>
        <w:rPr>
          <w:rStyle w:val="FootnoteReference"/>
          <w:rFonts w:eastAsia="Times New Roman" w:cs="Times New Roman"/>
          <w:noProof/>
          <w:lang w:eastAsia="fr-FR"/>
        </w:rPr>
        <w:footnoteReference w:id="202"/>
      </w:r>
      <w:r>
        <w:rPr>
          <w:noProof/>
        </w:rPr>
        <w:t xml:space="preserve"> u l-limitazzjoni apposta tal-fondi pubbliċi għal organizzazzjonijiet li jippromwovu l-ugwaljanza bejn il-ġeneri</w:t>
      </w:r>
      <w:r>
        <w:rPr>
          <w:rStyle w:val="FootnoteReference"/>
          <w:rFonts w:eastAsia="Times New Roman" w:cs="Times New Roman"/>
          <w:noProof/>
          <w:lang w:eastAsia="fr-FR"/>
        </w:rPr>
        <w:footnoteReference w:id="203"/>
      </w:r>
      <w:r>
        <w:rPr>
          <w:noProof/>
        </w:rPr>
        <w:t>. Barra minn hekk, il-pandemija tal-COVID-19 poġġiet taħt pressjoni l-operat ta’ għadd ta’ organizzazzjonijiet tas-soċjetà ċivili u l-partijiet ikkonċernati esprimew tħassib partikolari fir-rigward tar-riperkussjonijiet ġenerali tal-pandemija fuq is-sitwazzjoni finanzjarja tal-NGOs</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Anness I: Lista ta’ sorsi f’ordni alfabetiku*</w:t>
      </w:r>
    </w:p>
    <w:p>
      <w:pPr>
        <w:spacing w:after="120"/>
        <w:rPr>
          <w:rFonts w:eastAsia="Times New Roman" w:cs="Times New Roman"/>
          <w:i/>
          <w:iCs/>
          <w:noProof/>
          <w:sz w:val="22"/>
        </w:rPr>
      </w:pPr>
      <w:r>
        <w:rPr>
          <w:i/>
          <w:iCs/>
          <w:noProof/>
          <w:sz w:val="22"/>
        </w:rPr>
        <w:t xml:space="preserve">* Il-lista ta’ kontributi riċevuti fil-kuntest tal-konsultazzjoni għar-rapport tal-2021 dwar l-Istat tad-Dritt tinsab hawnhekk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iCs/>
          <w:noProof/>
          <w:sz w:val="22"/>
        </w:rPr>
        <w:t xml:space="preserve">Aktuality.sk (2021), </w:t>
      </w:r>
      <w:r>
        <w:rPr>
          <w:i/>
          <w:iCs/>
          <w:noProof/>
          <w:sz w:val="22"/>
        </w:rPr>
        <w:t>NAKA għal darb’oħra żżomm arrestati lil Kvietik u diversi persuni mill-Fond Slovakk tal-Artijiet</w:t>
      </w:r>
      <w:r>
        <w:rPr>
          <w:iCs/>
          <w:noProof/>
          <w:sz w:val="22"/>
        </w:rPr>
        <w:t xml:space="preserve"> (</w:t>
      </w:r>
      <w:r>
        <w:rPr>
          <w:i/>
          <w:iCs/>
          <w:noProof/>
          <w:sz w:val="22"/>
        </w:rPr>
        <w:t>NAKA opäť zadržala finančníka Kvietika aj viacero ľudí zo Slovenského pozemkového fondu</w:t>
      </w:r>
      <w:r>
        <w:rPr>
          <w:iCs/>
          <w:noProof/>
          <w:sz w:val="22"/>
        </w:rPr>
        <w:t>)</w:t>
      </w:r>
      <w:r>
        <w:rPr>
          <w:noProof/>
          <w:sz w:val="22"/>
        </w:rPr>
        <w:t xml:space="preserve"> (</w:t>
      </w:r>
      <w:hyperlink r:id="rId20" w:history="1">
        <w:r>
          <w:rPr>
            <w:rStyle w:val="Hyperlink"/>
            <w:noProof/>
            <w:sz w:val="22"/>
          </w:rPr>
          <w:t>https://www.aktuality.sk/clanok/892385/naka-opat-zadrzala-financnika-martina-kvietika</w:t>
        </w:r>
      </w:hyperlink>
      <w:r>
        <w:rPr>
          <w:noProof/>
          <w:sz w:val="22"/>
        </w:rPr>
        <w:t>).</w:t>
      </w:r>
    </w:p>
    <w:p>
      <w:pPr>
        <w:spacing w:after="120"/>
        <w:jc w:val="left"/>
        <w:rPr>
          <w:noProof/>
          <w:sz w:val="22"/>
        </w:rPr>
      </w:pPr>
      <w:r>
        <w:rPr>
          <w:noProof/>
          <w:sz w:val="22"/>
        </w:rPr>
        <w:t xml:space="preserve">Il-Bureau tal-Kunsill Konsultattiv ta’ Mħallfin Ewropej (2020), </w:t>
      </w:r>
      <w:r>
        <w:rPr>
          <w:i/>
          <w:iCs/>
          <w:noProof/>
          <w:sz w:val="22"/>
        </w:rPr>
        <w:t>L-Opinjoni tad-9 ta’ Diċembru 2020</w:t>
      </w:r>
      <w:r>
        <w:rPr>
          <w:noProof/>
          <w:sz w:val="22"/>
        </w:rPr>
        <w:t>, CCJE-BU(2020)3.</w:t>
      </w:r>
    </w:p>
    <w:p>
      <w:pPr>
        <w:spacing w:after="120"/>
        <w:rPr>
          <w:rFonts w:eastAsia="Times New Roman" w:cs="Times New Roman"/>
          <w:noProof/>
          <w:sz w:val="22"/>
        </w:rPr>
      </w:pPr>
      <w:r>
        <w:rPr>
          <w:noProof/>
          <w:sz w:val="22"/>
        </w:rPr>
        <w:t xml:space="preserve">Iċ-Ċentru għall-Pluraliżmu u l-Libertà tal-Media (2021), </w:t>
      </w:r>
      <w:r>
        <w:rPr>
          <w:i/>
          <w:iCs/>
          <w:noProof/>
          <w:sz w:val="22"/>
        </w:rPr>
        <w:t>l-Għodda għall-Monitoraġġ tal-Pluraliżmu tal-Media 2021</w:t>
      </w:r>
      <w:r>
        <w:rPr>
          <w:noProof/>
          <w:sz w:val="22"/>
        </w:rPr>
        <w:t>.</w:t>
      </w:r>
    </w:p>
    <w:p>
      <w:pPr>
        <w:spacing w:after="120"/>
        <w:rPr>
          <w:rFonts w:eastAsia="Times New Roman" w:cs="Times New Roman"/>
          <w:i/>
          <w:iCs/>
          <w:noProof/>
          <w:sz w:val="22"/>
        </w:rPr>
      </w:pPr>
      <w:r>
        <w:rPr>
          <w:noProof/>
          <w:sz w:val="22"/>
        </w:rPr>
        <w:t xml:space="preserve">L-Unjoni tal-Libertajiet Ċivili għall-Ewropa (2021), </w:t>
      </w:r>
      <w:r>
        <w:rPr>
          <w:i/>
          <w:iCs/>
          <w:noProof/>
          <w:sz w:val="22"/>
        </w:rPr>
        <w:t>Kontribut għall-Ewropa għar-Rapport tal-2021 dwar l-Istat tad-Dritt.</w:t>
      </w:r>
    </w:p>
    <w:p>
      <w:pPr>
        <w:spacing w:after="120"/>
        <w:jc w:val="left"/>
        <w:rPr>
          <w:noProof/>
          <w:sz w:val="22"/>
        </w:rPr>
      </w:pPr>
      <w:r>
        <w:rPr>
          <w:noProof/>
          <w:sz w:val="22"/>
        </w:rPr>
        <w:t xml:space="preserve">Il-Pjattaforma ta’ Komunikazzjoni tal-imħallfin Slovakki u l-Assoċjazzjoni tal-imħallfin Slovakki (2021), </w:t>
      </w:r>
      <w:r>
        <w:rPr>
          <w:i/>
          <w:iCs/>
          <w:noProof/>
          <w:sz w:val="22"/>
        </w:rPr>
        <w:t>kontribut għar-Rapport tal-2021 dwar l-Istat tad-Dritt.</w:t>
      </w:r>
    </w:p>
    <w:p>
      <w:pPr>
        <w:spacing w:after="120"/>
        <w:jc w:val="left"/>
        <w:rPr>
          <w:noProof/>
          <w:sz w:val="22"/>
        </w:rPr>
      </w:pPr>
      <w:r>
        <w:rPr>
          <w:noProof/>
          <w:sz w:val="22"/>
        </w:rPr>
        <w:t xml:space="preserve">Il-Kunsill tal-Ewropa: Il-Kumitat tal-Ministri (2010), </w:t>
      </w:r>
      <w:r>
        <w:rPr>
          <w:i/>
          <w:iCs/>
          <w:noProof/>
          <w:sz w:val="22"/>
        </w:rPr>
        <w:t>Recommendation CM/Rec(2010)12 of the Committee of Ministers to member states on judges: independence, efficiency and responsibilities.</w:t>
      </w:r>
    </w:p>
    <w:p>
      <w:pPr>
        <w:spacing w:after="120"/>
        <w:rPr>
          <w:rFonts w:eastAsia="Times New Roman" w:cs="Times New Roman"/>
          <w:i/>
          <w:iCs/>
          <w:noProof/>
          <w:sz w:val="22"/>
        </w:rPr>
      </w:pPr>
      <w:r>
        <w:rPr>
          <w:noProof/>
          <w:sz w:val="22"/>
        </w:rPr>
        <w:t xml:space="preserve">Il-Kunsill tal-Ewropa (2020): </w:t>
      </w:r>
      <w:r>
        <w:rPr>
          <w:i/>
          <w:iCs/>
          <w:noProof/>
          <w:sz w:val="22"/>
        </w:rPr>
        <w:t>Ir-Rakkomandazzjoni tal-20 ta’ Mejju 2020 dwar il-Programm Nazzjonali ta’ Riforma tas-Slovakkja tal-2020 u li tagħti opinjoni tal-Kunsill dwar il-Programm ta’ Stabbiltà tas-Slovakkja tal-2020, COM(2020) 525 final.</w:t>
      </w:r>
    </w:p>
    <w:p>
      <w:pPr>
        <w:spacing w:after="120"/>
        <w:rPr>
          <w:rFonts w:eastAsia="Times New Roman" w:cs="Times New Roman"/>
          <w:noProof/>
          <w:sz w:val="22"/>
        </w:rPr>
      </w:pPr>
      <w:r>
        <w:rPr>
          <w:noProof/>
          <w:sz w:val="22"/>
        </w:rPr>
        <w:t xml:space="preserve">Il-Kunsill tal-Ewropa: Il-Kummissjoni ta’ Venezja (2005), </w:t>
      </w:r>
      <w:r>
        <w:rPr>
          <w:i/>
          <w:iCs/>
          <w:noProof/>
          <w:sz w:val="22"/>
        </w:rPr>
        <w:t>Second interim opinion on constitutional reforms in the Republic of Armenia, CDL-AD(2005)016</w:t>
      </w:r>
      <w:r>
        <w:rPr>
          <w:noProof/>
          <w:sz w:val="22"/>
        </w:rPr>
        <w:t>.</w:t>
      </w:r>
    </w:p>
    <w:p>
      <w:pPr>
        <w:spacing w:after="120"/>
        <w:rPr>
          <w:rFonts w:eastAsia="Times New Roman" w:cs="Times New Roman"/>
          <w:noProof/>
          <w:sz w:val="22"/>
        </w:rPr>
      </w:pPr>
      <w:r>
        <w:rPr>
          <w:noProof/>
          <w:color w:val="000000" w:themeColor="text1"/>
          <w:sz w:val="22"/>
        </w:rPr>
        <w:t>Il-Kunsill tal-Ewropa</w:t>
      </w:r>
      <w:r>
        <w:rPr>
          <w:noProof/>
          <w:sz w:val="22"/>
        </w:rPr>
        <w:t xml:space="preserve">: Il-Kummissjoni ta’ Venezja (2010), </w:t>
      </w:r>
      <w:r>
        <w:rPr>
          <w:i/>
          <w:iCs/>
          <w:noProof/>
          <w:sz w:val="22"/>
        </w:rPr>
        <w:t>Report on Constitutional Amendment, CDL-AD(2010)001</w:t>
      </w:r>
      <w:r>
        <w:rPr>
          <w:noProof/>
          <w:sz w:val="22"/>
        </w:rPr>
        <w:t>.</w:t>
      </w:r>
    </w:p>
    <w:p>
      <w:pPr>
        <w:spacing w:after="120"/>
        <w:rPr>
          <w:rFonts w:eastAsia="Times New Roman" w:cs="Times New Roman"/>
          <w:i/>
          <w:iCs/>
          <w:noProof/>
          <w:sz w:val="22"/>
        </w:rPr>
      </w:pPr>
      <w:r>
        <w:rPr>
          <w:noProof/>
          <w:sz w:val="22"/>
        </w:rPr>
        <w:t xml:space="preserve">Il-Kunsill tal-Ewropa, il-Kummissjoni ta’ Venezja (2013), </w:t>
      </w:r>
      <w:r>
        <w:rPr>
          <w:i/>
          <w:iCs/>
          <w:noProof/>
          <w:sz w:val="22"/>
        </w:rPr>
        <w:t>Opinion on the Draft Amendments to the Organic Law on Courts of General Jurisdiction of Georgia, CDL-AD(2013)007-e.</w:t>
      </w:r>
    </w:p>
    <w:p>
      <w:pPr>
        <w:spacing w:after="120"/>
        <w:rPr>
          <w:rFonts w:eastAsia="Times New Roman" w:cs="Times New Roman"/>
          <w:i/>
          <w:iCs/>
          <w:noProof/>
          <w:sz w:val="22"/>
        </w:rPr>
      </w:pPr>
      <w:r>
        <w:rPr>
          <w:noProof/>
          <w:sz w:val="22"/>
        </w:rPr>
        <w:t xml:space="preserve">Il-Kunsill Konsultattiv ta’ Mħallfin Ewropej (2007), </w:t>
      </w:r>
      <w:r>
        <w:rPr>
          <w:i/>
          <w:iCs/>
          <w:noProof/>
          <w:sz w:val="22"/>
        </w:rPr>
        <w:t>L-Opinjoni Nru 10.</w:t>
      </w:r>
    </w:p>
    <w:p>
      <w:pPr>
        <w:spacing w:after="120"/>
        <w:rPr>
          <w:rFonts w:eastAsia="Times New Roman" w:cs="Times New Roman"/>
          <w:noProof/>
          <w:sz w:val="22"/>
        </w:rPr>
      </w:pPr>
      <w:r>
        <w:rPr>
          <w:noProof/>
          <w:sz w:val="22"/>
        </w:rPr>
        <w:t xml:space="preserve">Il-Kunsill Konsultattiv ta’ Mħallfin Ewropej (2016), </w:t>
      </w:r>
      <w:r>
        <w:rPr>
          <w:i/>
          <w:iCs/>
          <w:noProof/>
          <w:sz w:val="22"/>
        </w:rPr>
        <w:t>L-Opinjoni Nru 19</w:t>
      </w:r>
      <w:r>
        <w:rPr>
          <w:noProof/>
          <w:sz w:val="22"/>
        </w:rPr>
        <w:t>.</w:t>
      </w:r>
    </w:p>
    <w:p>
      <w:pPr>
        <w:spacing w:after="120"/>
        <w:rPr>
          <w:rFonts w:eastAsia="Times New Roman" w:cs="Times New Roman"/>
          <w:noProof/>
          <w:sz w:val="22"/>
        </w:rPr>
      </w:pPr>
      <w:r>
        <w:rPr>
          <w:noProof/>
          <w:sz w:val="22"/>
        </w:rPr>
        <w:t xml:space="preserve">Il-Qorti tal-Ġustizzja tal-Unjoni Ewropea, is-Sentenza tal-25 ta’ Lulju 2018, </w:t>
      </w:r>
      <w:r>
        <w:rPr>
          <w:i/>
          <w:iCs/>
          <w:noProof/>
          <w:sz w:val="22"/>
        </w:rPr>
        <w:t>LM</w:t>
      </w:r>
      <w:r>
        <w:rPr>
          <w:noProof/>
          <w:sz w:val="22"/>
        </w:rPr>
        <w:t xml:space="preserve">, C‑216/18 PPU. </w:t>
      </w:r>
    </w:p>
    <w:p>
      <w:pPr>
        <w:spacing w:after="120"/>
        <w:rPr>
          <w:rFonts w:eastAsia="Times New Roman" w:cs="Times New Roman"/>
          <w:noProof/>
          <w:sz w:val="22"/>
        </w:rPr>
      </w:pPr>
      <w:r>
        <w:rPr>
          <w:noProof/>
          <w:sz w:val="22"/>
        </w:rPr>
        <w:t xml:space="preserve">Il-Qorti tal-Ġustizzja tal-Unjoni Ewropea, is-Sentenza tat-18 ta’ Mejju 2021, </w:t>
      </w:r>
      <w:r>
        <w:rPr>
          <w:i/>
          <w:iCs/>
          <w:noProof/>
          <w:sz w:val="22"/>
        </w:rPr>
        <w:t>Il-Kawżi Magħquda Rumeni</w:t>
      </w:r>
      <w:r>
        <w:rPr>
          <w:noProof/>
          <w:sz w:val="22"/>
        </w:rPr>
        <w:t>, C-83/19, C-127/19, C-195/19, C-291/19, C-355/19 u C-397/19.</w:t>
      </w:r>
    </w:p>
    <w:p>
      <w:pPr>
        <w:spacing w:after="120"/>
        <w:rPr>
          <w:rFonts w:eastAsia="Times New Roman" w:cs="Times New Roman"/>
          <w:noProof/>
          <w:sz w:val="22"/>
        </w:rPr>
      </w:pPr>
      <w:r>
        <w:rPr>
          <w:noProof/>
          <w:sz w:val="22"/>
        </w:rPr>
        <w:t>Il-Qorti tal-Ġustizzja tal-Unjoni Ewropea, is-Sentenza tal-20 ta’ April 2021,</w:t>
      </w:r>
      <w:r>
        <w:rPr>
          <w:rFonts w:ascii="Arial" w:hAnsi="Arial"/>
          <w:noProof/>
          <w:color w:val="000000" w:themeColor="text1"/>
          <w:sz w:val="22"/>
        </w:rPr>
        <w:t xml:space="preserve"> </w:t>
      </w:r>
      <w:r>
        <w:rPr>
          <w:i/>
          <w:iCs/>
          <w:noProof/>
          <w:sz w:val="22"/>
        </w:rPr>
        <w:t>Repubblika</w:t>
      </w:r>
      <w:r>
        <w:rPr>
          <w:noProof/>
          <w:sz w:val="22"/>
        </w:rPr>
        <w:t>, C-896/19.</w:t>
      </w:r>
    </w:p>
    <w:p>
      <w:pPr>
        <w:spacing w:after="120" w:line="254" w:lineRule="auto"/>
        <w:rPr>
          <w:rFonts w:eastAsia="Times New Roman" w:cs="Times New Roman"/>
          <w:noProof/>
          <w:sz w:val="22"/>
        </w:rPr>
      </w:pPr>
      <w:r>
        <w:rPr>
          <w:noProof/>
          <w:sz w:val="22"/>
        </w:rPr>
        <w:t xml:space="preserve">Id-Direttorat Ġenerali għall-Komunikazzjoni (2019), </w:t>
      </w:r>
      <w:r>
        <w:rPr>
          <w:i/>
          <w:iCs/>
          <w:noProof/>
          <w:sz w:val="22"/>
        </w:rPr>
        <w:t>Ewrobarometru Flash 482: l-attitudnijiet tan-negozji fil-konfront tal-korruzzjoni fl-UE</w:t>
      </w:r>
      <w:r>
        <w:rPr>
          <w:noProof/>
          <w:sz w:val="22"/>
        </w:rPr>
        <w:t>.</w:t>
      </w:r>
    </w:p>
    <w:p>
      <w:pPr>
        <w:spacing w:after="120" w:line="254" w:lineRule="auto"/>
        <w:rPr>
          <w:rFonts w:eastAsia="Times New Roman" w:cs="Times New Roman"/>
          <w:noProof/>
          <w:sz w:val="22"/>
        </w:rPr>
      </w:pPr>
      <w:r>
        <w:rPr>
          <w:noProof/>
          <w:sz w:val="22"/>
        </w:rPr>
        <w:t xml:space="preserve">Id-Direttorat Ġenerali għall-Komunikazzjoni (2020), </w:t>
      </w:r>
      <w:r>
        <w:rPr>
          <w:i/>
          <w:iCs/>
          <w:noProof/>
          <w:sz w:val="22"/>
        </w:rPr>
        <w:t>Ewrobarometru Speċjali 502: il-korruzzjoni</w:t>
      </w:r>
      <w:r>
        <w:rPr>
          <w:noProof/>
          <w:sz w:val="22"/>
        </w:rPr>
        <w:t>.</w:t>
      </w:r>
    </w:p>
    <w:p>
      <w:pPr>
        <w:spacing w:after="120"/>
        <w:rPr>
          <w:rFonts w:eastAsia="Times New Roman" w:cs="Times New Roman"/>
          <w:noProof/>
          <w:sz w:val="22"/>
        </w:rPr>
      </w:pPr>
      <w:r>
        <w:rPr>
          <w:noProof/>
          <w:sz w:val="22"/>
        </w:rPr>
        <w:t xml:space="preserve">Il-Kummissjoni Ewropea (2020), </w:t>
      </w:r>
      <w:r>
        <w:rPr>
          <w:i/>
          <w:iCs/>
          <w:noProof/>
          <w:sz w:val="22"/>
        </w:rPr>
        <w:t>Rapport dwar l-Istat tad-Dritt, il-Kapitolu tal-Pajjiż dwar is-sitwazzjoni tal-istat tad-dritt fis-</w:t>
      </w:r>
      <w:r>
        <w:rPr>
          <w:noProof/>
          <w:sz w:val="22"/>
        </w:rPr>
        <w:t xml:space="preserve">Slovakkja. </w:t>
      </w:r>
    </w:p>
    <w:p>
      <w:pPr>
        <w:spacing w:after="120"/>
        <w:rPr>
          <w:rFonts w:eastAsia="Times New Roman" w:cs="Times New Roman"/>
          <w:noProof/>
          <w:sz w:val="22"/>
        </w:rPr>
      </w:pPr>
      <w:r>
        <w:rPr>
          <w:noProof/>
          <w:sz w:val="22"/>
        </w:rPr>
        <w:t xml:space="preserve">Il-Kummissjoni Ewropea (2021), </w:t>
      </w:r>
      <w:r>
        <w:rPr>
          <w:i/>
          <w:iCs/>
          <w:noProof/>
          <w:sz w:val="22"/>
        </w:rPr>
        <w:t>Tabella ta’ Valutazzjoni tal-Ġustizzja tal-UE</w:t>
      </w:r>
      <w:r>
        <w:rPr>
          <w:noProof/>
          <w:sz w:val="22"/>
        </w:rPr>
        <w:t>.</w:t>
      </w:r>
    </w:p>
    <w:p>
      <w:pPr>
        <w:spacing w:after="120"/>
        <w:rPr>
          <w:rFonts w:eastAsia="Times New Roman" w:cs="Times New Roman"/>
          <w:noProof/>
          <w:color w:val="0563C1"/>
          <w:sz w:val="22"/>
          <w:u w:val="single"/>
        </w:rPr>
      </w:pPr>
      <w:r>
        <w:rPr>
          <w:noProof/>
          <w:sz w:val="22"/>
        </w:rPr>
        <w:t>Il-Kummissjoni Ewropea (2021), Stqarrija għall-istampa Nru 03/2021, OLAF closes cases on EU agricultural funds in Slovakia (</w:t>
      </w:r>
      <w:hyperlink r:id="rId21" w:history="1">
        <w:r>
          <w:rPr>
            <w:rStyle w:val="Hyperlink"/>
            <w:noProof/>
            <w:sz w:val="22"/>
          </w:rPr>
          <w:t>https://ec.europa.eu/anti-fraud/media-corner/news/21-01-2021/olaf-closes-cases-eu-agricultural-funds-slovakia_mt</w:t>
        </w:r>
      </w:hyperlink>
      <w:r>
        <w:rPr>
          <w:noProof/>
          <w:sz w:val="22"/>
        </w:rPr>
        <w:t>).</w:t>
      </w:r>
    </w:p>
    <w:p>
      <w:pPr>
        <w:spacing w:after="120"/>
        <w:rPr>
          <w:rFonts w:eastAsia="Times New Roman" w:cs="Times New Roman"/>
          <w:noProof/>
          <w:sz w:val="22"/>
        </w:rPr>
      </w:pPr>
      <w:r>
        <w:rPr>
          <w:noProof/>
          <w:sz w:val="22"/>
        </w:rPr>
        <w:t xml:space="preserve">Il-Kummissjoni Ewropea, imwettaq mill-Kummissjoni tal-Kunsill tal-Ewropa għall-Effiċjenza tal-Ġustizzja (2017), </w:t>
      </w:r>
      <w:r>
        <w:rPr>
          <w:i/>
          <w:iCs/>
          <w:noProof/>
          <w:sz w:val="22"/>
        </w:rPr>
        <w:t>Efficiency and quality of the Slovak judicial system, Assessment And recommendations on the basis of CEPEJ tools</w:t>
      </w:r>
      <w:r>
        <w:rPr>
          <w:noProof/>
          <w:sz w:val="22"/>
        </w:rPr>
        <w:t>, CEPEJ-COOP(2017)14.</w:t>
      </w:r>
    </w:p>
    <w:p>
      <w:pPr>
        <w:spacing w:after="120"/>
        <w:rPr>
          <w:rFonts w:eastAsia="Times New Roman" w:cs="Times New Roman"/>
          <w:noProof/>
          <w:sz w:val="22"/>
        </w:rPr>
      </w:pPr>
      <w:r>
        <w:rPr>
          <w:noProof/>
          <w:sz w:val="22"/>
        </w:rPr>
        <w:t xml:space="preserve">Il-Kummissjoni Ewropea, imwettaq mill-Kummissjoni tal-Kunsill tal-Ewropa għall-Effiċjenza tal-Ġustizzja (2020), </w:t>
      </w:r>
      <w:r>
        <w:rPr>
          <w:i/>
          <w:iCs/>
          <w:noProof/>
          <w:sz w:val="22"/>
        </w:rPr>
        <w:t>CEPEJ Experts’ review of the Judicial Map Reform in the Slovak Republic</w:t>
      </w:r>
      <w:r>
        <w:rPr>
          <w:noProof/>
          <w:sz w:val="22"/>
        </w:rPr>
        <w:t>.</w:t>
      </w:r>
    </w:p>
    <w:p>
      <w:pPr>
        <w:spacing w:after="120"/>
        <w:rPr>
          <w:rFonts w:eastAsia="Times New Roman" w:cs="Times New Roman"/>
          <w:noProof/>
          <w:sz w:val="22"/>
        </w:rPr>
      </w:pPr>
      <w:r>
        <w:rPr>
          <w:noProof/>
          <w:sz w:val="22"/>
        </w:rPr>
        <w:t xml:space="preserve">Il-Kummissjoni Ewropea, imwettaq mill-Kummissjoni tal-Kunsill tal-Ewropa għall-Effiċjenza tal-Ġustizzja, </w:t>
      </w:r>
      <w:r>
        <w:rPr>
          <w:i/>
          <w:iCs/>
          <w:noProof/>
          <w:sz w:val="22"/>
        </w:rPr>
        <w:t>Annual Study</w:t>
      </w:r>
      <w:r>
        <w:rPr>
          <w:noProof/>
          <w:sz w:val="22"/>
        </w:rPr>
        <w:t>.</w:t>
      </w:r>
    </w:p>
    <w:p>
      <w:pPr>
        <w:spacing w:after="120"/>
        <w:rPr>
          <w:rFonts w:eastAsia="Times New Roman" w:cs="Times New Roman"/>
          <w:noProof/>
          <w:sz w:val="22"/>
        </w:rPr>
      </w:pPr>
      <w:r>
        <w:rPr>
          <w:noProof/>
          <w:sz w:val="22"/>
        </w:rPr>
        <w:t xml:space="preserve">Il-Qorti Ewropea tad-Drittijiet tal-Bniedem, is-Sentenza tal-24 ta’ Lulju 2012, </w:t>
      </w:r>
      <w:r>
        <w:rPr>
          <w:i/>
          <w:iCs/>
          <w:noProof/>
          <w:sz w:val="22"/>
        </w:rPr>
        <w:t>Maxian and Maxianova</w:t>
      </w:r>
      <w:r>
        <w:rPr>
          <w:noProof/>
          <w:sz w:val="22"/>
        </w:rPr>
        <w:t>, 44482/09, l-istatus tal-eżekuzzjoni (</w:t>
      </w:r>
      <w:hyperlink r:id="rId22"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 xml:space="preserve">Il-Qorti Ewropea tad-Drittijiet tal-Bniedem, is-Sentenza tal-15 ta’ Settembru 2015, </w:t>
      </w:r>
      <w:r>
        <w:rPr>
          <w:i/>
          <w:iCs/>
          <w:noProof/>
          <w:sz w:val="22"/>
        </w:rPr>
        <w:t>Javor and Javorova</w:t>
      </w:r>
      <w:r>
        <w:rPr>
          <w:iCs/>
          <w:noProof/>
          <w:sz w:val="22"/>
        </w:rPr>
        <w:t xml:space="preserve">, 42360/10, </w:t>
      </w:r>
      <w:r>
        <w:rPr>
          <w:noProof/>
          <w:sz w:val="22"/>
        </w:rPr>
        <w:t>l-istatus tal-eżekuzzjoni (</w:t>
      </w:r>
      <w:hyperlink r:id="rId23"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 xml:space="preserve">Il-Qorti Ewropea tad-Drittijiet tal-Bniedem, is-Sentenza tas-27 ta’ Ġunju 2017, </w:t>
      </w:r>
      <w:r>
        <w:rPr>
          <w:i/>
          <w:noProof/>
          <w:sz w:val="22"/>
        </w:rPr>
        <w:t>Ivan</w:t>
      </w:r>
      <w:r>
        <w:rPr>
          <w:noProof/>
          <w:sz w:val="22"/>
        </w:rPr>
        <w:t>, 57405/15, l-istatus tal-eżekuzzjoni (</w:t>
      </w:r>
      <w:hyperlink r:id="rId24"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 xml:space="preserve">Il-Qorti Ewropea tad-Drittijiet tal-Bniedem, is-Sentenza tal-31 ta’ Awwissu 2018, </w:t>
      </w:r>
      <w:r>
        <w:rPr>
          <w:i/>
          <w:noProof/>
          <w:sz w:val="22"/>
        </w:rPr>
        <w:t>Balogh and others</w:t>
      </w:r>
      <w:r>
        <w:rPr>
          <w:noProof/>
          <w:sz w:val="22"/>
        </w:rPr>
        <w:t>, 35142/15, l-istatus tal-eżekuzzjoni (</w:t>
      </w:r>
      <w:hyperlink r:id="rId25"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 xml:space="preserve">Il-Qorti Ewropea tad-Drittijiet tal-Bniedem, is-Sentenza tad-9 ta’ Marzu 2021, </w:t>
      </w:r>
      <w:r>
        <w:rPr>
          <w:i/>
          <w:iCs/>
          <w:noProof/>
          <w:sz w:val="22"/>
        </w:rPr>
        <w:t>Bilgen v Turkey</w:t>
      </w:r>
      <w:r>
        <w:rPr>
          <w:noProof/>
          <w:sz w:val="22"/>
        </w:rPr>
        <w:t>, 1571/07.</w:t>
      </w:r>
    </w:p>
    <w:p>
      <w:pPr>
        <w:spacing w:after="120"/>
        <w:rPr>
          <w:rFonts w:eastAsia="Times New Roman" w:cs="Times New Roman"/>
          <w:noProof/>
          <w:sz w:val="22"/>
        </w:rPr>
      </w:pPr>
      <w:r>
        <w:rPr>
          <w:noProof/>
          <w:sz w:val="22"/>
        </w:rPr>
        <w:t xml:space="preserve">In-Network Ewropew tal-Kunsilli għall-Ġudikatura (2012-2013), </w:t>
      </w:r>
      <w:r>
        <w:rPr>
          <w:i/>
          <w:iCs/>
          <w:noProof/>
          <w:sz w:val="22"/>
        </w:rPr>
        <w:t>Rapport dwar l-Istandards Minimi għall-evalwazzjoni tal-prestazzjoni professjonali u l-irrimovibbiltà tal-membri tal-ġudikatura</w:t>
      </w:r>
      <w:r>
        <w:rPr>
          <w:noProof/>
          <w:sz w:val="22"/>
        </w:rPr>
        <w:t>.</w:t>
      </w:r>
    </w:p>
    <w:p>
      <w:pPr>
        <w:spacing w:after="120"/>
        <w:rPr>
          <w:rFonts w:eastAsia="Times New Roman" w:cs="Times New Roman"/>
          <w:noProof/>
          <w:sz w:val="22"/>
        </w:rPr>
      </w:pPr>
      <w:r>
        <w:rPr>
          <w:noProof/>
          <w:sz w:val="22"/>
        </w:rPr>
        <w:t xml:space="preserve">In-Network Ewropew ta’ Istituzzjonijiet Nazzjonali tad-Drittijiet tal-Bniedem (2021), </w:t>
      </w:r>
      <w:r>
        <w:rPr>
          <w:i/>
          <w:iCs/>
          <w:noProof/>
          <w:sz w:val="22"/>
        </w:rPr>
        <w:t>Kontribut għar-Rapport tal-2021 dwar l-Istat tad-Dritt</w:t>
      </w:r>
      <w:r>
        <w:rPr>
          <w:noProof/>
          <w:sz w:val="22"/>
        </w:rPr>
        <w:t>.</w:t>
      </w:r>
    </w:p>
    <w:p>
      <w:pPr>
        <w:spacing w:after="120"/>
        <w:rPr>
          <w:rFonts w:eastAsia="Times New Roman" w:cs="Times New Roman"/>
          <w:noProof/>
          <w:sz w:val="22"/>
        </w:rPr>
      </w:pPr>
      <w:r>
        <w:rPr>
          <w:noProof/>
          <w:sz w:val="22"/>
        </w:rPr>
        <w:t xml:space="preserve">GRECO (2019), </w:t>
      </w:r>
      <w:r>
        <w:rPr>
          <w:i/>
          <w:iCs/>
          <w:noProof/>
          <w:sz w:val="22"/>
        </w:rPr>
        <w:t>Fourth Evaluation Round, Addendum to the Second Compliance Report, Slovak Republic</w:t>
      </w:r>
      <w:r>
        <w:rPr>
          <w:noProof/>
          <w:sz w:val="22"/>
        </w:rPr>
        <w:t>.</w:t>
      </w:r>
    </w:p>
    <w:p>
      <w:pPr>
        <w:spacing w:after="120"/>
        <w:rPr>
          <w:rFonts w:eastAsia="Times New Roman" w:cs="Times New Roman"/>
          <w:noProof/>
          <w:sz w:val="22"/>
        </w:rPr>
      </w:pPr>
      <w:r>
        <w:rPr>
          <w:noProof/>
          <w:sz w:val="22"/>
        </w:rPr>
        <w:t xml:space="preserve">GRECO (2019), </w:t>
      </w:r>
      <w:r>
        <w:rPr>
          <w:i/>
          <w:iCs/>
          <w:noProof/>
          <w:sz w:val="22"/>
        </w:rPr>
        <w:t>Fifth Evaluation Round – Evaluation Report, Slovak Republic</w:t>
      </w:r>
      <w:r>
        <w:rPr>
          <w:noProof/>
          <w:sz w:val="22"/>
        </w:rPr>
        <w:t>.</w:t>
      </w:r>
    </w:p>
    <w:p>
      <w:pPr>
        <w:spacing w:after="120"/>
        <w:rPr>
          <w:rFonts w:eastAsia="Times New Roman" w:cs="Times New Roman"/>
          <w:i/>
          <w:iCs/>
          <w:noProof/>
          <w:sz w:val="22"/>
        </w:rPr>
      </w:pPr>
      <w:r>
        <w:rPr>
          <w:noProof/>
          <w:sz w:val="22"/>
        </w:rPr>
        <w:t>GRECO (2021),</w:t>
      </w:r>
      <w:r>
        <w:rPr>
          <w:i/>
          <w:iCs/>
          <w:noProof/>
          <w:sz w:val="22"/>
        </w:rPr>
        <w:t xml:space="preserve"> Fourth Evaluation Round, Second Addendum to the Second Compliance Report, Slovak Republic.</w:t>
      </w:r>
    </w:p>
    <w:p>
      <w:pPr>
        <w:spacing w:after="120"/>
        <w:rPr>
          <w:rFonts w:eastAsia="Times New Roman" w:cs="Times New Roman"/>
          <w:noProof/>
          <w:color w:val="0563C1"/>
          <w:sz w:val="22"/>
          <w:u w:val="single"/>
        </w:rPr>
      </w:pPr>
      <w:r>
        <w:rPr>
          <w:noProof/>
          <w:sz w:val="22"/>
        </w:rPr>
        <w:t>GRECO (2021), Slovakia: GRECO regrets slow progress in prevention corruption of parliamentarians, judges and prosecutors (</w:t>
      </w:r>
      <w:hyperlink r:id="rId26" w:history="1">
        <w:r>
          <w:rPr>
            <w:rStyle w:val="Hyperlink"/>
            <w:noProof/>
            <w:sz w:val="22"/>
          </w:rPr>
          <w:t>https://www.coe.int/en/web/portal/-/slovakia-greco-regrets-slow-progress-in-preventing-corruption-of-parliamentarians-judges-and-prosecutors</w:t>
        </w:r>
      </w:hyperlink>
      <w:r>
        <w:rPr>
          <w:noProof/>
          <w:sz w:val="22"/>
        </w:rPr>
        <w:t>).</w:t>
      </w:r>
    </w:p>
    <w:p>
      <w:pPr>
        <w:spacing w:after="120"/>
        <w:rPr>
          <w:rFonts w:eastAsia="Times New Roman" w:cs="Times New Roman"/>
          <w:noProof/>
          <w:sz w:val="22"/>
        </w:rPr>
      </w:pPr>
      <w:r>
        <w:rPr>
          <w:noProof/>
          <w:sz w:val="22"/>
        </w:rPr>
        <w:t xml:space="preserve">OECD (2012), </w:t>
      </w:r>
      <w:r>
        <w:rPr>
          <w:i/>
          <w:iCs/>
          <w:noProof/>
          <w:sz w:val="22"/>
        </w:rPr>
        <w:t>L-implimentazzjoni tal-Konvenzjoni tal-OECD dwar il-Ġlieda kontra t-Tixħim, Fażi 3: ir-Repubblika Slovakka</w:t>
      </w:r>
      <w:r>
        <w:rPr>
          <w:noProof/>
          <w:sz w:val="22"/>
        </w:rPr>
        <w:t>.</w:t>
      </w:r>
    </w:p>
    <w:p>
      <w:pPr>
        <w:spacing w:after="120"/>
        <w:rPr>
          <w:rFonts w:eastAsia="Times New Roman" w:cs="Times New Roman"/>
          <w:noProof/>
          <w:sz w:val="22"/>
        </w:rPr>
      </w:pPr>
      <w:r>
        <w:rPr>
          <w:noProof/>
          <w:sz w:val="22"/>
        </w:rPr>
        <w:t xml:space="preserve">OECD (2014), </w:t>
      </w:r>
      <w:r>
        <w:rPr>
          <w:i/>
          <w:iCs/>
          <w:noProof/>
          <w:sz w:val="22"/>
        </w:rPr>
        <w:t>L-implimentazzjoni tal-Konvenzjoni tal-OECD dwar il-Ġlieda kontra t-Tixħim, Segwitu għar-Rapport u Rakkomandazzjoni tal-Fażi 3: ir-Repubblika Slovakka</w:t>
      </w:r>
      <w:r>
        <w:rPr>
          <w:noProof/>
          <w:sz w:val="22"/>
        </w:rPr>
        <w:t>.</w:t>
      </w:r>
    </w:p>
    <w:p>
      <w:pPr>
        <w:spacing w:after="120"/>
        <w:rPr>
          <w:rFonts w:eastAsia="Times New Roman" w:cs="Times New Roman"/>
          <w:noProof/>
          <w:sz w:val="22"/>
        </w:rPr>
      </w:pPr>
      <w:r>
        <w:rPr>
          <w:noProof/>
          <w:sz w:val="22"/>
        </w:rPr>
        <w:t xml:space="preserve">OECD (2017), </w:t>
      </w:r>
      <w:r>
        <w:rPr>
          <w:i/>
          <w:iCs/>
          <w:noProof/>
          <w:sz w:val="22"/>
        </w:rPr>
        <w:t>L-implimentazzjoni tal-Konvenzjoni tal-OECD dwar il-Ġlieda kontra t-Tixħim, Rapport dwar il-Fażi 1a: ir-Repubblika Slovakka</w:t>
      </w:r>
      <w:r>
        <w:rPr>
          <w:noProof/>
          <w:sz w:val="22"/>
        </w:rPr>
        <w:t>.</w:t>
      </w:r>
    </w:p>
    <w:p>
      <w:pPr>
        <w:spacing w:after="120"/>
        <w:rPr>
          <w:rFonts w:eastAsia="Times New Roman" w:cs="Times New Roman"/>
          <w:noProof/>
          <w:sz w:val="22"/>
        </w:rPr>
      </w:pPr>
      <w:r>
        <w:rPr>
          <w:noProof/>
          <w:sz w:val="22"/>
        </w:rPr>
        <w:t xml:space="preserve">Id-Difensur Pubbliku tad-Drittijiet (2020), </w:t>
      </w:r>
      <w:r>
        <w:rPr>
          <w:i/>
          <w:noProof/>
          <w:sz w:val="22"/>
        </w:rPr>
        <w:t>Ir-Rapport Annwali dwar l-attivitajiet tad-Difensur Pubbliku tad-Drittijiet</w:t>
      </w:r>
      <w:r>
        <w:rPr>
          <w:noProof/>
          <w:sz w:val="22"/>
        </w:rPr>
        <w:t xml:space="preserve"> (</w:t>
      </w:r>
      <w:r>
        <w:rPr>
          <w:i/>
          <w:noProof/>
          <w:sz w:val="22"/>
        </w:rPr>
        <w:t>Správa o činnosti verejného ochrancu práv za obdobie roka 2020</w:t>
      </w:r>
      <w:r>
        <w:rPr>
          <w:noProof/>
          <w:sz w:val="22"/>
        </w:rPr>
        <w:t>), (</w:t>
      </w:r>
      <w:hyperlink r:id="rId27"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sz w:val="22"/>
        </w:rPr>
      </w:pPr>
      <w:r>
        <w:rPr>
          <w:noProof/>
          <w:sz w:val="22"/>
        </w:rPr>
        <w:t>Il-Kamra tal-Avukati Slovakka (2021), Kontribut għar-Rapport tal-2021 dwar l-Istat tad-Dritt.</w:t>
      </w:r>
    </w:p>
    <w:p>
      <w:pPr>
        <w:spacing w:after="120"/>
        <w:rPr>
          <w:rFonts w:eastAsia="Times New Roman" w:cs="Times New Roman"/>
          <w:noProof/>
          <w:color w:val="0563C1"/>
          <w:sz w:val="22"/>
          <w:u w:val="single"/>
        </w:rPr>
      </w:pPr>
      <w:r>
        <w:rPr>
          <w:noProof/>
          <w:sz w:val="22"/>
        </w:rPr>
        <w:t xml:space="preserve">Il-Kamra tal-Avukati Slovakka (2021), </w:t>
      </w:r>
      <w:r>
        <w:rPr>
          <w:i/>
          <w:iCs/>
          <w:noProof/>
          <w:sz w:val="22"/>
        </w:rPr>
        <w:t>Stqarrija għall-istampa tat-23 ta’ Marzu 2021, Il-President tal-Kamra tal-Avukati Slovakka żar lid-Direttur Ġenerali l-ġdid tal-Gwardja tal-Ħabs</w:t>
      </w:r>
      <w:r>
        <w:rPr>
          <w:noProof/>
          <w:sz w:val="22"/>
        </w:rPr>
        <w:t xml:space="preserve"> (</w:t>
      </w:r>
      <w:r>
        <w:rPr>
          <w:i/>
          <w:iCs/>
          <w:noProof/>
          <w:sz w:val="22"/>
        </w:rPr>
        <w:t>Predseda SAK navštívil nového generálneho riaditeľa Zboru väzenskej a justičnej stráže</w:t>
      </w:r>
      <w:r>
        <w:rPr>
          <w:iCs/>
          <w:noProof/>
          <w:sz w:val="22"/>
        </w:rPr>
        <w:t>)</w:t>
      </w:r>
      <w:r>
        <w:rPr>
          <w:i/>
          <w:iCs/>
          <w:noProof/>
          <w:sz w:val="22"/>
        </w:rPr>
        <w:t xml:space="preserve">, </w:t>
      </w:r>
      <w:r>
        <w:rPr>
          <w:noProof/>
          <w:sz w:val="22"/>
        </w:rPr>
        <w:t>(</w:t>
      </w:r>
      <w:hyperlink r:id="rId28" w:history="1">
        <w:r>
          <w:rPr>
            <w:rStyle w:val="Hyperlink"/>
            <w:noProof/>
            <w:sz w:val="22"/>
          </w:rPr>
          <w:t>https://www.sak.sk/web/sk/cms/news/form/list/form/row/596497/_event</w:t>
        </w:r>
      </w:hyperlink>
      <w:r>
        <w:rPr>
          <w:noProof/>
          <w:sz w:val="22"/>
        </w:rPr>
        <w:t>).</w:t>
      </w:r>
    </w:p>
    <w:p>
      <w:pPr>
        <w:spacing w:after="120"/>
        <w:rPr>
          <w:rFonts w:eastAsia="Times New Roman" w:cs="Times New Roman"/>
          <w:noProof/>
          <w:sz w:val="22"/>
        </w:rPr>
      </w:pPr>
      <w:r>
        <w:rPr>
          <w:noProof/>
          <w:sz w:val="22"/>
        </w:rPr>
        <w:t>Il-Qorti Kostituzzjonali Slovakka, is-Sentenza tat-30 ta’ Jannar 2019, Pl ÚS 21/2014-96.</w:t>
      </w:r>
    </w:p>
    <w:p>
      <w:pPr>
        <w:spacing w:after="120"/>
        <w:rPr>
          <w:rFonts w:eastAsia="Times New Roman" w:cs="Times New Roman"/>
          <w:noProof/>
          <w:sz w:val="22"/>
        </w:rPr>
      </w:pPr>
      <w:r>
        <w:rPr>
          <w:noProof/>
          <w:sz w:val="22"/>
        </w:rPr>
        <w:t>Il-Qorti Kostituzzjonali Slovakka, is-Sentenza tal-14 ta’ Ottubru 2020, Pl ÚS 22/2020.</w:t>
      </w:r>
    </w:p>
    <w:p>
      <w:pPr>
        <w:spacing w:after="120"/>
        <w:rPr>
          <w:rFonts w:eastAsia="Times New Roman" w:cs="Times New Roman"/>
          <w:noProof/>
          <w:sz w:val="22"/>
        </w:rPr>
      </w:pPr>
      <w:r>
        <w:rPr>
          <w:noProof/>
          <w:sz w:val="22"/>
        </w:rPr>
        <w:t>Il-Qorti Kostituzzjonali Slovakka, is-Sentenza tal-31 ta’ Marzu 2021, Pl ÚS 2/2021.</w:t>
      </w:r>
    </w:p>
    <w:p>
      <w:pPr>
        <w:spacing w:after="120"/>
        <w:rPr>
          <w:rFonts w:eastAsia="Times New Roman" w:cs="Times New Roman"/>
          <w:noProof/>
          <w:color w:val="0563C1"/>
          <w:sz w:val="22"/>
          <w:u w:val="single"/>
        </w:rPr>
      </w:pPr>
      <w:r>
        <w:rPr>
          <w:noProof/>
          <w:sz w:val="22"/>
        </w:rPr>
        <w:t xml:space="preserve">Il-Gvern Slovakk (2018), </w:t>
      </w:r>
      <w:r>
        <w:rPr>
          <w:i/>
          <w:iCs/>
          <w:noProof/>
          <w:sz w:val="22"/>
        </w:rPr>
        <w:t xml:space="preserve">Il-Politika kontra l-Korruzzjoni tar-Repubblika Slovakka għall-2019-2023 </w:t>
      </w:r>
      <w:r>
        <w:rPr>
          <w:noProof/>
          <w:sz w:val="22"/>
        </w:rPr>
        <w:t>(</w:t>
      </w:r>
      <w:hyperlink r:id="rId29"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Il-Gvern Slovakk (2019), </w:t>
      </w:r>
      <w:r>
        <w:rPr>
          <w:i/>
          <w:iCs/>
          <w:noProof/>
          <w:sz w:val="22"/>
        </w:rPr>
        <w:t>Programm Nazzjonali kontra l-Korruzzjoni tar-Repubblika Slovakka</w:t>
      </w:r>
      <w:r>
        <w:rPr>
          <w:noProof/>
          <w:sz w:val="22"/>
        </w:rPr>
        <w:t xml:space="preserve"> (</w:t>
      </w:r>
      <w:hyperlink r:id="rId30"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 xml:space="preserve">Il-Gvern Slovakk (2020), </w:t>
      </w:r>
      <w:r>
        <w:rPr>
          <w:i/>
          <w:iCs/>
          <w:noProof/>
          <w:sz w:val="22"/>
        </w:rPr>
        <w:t xml:space="preserve">Rapport annwali dwar l-attivitajiet tad-Difensur Pubbliku tad-Drittijiet </w:t>
      </w:r>
      <w:r>
        <w:rPr>
          <w:noProof/>
          <w:sz w:val="22"/>
        </w:rPr>
        <w:t>(</w:t>
      </w:r>
      <w:hyperlink r:id="rId31" w:history="1">
        <w:r>
          <w:rPr>
            <w:rStyle w:val="Hyperlink"/>
            <w:noProof/>
            <w:sz w:val="22"/>
          </w:rPr>
          <w:t>https://www.vop.gov.sk/files/VOP_VS20_SK_1.pdf</w:t>
        </w:r>
      </w:hyperlink>
      <w:r>
        <w:rPr>
          <w:noProof/>
          <w:sz w:val="22"/>
        </w:rPr>
        <w:t>).</w:t>
      </w:r>
    </w:p>
    <w:p>
      <w:pPr>
        <w:spacing w:after="120"/>
        <w:rPr>
          <w:rFonts w:eastAsia="Times New Roman" w:cs="Times New Roman"/>
          <w:i/>
          <w:iCs/>
          <w:noProof/>
          <w:sz w:val="22"/>
        </w:rPr>
      </w:pPr>
      <w:r>
        <w:rPr>
          <w:noProof/>
          <w:sz w:val="22"/>
        </w:rPr>
        <w:t xml:space="preserve">Il-Gvern Slovakk (2021), </w:t>
      </w:r>
      <w:r>
        <w:rPr>
          <w:i/>
          <w:iCs/>
          <w:noProof/>
          <w:sz w:val="22"/>
        </w:rPr>
        <w:t>Kontribut mis-Slovakkja għar-Rapport tal-2021 dwar l-Istat tad-Dritt.</w:t>
      </w:r>
    </w:p>
    <w:p>
      <w:pPr>
        <w:spacing w:after="120"/>
        <w:rPr>
          <w:rFonts w:eastAsia="Times New Roman" w:cs="Times New Roman"/>
          <w:noProof/>
          <w:color w:val="0563C1"/>
          <w:sz w:val="22"/>
          <w:u w:val="single"/>
        </w:rPr>
      </w:pPr>
      <w:r>
        <w:rPr>
          <w:noProof/>
          <w:sz w:val="22"/>
        </w:rPr>
        <w:t xml:space="preserve">Il-Gvern Slovakk, </w:t>
      </w:r>
      <w:r>
        <w:rPr>
          <w:i/>
          <w:iCs/>
          <w:noProof/>
          <w:sz w:val="22"/>
        </w:rPr>
        <w:t>Pjan tal-Kompiti Leġiżlattivi tal-Gvern tar-Repubblika Slovakka għall-2021</w:t>
      </w:r>
      <w:r>
        <w:rPr>
          <w:noProof/>
          <w:sz w:val="22"/>
        </w:rPr>
        <w:t xml:space="preserve"> (</w:t>
      </w:r>
      <w:hyperlink r:id="rId32"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sz w:val="22"/>
        </w:rPr>
        <w:t xml:space="preserve">Il-Gvern Slovakk, </w:t>
      </w:r>
      <w:r>
        <w:rPr>
          <w:i/>
          <w:iCs/>
          <w:noProof/>
          <w:sz w:val="22"/>
        </w:rPr>
        <w:t>Dikjarazzjoni tal-Programm għall-2020 – 2024</w:t>
      </w:r>
      <w:r>
        <w:rPr>
          <w:noProof/>
          <w:sz w:val="22"/>
        </w:rPr>
        <w:t xml:space="preserve"> (</w:t>
      </w:r>
      <w:hyperlink r:id="rId33"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 xml:space="preserve">Il-Gvern Slovakk, </w:t>
      </w:r>
      <w:r>
        <w:rPr>
          <w:i/>
          <w:iCs/>
          <w:noProof/>
          <w:sz w:val="22"/>
        </w:rPr>
        <w:t>Dikjarazzjoni tal-Programm għall-2021 – 2024</w:t>
      </w:r>
      <w:r>
        <w:rPr>
          <w:noProof/>
          <w:sz w:val="22"/>
        </w:rPr>
        <w:t xml:space="preserve"> (</w:t>
      </w:r>
      <w:hyperlink r:id="rId34"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color w:val="0563C1"/>
          <w:sz w:val="22"/>
          <w:u w:val="single"/>
        </w:rPr>
        <w:t xml:space="preserve">Il-Gvern Slovakk (2021), </w:t>
      </w:r>
      <w:r>
        <w:rPr>
          <w:i/>
          <w:noProof/>
          <w:color w:val="0563C1"/>
          <w:sz w:val="22"/>
          <w:u w:val="single"/>
        </w:rPr>
        <w:t>Il-Pjan għall-Irkupru u r-Reżiljenza</w:t>
      </w:r>
      <w:r>
        <w:rPr>
          <w:noProof/>
          <w:color w:val="0563C1"/>
          <w:sz w:val="22"/>
          <w:u w:val="single"/>
        </w:rPr>
        <w:t xml:space="preserve"> (</w:t>
      </w:r>
      <w:r>
        <w:rPr>
          <w:i/>
          <w:noProof/>
          <w:color w:val="0563C1"/>
          <w:sz w:val="22"/>
          <w:u w:val="single"/>
        </w:rPr>
        <w:t>Plán obnovy a odolnosti Slovenskej republiky</w:t>
      </w:r>
      <w:r>
        <w:rPr>
          <w:noProof/>
          <w:color w:val="0563C1"/>
          <w:sz w:val="22"/>
          <w:u w:val="single"/>
        </w:rPr>
        <w:t>) (https://www.planobnovy.sk/files/dokumenty/kompletny-plan_obnovy.pdf)</w:t>
      </w:r>
    </w:p>
    <w:p>
      <w:pPr>
        <w:spacing w:after="120"/>
        <w:rPr>
          <w:rFonts w:eastAsia="Times New Roman" w:cs="Times New Roman"/>
          <w:noProof/>
          <w:sz w:val="22"/>
        </w:rPr>
      </w:pPr>
      <w:r>
        <w:rPr>
          <w:noProof/>
          <w:sz w:val="22"/>
        </w:rPr>
        <w:t xml:space="preserve">L-avukati Slovakki, </w:t>
      </w:r>
      <w:r>
        <w:rPr>
          <w:i/>
          <w:iCs/>
          <w:noProof/>
          <w:sz w:val="22"/>
        </w:rPr>
        <w:t>Sejħa miftuħa u kontribut għar-Rapport tal-2021 dwar l-Istat tad-Dritt</w:t>
      </w:r>
      <w:r>
        <w:rPr>
          <w:noProof/>
          <w:sz w:val="22"/>
        </w:rPr>
        <w:t>, (</w:t>
      </w:r>
      <w:hyperlink r:id="rId35" w:history="1">
        <w:r>
          <w:rPr>
            <w:rStyle w:val="Hyperlink"/>
            <w:noProof/>
            <w:sz w:val="22"/>
          </w:rPr>
          <w:t>https://pravnystat.eu/en/</w:t>
        </w:r>
      </w:hyperlink>
      <w:r>
        <w:rPr>
          <w:noProof/>
          <w:sz w:val="22"/>
        </w:rPr>
        <w:t>).</w:t>
      </w:r>
    </w:p>
    <w:p>
      <w:pPr>
        <w:spacing w:after="120"/>
        <w:rPr>
          <w:rFonts w:eastAsia="Times New Roman" w:cs="Times New Roman"/>
          <w:noProof/>
          <w:sz w:val="22"/>
        </w:rPr>
      </w:pPr>
      <w:r>
        <w:rPr>
          <w:noProof/>
          <w:sz w:val="22"/>
        </w:rPr>
        <w:t>Il-Ministeru għas-Saħħa tas-Slovakkja, Programm settorjali kontra l-korruzzjoni (</w:t>
      </w:r>
      <w:hyperlink r:id="rId36"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Il-Ministeru għall-Ġustizzja tas-Slovakkja (2020), iċ-Ċentru Analitiku (2020) </w:t>
      </w:r>
      <w:r>
        <w:rPr>
          <w:i/>
          <w:iCs/>
          <w:noProof/>
          <w:sz w:val="22"/>
        </w:rPr>
        <w:t>Odporúčania pre tvorbu novej súdnej mapy</w:t>
      </w:r>
      <w:r>
        <w:rPr>
          <w:noProof/>
          <w:sz w:val="22"/>
        </w:rPr>
        <w:t xml:space="preserve"> (</w:t>
      </w:r>
      <w:hyperlink r:id="rId37"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Il-Ministeru għall-Ġustizzja tas-Slovakkja, iċ-Ċentru Analitiku (2020), </w:t>
      </w:r>
      <w:r>
        <w:rPr>
          <w:i/>
          <w:iCs/>
          <w:noProof/>
          <w:sz w:val="22"/>
        </w:rPr>
        <w:t>Rakkomandazzjonijiet għat-tħejjija ta’ mappa ġudizzjarja ġdida</w:t>
      </w:r>
      <w:r>
        <w:rPr>
          <w:noProof/>
          <w:sz w:val="22"/>
        </w:rPr>
        <w:t xml:space="preserve"> (</w:t>
      </w:r>
      <w:hyperlink r:id="rId3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Il-Ministeru għall-Ġustizzja tas-Slovakkja, iċ-Ċentru Analitiku (2020), </w:t>
      </w:r>
      <w:r>
        <w:rPr>
          <w:i/>
          <w:iCs/>
          <w:noProof/>
          <w:sz w:val="22"/>
        </w:rPr>
        <w:t>Riforma tal-Mappa Ġudizzjarja</w:t>
      </w:r>
      <w:r>
        <w:rPr>
          <w:noProof/>
          <w:sz w:val="22"/>
        </w:rPr>
        <w:t xml:space="preserve"> (</w:t>
      </w:r>
      <w:hyperlink r:id="rId39"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 xml:space="preserve">Il-Ministeru għall-Ġustizzja tas-Slovakkja, </w:t>
      </w:r>
      <w:r>
        <w:rPr>
          <w:i/>
          <w:iCs/>
          <w:noProof/>
          <w:sz w:val="22"/>
        </w:rPr>
        <w:t>Skeda ta’ żmien għall-proċess ta’ abbozzar tar-Riforma tal-Mappa Ġudizzjarja</w:t>
      </w:r>
      <w:r>
        <w:rPr>
          <w:noProof/>
          <w:sz w:val="22"/>
        </w:rPr>
        <w:t xml:space="preserve"> (</w:t>
      </w:r>
      <w:hyperlink r:id="rId40"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 xml:space="preserve">Il-Ministeru għall-Iżvilupp Reġjonali tas-Slovakkja (2020), stqarrija għall-istampa, </w:t>
      </w:r>
      <w:r>
        <w:rPr>
          <w:i/>
          <w:noProof/>
          <w:sz w:val="22"/>
        </w:rPr>
        <w:t>Il-Viċi Kap Remišová: EUR 1,1 miljun f’għajnuna għal organizzazzjoni nongovernattiva li tiġġieled kontra l-COVID-19</w:t>
      </w:r>
      <w:r>
        <w:rPr>
          <w:noProof/>
          <w:sz w:val="22"/>
        </w:rPr>
        <w:t xml:space="preserve">  (</w:t>
      </w:r>
      <w:r>
        <w:rPr>
          <w:i/>
          <w:noProof/>
          <w:sz w:val="22"/>
        </w:rPr>
        <w:t>Vicepremiérka Remišová: 1,1 milióna eur na pomoc mimovládnym organizáciám v boji s COVID–19</w:t>
      </w:r>
      <w:r>
        <w:rPr>
          <w:noProof/>
          <w:sz w:val="22"/>
        </w:rPr>
        <w:t>)</w:t>
      </w:r>
      <w:r>
        <w:rPr>
          <w:noProof/>
          <w:sz w:val="22"/>
          <w:u w:val="single"/>
        </w:rPr>
        <w:t xml:space="preserve"> </w:t>
      </w:r>
      <w:r>
        <w:rPr>
          <w:noProof/>
          <w:sz w:val="22"/>
        </w:rPr>
        <w:t>(</w:t>
      </w:r>
      <w:hyperlink r:id="rId41"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color w:val="0563C1"/>
          <w:sz w:val="22"/>
          <w:u w:val="single"/>
        </w:rPr>
      </w:pPr>
      <w:r>
        <w:rPr>
          <w:noProof/>
          <w:sz w:val="22"/>
        </w:rPr>
        <w:t xml:space="preserve">Iċ-Ċentru Nazzjonali Slovakk għad-Drittijiet tal-Bniedem (2019), </w:t>
      </w:r>
      <w:r>
        <w:rPr>
          <w:i/>
          <w:iCs/>
          <w:noProof/>
          <w:sz w:val="22"/>
        </w:rPr>
        <w:t xml:space="preserve">Annual report on compliance with human rights </w:t>
      </w:r>
      <w:r>
        <w:rPr>
          <w:noProof/>
          <w:sz w:val="22"/>
        </w:rPr>
        <w:t>(</w:t>
      </w:r>
      <w:hyperlink r:id="rId42"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 xml:space="preserve">Transparency International (2020), </w:t>
      </w:r>
      <w:r>
        <w:rPr>
          <w:i/>
          <w:iCs/>
          <w:noProof/>
          <w:sz w:val="22"/>
        </w:rPr>
        <w:t>Exporting corruption.</w:t>
      </w:r>
      <w:r>
        <w:rPr>
          <w:noProof/>
          <w:sz w:val="22"/>
        </w:rPr>
        <w:t xml:space="preserve"> </w:t>
      </w:r>
    </w:p>
    <w:p>
      <w:pPr>
        <w:spacing w:after="120"/>
        <w:rPr>
          <w:rFonts w:eastAsia="Times New Roman" w:cs="Times New Roman"/>
          <w:noProof/>
          <w:sz w:val="22"/>
        </w:rPr>
      </w:pPr>
      <w:r>
        <w:rPr>
          <w:noProof/>
          <w:sz w:val="22"/>
        </w:rPr>
        <w:t xml:space="preserve">Transparency International (2021), </w:t>
      </w:r>
      <w:r>
        <w:rPr>
          <w:i/>
          <w:iCs/>
          <w:noProof/>
          <w:sz w:val="22"/>
        </w:rPr>
        <w:t>Corruption Perceptions Index 2020</w:t>
      </w:r>
      <w:r>
        <w:rPr>
          <w:noProof/>
          <w:sz w:val="22"/>
        </w:rPr>
        <w:t xml:space="preserve">. </w:t>
      </w:r>
    </w:p>
    <w:p>
      <w:pPr>
        <w:spacing w:after="120"/>
        <w:rPr>
          <w:rFonts w:eastAsia="Times New Roman" w:cs="Times New Roman"/>
          <w:noProof/>
          <w:sz w:val="22"/>
        </w:rPr>
      </w:pPr>
      <w:r>
        <w:rPr>
          <w:noProof/>
          <w:sz w:val="22"/>
        </w:rPr>
        <w:t xml:space="preserve">UNCAC, </w:t>
      </w:r>
      <w:r>
        <w:rPr>
          <w:i/>
          <w:iCs/>
          <w:noProof/>
          <w:sz w:val="22"/>
        </w:rPr>
        <w:t>Implementation Review - 1</w:t>
      </w:r>
      <w:r>
        <w:rPr>
          <w:i/>
          <w:iCs/>
          <w:noProof/>
          <w:sz w:val="22"/>
          <w:vertAlign w:val="superscript"/>
        </w:rPr>
        <w:t>st</w:t>
      </w:r>
      <w:r>
        <w:rPr>
          <w:i/>
          <w:iCs/>
          <w:noProof/>
          <w:sz w:val="22"/>
        </w:rPr>
        <w:t xml:space="preserve"> cycle (2010-2015), Country Review Report of Slovak Republic,</w:t>
      </w:r>
      <w:r>
        <w:rPr>
          <w:noProof/>
          <w:sz w:val="22"/>
        </w:rPr>
        <w:t xml:space="preserve"> (</w:t>
      </w:r>
      <w:hyperlink r:id="rId43" w:history="1">
        <w:r>
          <w:rPr>
            <w:rStyle w:val="Hyperlink"/>
            <w:noProof/>
            <w:sz w:val="22"/>
          </w:rPr>
          <w:t>https://www.unodc.org/documents/treaties/UNCAC/CountryVisitFinalReports/2013_07_11_Slovakia_Final_Country_Report.pdf</w:t>
        </w:r>
      </w:hyperlink>
      <w:r>
        <w:rPr>
          <w:noProof/>
          <w:sz w:val="22"/>
        </w:rPr>
        <w: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Anness II: Żjara tal-pajjiż fis-Slovakkja</w:t>
      </w:r>
    </w:p>
    <w:p>
      <w:pPr>
        <w:spacing w:after="120" w:line="264" w:lineRule="auto"/>
        <w:rPr>
          <w:rFonts w:eastAsia="Times New Roman" w:cs="Times New Roman"/>
          <w:noProof/>
          <w:sz w:val="22"/>
          <w:szCs w:val="20"/>
          <w:shd w:val="clear" w:color="auto" w:fill="FFFFFF"/>
        </w:rPr>
      </w:pPr>
      <w:r>
        <w:rPr>
          <w:noProof/>
          <w:sz w:val="22"/>
          <w:szCs w:val="20"/>
        </w:rPr>
        <w:t>Is-servizzi tal-Kummissjoni kellhom laqgħat virtwali f’April 2021 ma’:</w:t>
      </w:r>
    </w:p>
    <w:p>
      <w:pPr>
        <w:numPr>
          <w:ilvl w:val="0"/>
          <w:numId w:val="2"/>
        </w:numPr>
        <w:spacing w:after="0" w:line="264" w:lineRule="auto"/>
        <w:rPr>
          <w:rFonts w:eastAsia="Times New Roman" w:cs="Times New Roman"/>
          <w:noProof/>
          <w:sz w:val="22"/>
          <w:szCs w:val="20"/>
        </w:rPr>
      </w:pPr>
      <w:r>
        <w:rPr>
          <w:noProof/>
          <w:sz w:val="22"/>
          <w:szCs w:val="20"/>
        </w:rPr>
        <w:t>L-Assoċjazzjoni tal-Imħallfin</w:t>
      </w:r>
    </w:p>
    <w:p>
      <w:pPr>
        <w:numPr>
          <w:ilvl w:val="0"/>
          <w:numId w:val="2"/>
        </w:numPr>
        <w:spacing w:after="0" w:line="264" w:lineRule="auto"/>
        <w:rPr>
          <w:rFonts w:eastAsia="Times New Roman" w:cs="Times New Roman"/>
          <w:noProof/>
          <w:sz w:val="22"/>
          <w:szCs w:val="20"/>
        </w:rPr>
      </w:pPr>
      <w:r>
        <w:rPr>
          <w:noProof/>
          <w:sz w:val="22"/>
          <w:szCs w:val="20"/>
        </w:rPr>
        <w:t>Uffiċċju tal-Gvern - id-Dipartiment għall-Prevenzjoni tal-Korruzzjoni</w:t>
      </w:r>
    </w:p>
    <w:p>
      <w:pPr>
        <w:numPr>
          <w:ilvl w:val="0"/>
          <w:numId w:val="2"/>
        </w:numPr>
        <w:spacing w:after="0" w:line="264" w:lineRule="auto"/>
        <w:rPr>
          <w:rFonts w:eastAsia="Times New Roman" w:cs="Times New Roman"/>
          <w:noProof/>
          <w:sz w:val="22"/>
          <w:szCs w:val="20"/>
        </w:rPr>
      </w:pPr>
      <w:r>
        <w:rPr>
          <w:noProof/>
          <w:sz w:val="22"/>
          <w:szCs w:val="20"/>
        </w:rPr>
        <w:t>Imħallfin Għall-Ġudikatura Miftuħa</w:t>
      </w:r>
    </w:p>
    <w:p>
      <w:pPr>
        <w:numPr>
          <w:ilvl w:val="0"/>
          <w:numId w:val="2"/>
        </w:numPr>
        <w:spacing w:after="0" w:line="264" w:lineRule="auto"/>
        <w:rPr>
          <w:rFonts w:eastAsia="Times New Roman" w:cs="Times New Roman"/>
          <w:noProof/>
          <w:sz w:val="22"/>
          <w:szCs w:val="20"/>
        </w:rPr>
      </w:pPr>
      <w:r>
        <w:rPr>
          <w:noProof/>
          <w:sz w:val="22"/>
          <w:szCs w:val="20"/>
        </w:rPr>
        <w:t>Il-Kunsill Ġudizzjarju</w:t>
      </w:r>
    </w:p>
    <w:p>
      <w:pPr>
        <w:numPr>
          <w:ilvl w:val="0"/>
          <w:numId w:val="2"/>
        </w:numPr>
        <w:spacing w:after="0" w:line="264" w:lineRule="auto"/>
        <w:rPr>
          <w:rFonts w:eastAsia="Times New Roman" w:cs="Times New Roman"/>
          <w:noProof/>
          <w:sz w:val="22"/>
          <w:szCs w:val="20"/>
        </w:rPr>
      </w:pPr>
      <w:r>
        <w:rPr>
          <w:noProof/>
          <w:sz w:val="22"/>
          <w:szCs w:val="20"/>
        </w:rPr>
        <w:t>Il-Lega għad-Drittijiet tal-Bniedem</w:t>
      </w:r>
    </w:p>
    <w:p>
      <w:pPr>
        <w:numPr>
          <w:ilvl w:val="0"/>
          <w:numId w:val="2"/>
        </w:numPr>
        <w:spacing w:after="0" w:line="264" w:lineRule="auto"/>
        <w:rPr>
          <w:rFonts w:eastAsia="Times New Roman" w:cs="Times New Roman"/>
          <w:noProof/>
          <w:sz w:val="22"/>
          <w:szCs w:val="20"/>
        </w:rPr>
      </w:pPr>
      <w:r>
        <w:rPr>
          <w:noProof/>
          <w:sz w:val="22"/>
          <w:szCs w:val="20"/>
        </w:rPr>
        <w:t>Il-Ministeru għall-Kultura</w:t>
      </w:r>
    </w:p>
    <w:p>
      <w:pPr>
        <w:numPr>
          <w:ilvl w:val="0"/>
          <w:numId w:val="2"/>
        </w:numPr>
        <w:spacing w:after="0" w:line="264" w:lineRule="auto"/>
        <w:rPr>
          <w:rFonts w:eastAsia="Times New Roman" w:cs="Times New Roman"/>
          <w:noProof/>
          <w:sz w:val="22"/>
          <w:szCs w:val="20"/>
        </w:rPr>
      </w:pPr>
      <w:r>
        <w:rPr>
          <w:noProof/>
          <w:sz w:val="22"/>
          <w:szCs w:val="20"/>
        </w:rPr>
        <w:t>Il-Ministeru għas-Saħħa</w:t>
      </w:r>
    </w:p>
    <w:p>
      <w:pPr>
        <w:numPr>
          <w:ilvl w:val="0"/>
          <w:numId w:val="2"/>
        </w:numPr>
        <w:spacing w:after="0" w:line="264" w:lineRule="auto"/>
        <w:rPr>
          <w:rFonts w:eastAsia="Times New Roman" w:cs="Times New Roman"/>
          <w:noProof/>
          <w:sz w:val="22"/>
          <w:szCs w:val="20"/>
        </w:rPr>
      </w:pPr>
      <w:r>
        <w:rPr>
          <w:noProof/>
          <w:sz w:val="22"/>
          <w:szCs w:val="20"/>
        </w:rPr>
        <w:t>Il-Ministeru għall-Intern</w:t>
      </w:r>
    </w:p>
    <w:p>
      <w:pPr>
        <w:numPr>
          <w:ilvl w:val="0"/>
          <w:numId w:val="2"/>
        </w:numPr>
        <w:spacing w:after="0" w:line="264" w:lineRule="auto"/>
        <w:rPr>
          <w:rFonts w:eastAsia="Times New Roman" w:cs="Times New Roman"/>
          <w:noProof/>
          <w:sz w:val="22"/>
          <w:szCs w:val="20"/>
        </w:rPr>
      </w:pPr>
      <w:r>
        <w:rPr>
          <w:noProof/>
          <w:sz w:val="22"/>
          <w:szCs w:val="20"/>
        </w:rPr>
        <w:t xml:space="preserve">Il-Ministeru għall-Ġustizzja </w:t>
      </w:r>
    </w:p>
    <w:p>
      <w:pPr>
        <w:numPr>
          <w:ilvl w:val="0"/>
          <w:numId w:val="2"/>
        </w:numPr>
        <w:spacing w:after="0" w:line="264" w:lineRule="auto"/>
        <w:rPr>
          <w:rFonts w:eastAsia="Times New Roman" w:cs="Times New Roman"/>
          <w:noProof/>
          <w:sz w:val="22"/>
          <w:szCs w:val="20"/>
        </w:rPr>
      </w:pPr>
      <w:r>
        <w:rPr>
          <w:noProof/>
          <w:sz w:val="22"/>
          <w:szCs w:val="20"/>
        </w:rPr>
        <w:t>Iċ-Ċentru Nazzjonali għad-Drittijiet tal-Bniedem</w:t>
      </w:r>
    </w:p>
    <w:p>
      <w:pPr>
        <w:numPr>
          <w:ilvl w:val="0"/>
          <w:numId w:val="2"/>
        </w:numPr>
        <w:spacing w:after="0" w:line="264" w:lineRule="auto"/>
        <w:rPr>
          <w:rFonts w:eastAsia="Times New Roman" w:cs="Times New Roman"/>
          <w:noProof/>
          <w:sz w:val="22"/>
          <w:szCs w:val="20"/>
        </w:rPr>
      </w:pPr>
      <w:r>
        <w:rPr>
          <w:noProof/>
          <w:sz w:val="22"/>
          <w:szCs w:val="20"/>
        </w:rPr>
        <w:t>L-Aġenzija Nazzjonali tal-Pulizija kontra l-Kriminalità</w:t>
      </w:r>
    </w:p>
    <w:p>
      <w:pPr>
        <w:numPr>
          <w:ilvl w:val="0"/>
          <w:numId w:val="2"/>
        </w:numPr>
        <w:spacing w:after="0" w:line="264" w:lineRule="auto"/>
        <w:rPr>
          <w:rFonts w:eastAsia="Times New Roman" w:cs="Times New Roman"/>
          <w:noProof/>
          <w:sz w:val="22"/>
          <w:szCs w:val="20"/>
        </w:rPr>
      </w:pPr>
      <w:r>
        <w:rPr>
          <w:noProof/>
          <w:sz w:val="22"/>
          <w:szCs w:val="20"/>
        </w:rPr>
        <w:t>Is-Sħubija ta’ Gvern Miftuħ</w:t>
      </w:r>
    </w:p>
    <w:p>
      <w:pPr>
        <w:numPr>
          <w:ilvl w:val="0"/>
          <w:numId w:val="2"/>
        </w:numPr>
        <w:spacing w:after="0" w:line="264" w:lineRule="auto"/>
        <w:rPr>
          <w:rFonts w:eastAsia="Times New Roman" w:cs="Times New Roman"/>
          <w:noProof/>
          <w:sz w:val="22"/>
          <w:szCs w:val="20"/>
        </w:rPr>
      </w:pPr>
      <w:r>
        <w:rPr>
          <w:noProof/>
          <w:sz w:val="22"/>
          <w:szCs w:val="20"/>
        </w:rPr>
        <w:t xml:space="preserve">L-Uffiċċju tal-Prosekutur Ġenerali </w:t>
      </w:r>
    </w:p>
    <w:p>
      <w:pPr>
        <w:numPr>
          <w:ilvl w:val="0"/>
          <w:numId w:val="2"/>
        </w:numPr>
        <w:spacing w:after="0" w:line="264" w:lineRule="auto"/>
        <w:rPr>
          <w:rFonts w:eastAsia="Times New Roman" w:cs="Times New Roman"/>
          <w:noProof/>
          <w:sz w:val="22"/>
          <w:szCs w:val="20"/>
        </w:rPr>
      </w:pPr>
      <w:r>
        <w:rPr>
          <w:noProof/>
          <w:sz w:val="22"/>
          <w:szCs w:val="20"/>
        </w:rPr>
        <w:t>Id-Difensur Pubbliku tad-Drittijiet</w:t>
      </w:r>
    </w:p>
    <w:p>
      <w:pPr>
        <w:numPr>
          <w:ilvl w:val="0"/>
          <w:numId w:val="2"/>
        </w:numPr>
        <w:spacing w:after="0" w:line="264" w:lineRule="auto"/>
        <w:rPr>
          <w:rFonts w:eastAsia="Times New Roman" w:cs="Times New Roman"/>
          <w:noProof/>
          <w:sz w:val="22"/>
          <w:szCs w:val="20"/>
        </w:rPr>
      </w:pPr>
      <w:r>
        <w:rPr>
          <w:noProof/>
          <w:sz w:val="22"/>
          <w:szCs w:val="20"/>
        </w:rPr>
        <w:t>Il-Kumitat Nazzjonali Slovakk tal-Avukati</w:t>
      </w:r>
    </w:p>
    <w:p>
      <w:pPr>
        <w:numPr>
          <w:ilvl w:val="0"/>
          <w:numId w:val="2"/>
        </w:numPr>
        <w:spacing w:after="0" w:line="264" w:lineRule="auto"/>
        <w:rPr>
          <w:rFonts w:eastAsia="Times New Roman" w:cs="Times New Roman"/>
          <w:noProof/>
          <w:sz w:val="22"/>
          <w:szCs w:val="20"/>
        </w:rPr>
      </w:pPr>
      <w:r>
        <w:rPr>
          <w:noProof/>
          <w:sz w:val="22"/>
          <w:szCs w:val="20"/>
        </w:rPr>
        <w:t>Il-Kunsill Slovakk għax-Xandir</w:t>
      </w:r>
    </w:p>
    <w:p>
      <w:pPr>
        <w:numPr>
          <w:ilvl w:val="0"/>
          <w:numId w:val="2"/>
        </w:numPr>
        <w:spacing w:after="0" w:line="264" w:lineRule="auto"/>
        <w:rPr>
          <w:rFonts w:eastAsia="Times New Roman" w:cs="Times New Roman"/>
          <w:noProof/>
          <w:sz w:val="22"/>
          <w:szCs w:val="20"/>
        </w:rPr>
      </w:pPr>
      <w:r>
        <w:rPr>
          <w:noProof/>
          <w:sz w:val="22"/>
          <w:szCs w:val="20"/>
        </w:rPr>
        <w:t xml:space="preserve">L-Uffiċċju tal-Prosekutur Speċjali </w:t>
      </w:r>
    </w:p>
    <w:p>
      <w:pPr>
        <w:numPr>
          <w:ilvl w:val="0"/>
          <w:numId w:val="2"/>
        </w:numPr>
        <w:spacing w:after="0" w:line="264" w:lineRule="auto"/>
        <w:rPr>
          <w:rFonts w:eastAsia="Times New Roman" w:cs="Times New Roman"/>
          <w:noProof/>
          <w:sz w:val="22"/>
          <w:szCs w:val="20"/>
        </w:rPr>
      </w:pPr>
      <w:r>
        <w:rPr>
          <w:noProof/>
          <w:sz w:val="22"/>
          <w:szCs w:val="20"/>
        </w:rPr>
        <w:t>Il-Qorti Suprema</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Il-Kummissjoni ltaqgħet ukoll mal-organizzazzjonijiet li ġejjin f’għadd ta’ laqgħat orizzontali:</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Iċ-Ċentru għad-Drittijiet Riproduttivi</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L-Unjoni għall-Ewropa tal-Libertajiet Ċivili</w:t>
      </w:r>
    </w:p>
    <w:p>
      <w:pPr>
        <w:pStyle w:val="ListParagraph"/>
        <w:numPr>
          <w:ilvl w:val="0"/>
          <w:numId w:val="9"/>
        </w:numPr>
        <w:spacing w:after="160" w:line="259" w:lineRule="auto"/>
        <w:jc w:val="left"/>
        <w:rPr>
          <w:rFonts w:cs="Times New Roman"/>
          <w:noProof/>
          <w:sz w:val="22"/>
        </w:rPr>
      </w:pPr>
      <w:r>
        <w:rPr>
          <w:noProof/>
          <w:sz w:val="22"/>
        </w:rPr>
        <w:t>Is-Soċjetà Ċivili Ewropa</w:t>
      </w:r>
    </w:p>
    <w:p>
      <w:pPr>
        <w:pStyle w:val="ListParagraph"/>
        <w:numPr>
          <w:ilvl w:val="0"/>
          <w:numId w:val="9"/>
        </w:numPr>
        <w:spacing w:after="160" w:line="259" w:lineRule="auto"/>
        <w:jc w:val="left"/>
        <w:rPr>
          <w:rFonts w:cs="Times New Roman"/>
          <w:noProof/>
          <w:sz w:val="22"/>
        </w:rPr>
      </w:pPr>
      <w:r>
        <w:rPr>
          <w:noProof/>
          <w:sz w:val="22"/>
        </w:rPr>
        <w:t>Il-Konferenza tal-Knejjes Ewropej</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Iċ-Ċentru Ewropew għal-Liġi dwar għaqdiet mhux għall-gwadann</w:t>
      </w:r>
    </w:p>
    <w:p>
      <w:pPr>
        <w:pStyle w:val="ListParagraph"/>
        <w:numPr>
          <w:ilvl w:val="0"/>
          <w:numId w:val="9"/>
        </w:numPr>
        <w:spacing w:after="160" w:line="259" w:lineRule="auto"/>
        <w:jc w:val="left"/>
        <w:rPr>
          <w:rFonts w:cs="Times New Roman"/>
          <w:noProof/>
          <w:sz w:val="22"/>
        </w:rPr>
      </w:pPr>
      <w:r>
        <w:rPr>
          <w:noProof/>
          <w:sz w:val="22"/>
        </w:rPr>
        <w:t>Iċ-Ċentru Ewropew għal-Libertà tal-Istampa u tal-Medja</w:t>
      </w:r>
    </w:p>
    <w:p>
      <w:pPr>
        <w:pStyle w:val="ListParagraph"/>
        <w:numPr>
          <w:ilvl w:val="0"/>
          <w:numId w:val="9"/>
        </w:numPr>
        <w:spacing w:after="160" w:line="259" w:lineRule="auto"/>
        <w:jc w:val="left"/>
        <w:rPr>
          <w:rFonts w:cs="Times New Roman"/>
          <w:noProof/>
          <w:sz w:val="22"/>
        </w:rPr>
      </w:pPr>
      <w:r>
        <w:rPr>
          <w:noProof/>
          <w:sz w:val="22"/>
        </w:rPr>
        <w:t>Il-Forum Ċiviku Ewropew</w:t>
      </w:r>
    </w:p>
    <w:p>
      <w:pPr>
        <w:pStyle w:val="ListParagraph"/>
        <w:numPr>
          <w:ilvl w:val="0"/>
          <w:numId w:val="9"/>
        </w:numPr>
        <w:spacing w:after="160" w:line="259" w:lineRule="auto"/>
        <w:jc w:val="left"/>
        <w:rPr>
          <w:rFonts w:cs="Times New Roman"/>
          <w:noProof/>
          <w:sz w:val="22"/>
        </w:rPr>
      </w:pPr>
      <w:r>
        <w:rPr>
          <w:noProof/>
          <w:sz w:val="22"/>
        </w:rPr>
        <w:t>Il-Federazzjoni Ewropea tal-Ġurnalisti</w:t>
      </w:r>
    </w:p>
    <w:p>
      <w:pPr>
        <w:pStyle w:val="ListParagraph"/>
        <w:numPr>
          <w:ilvl w:val="0"/>
          <w:numId w:val="9"/>
        </w:numPr>
        <w:spacing w:after="160" w:line="259" w:lineRule="auto"/>
        <w:jc w:val="left"/>
        <w:rPr>
          <w:rFonts w:cs="Times New Roman"/>
          <w:noProof/>
          <w:sz w:val="22"/>
        </w:rPr>
      </w:pPr>
      <w:r>
        <w:rPr>
          <w:noProof/>
          <w:sz w:val="22"/>
        </w:rPr>
        <w:t xml:space="preserve">It-Tisħib Ewropew għad-Demokrazija </w:t>
      </w:r>
    </w:p>
    <w:p>
      <w:pPr>
        <w:pStyle w:val="ListParagraph"/>
        <w:numPr>
          <w:ilvl w:val="0"/>
          <w:numId w:val="9"/>
        </w:numPr>
        <w:spacing w:after="160" w:line="259" w:lineRule="auto"/>
        <w:jc w:val="left"/>
        <w:rPr>
          <w:rFonts w:cs="Times New Roman"/>
          <w:noProof/>
          <w:sz w:val="22"/>
        </w:rPr>
      </w:pPr>
      <w:r>
        <w:rPr>
          <w:noProof/>
          <w:sz w:val="22"/>
        </w:rPr>
        <w:t>Il-Forum Ewropew taż-Żgħażagħ</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Il-Fondazzjoni tad-Dar tad-Drittijiet tal-Bniedem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Il-Kummissjoni Internazzjonali tal-Ġuristi</w:t>
      </w:r>
    </w:p>
    <w:p>
      <w:pPr>
        <w:pStyle w:val="ListParagraph"/>
        <w:numPr>
          <w:ilvl w:val="0"/>
          <w:numId w:val="9"/>
        </w:numPr>
        <w:spacing w:after="160" w:line="259" w:lineRule="auto"/>
        <w:jc w:val="left"/>
        <w:rPr>
          <w:rFonts w:cs="Times New Roman"/>
          <w:noProof/>
          <w:sz w:val="22"/>
        </w:rPr>
      </w:pPr>
      <w:r>
        <w:rPr>
          <w:noProof/>
          <w:sz w:val="22"/>
        </w:rPr>
        <w:t>Il-Federazzjoni Internazzjonali tad-Drittijiet tal-Bniedem</w:t>
      </w:r>
    </w:p>
    <w:p>
      <w:pPr>
        <w:pStyle w:val="ListParagraph"/>
        <w:numPr>
          <w:ilvl w:val="0"/>
          <w:numId w:val="9"/>
        </w:numPr>
        <w:spacing w:after="160" w:line="259" w:lineRule="auto"/>
        <w:jc w:val="left"/>
        <w:rPr>
          <w:rFonts w:cs="Times New Roman"/>
          <w:noProof/>
          <w:sz w:val="22"/>
        </w:rPr>
      </w:pPr>
      <w:r>
        <w:rPr>
          <w:noProof/>
          <w:sz w:val="22"/>
        </w:rPr>
        <w:t>In-Netwerk Ewropew tal-Federazzjoni Internazzjonali tal-Ippjanar tal-Familja (IPPF EN)</w:t>
      </w:r>
    </w:p>
    <w:p>
      <w:pPr>
        <w:pStyle w:val="ListParagraph"/>
        <w:numPr>
          <w:ilvl w:val="0"/>
          <w:numId w:val="9"/>
        </w:numPr>
        <w:spacing w:after="160" w:line="259" w:lineRule="auto"/>
        <w:jc w:val="left"/>
        <w:rPr>
          <w:rFonts w:cs="Times New Roman"/>
          <w:noProof/>
          <w:sz w:val="22"/>
        </w:rPr>
      </w:pPr>
      <w:r>
        <w:rPr>
          <w:noProof/>
          <w:sz w:val="22"/>
        </w:rPr>
        <w:t>L-Istitut Internazzjonali tal-Istampa</w:t>
      </w:r>
    </w:p>
    <w:p>
      <w:pPr>
        <w:pStyle w:val="ListParagraph"/>
        <w:numPr>
          <w:ilvl w:val="0"/>
          <w:numId w:val="9"/>
        </w:numPr>
        <w:spacing w:after="160" w:line="259" w:lineRule="auto"/>
        <w:jc w:val="left"/>
        <w:rPr>
          <w:rFonts w:cs="Times New Roman"/>
          <w:noProof/>
          <w:sz w:val="22"/>
        </w:rPr>
      </w:pPr>
      <w:r>
        <w:rPr>
          <w:noProof/>
          <w:sz w:val="22"/>
        </w:rPr>
        <w:t xml:space="preserve">Il-Kumitat Netherlands Helsinki </w:t>
      </w:r>
    </w:p>
    <w:p>
      <w:pPr>
        <w:pStyle w:val="ListParagraph"/>
        <w:numPr>
          <w:ilvl w:val="0"/>
          <w:numId w:val="9"/>
        </w:numPr>
        <w:spacing w:after="160" w:line="259" w:lineRule="auto"/>
        <w:jc w:val="left"/>
        <w:rPr>
          <w:rFonts w:cs="Times New Roman"/>
          <w:noProof/>
          <w:sz w:val="22"/>
        </w:rPr>
      </w:pPr>
      <w:r>
        <w:rPr>
          <w:noProof/>
          <w:sz w:val="22"/>
        </w:rPr>
        <w:t>L-Istitut ta’ Politika Ewropew għal Soċjetà Miftuħa</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Reporters bla Fruntieri</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MT</w:t>
    </w:r>
    <w:r>
      <w:rPr>
        <w:rFonts w:ascii="Arial" w:hAnsi="Arial" w:cs="Arial"/>
        <w:b/>
        <w:sz w:val="48"/>
      </w:rPr>
      <w:tab/>
    </w:r>
    <w:r>
      <w:rPr>
        <w:rFonts w:ascii="Arial" w:hAnsi="Arial" w:cs="Arial"/>
        <w:b/>
        <w:sz w:val="48"/>
      </w:rPr>
      <w:tab/>
    </w:r>
    <w:r>
      <w:tab/>
    </w:r>
    <w:r>
      <w:rPr>
        <w:rFonts w:ascii="Arial" w:hAnsi="Arial" w:cs="Arial"/>
        <w:b/>
        <w:sz w:val="48"/>
      </w:rPr>
      <w:t>MT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Għal deskrizzjoni tal-istruttura ġudizzjarja, ara pereżempju l-istudju Annwali għall-Kummissjoni Ewropea mwettaq mill-Kummissjoni tal-Kunsill tal-Ewropa għall-Effiċjenza tal-Ġustizzja (CEPEJ - Council of Europe Commission for the Efficiency of Justice).</w:t>
      </w:r>
    </w:p>
  </w:footnote>
  <w:footnote w:id="3">
    <w:p>
      <w:pPr>
        <w:pStyle w:val="FootnoteText"/>
        <w:rPr>
          <w:rFonts w:cs="Times New Roman"/>
        </w:rPr>
      </w:pPr>
      <w:r>
        <w:rPr>
          <w:rStyle w:val="FootnoteReference"/>
          <w:rFonts w:cs="Times New Roman"/>
        </w:rPr>
        <w:footnoteRef/>
      </w:r>
      <w:r>
        <w:t xml:space="preserve"> </w:t>
      </w:r>
      <w:r>
        <w:tab/>
        <w:t>Ara l-Kodiċi tal-Proċedura Kriminali tas-Slovakkja, il-paragrafu 14 (pereż. il-qtil premeditat, il-korruzzjoni, it-terroriżmu, il-kriminalità organizzata, reati ekonomiċi serji, li jagħmlu ħsara lill-interessi finanzjarji tal-UE, eċċ.).</w:t>
      </w:r>
    </w:p>
  </w:footnote>
  <w:footnote w:id="4">
    <w:p>
      <w:pPr>
        <w:pStyle w:val="FootnoteText"/>
        <w:rPr>
          <w:rFonts w:cs="Times New Roman"/>
        </w:rPr>
      </w:pPr>
      <w:r>
        <w:rPr>
          <w:rStyle w:val="FootnoteReference"/>
          <w:rFonts w:cs="Times New Roman"/>
        </w:rPr>
        <w:footnoteRef/>
      </w:r>
      <w:r>
        <w:t xml:space="preserve"> </w:t>
      </w:r>
      <w:r>
        <w:tab/>
        <w:t>L-Artikolu 141a tal-Kostituzzjoni Slovakka.</w:t>
      </w:r>
    </w:p>
  </w:footnote>
  <w:footnote w:id="5">
    <w:p>
      <w:pPr>
        <w:pStyle w:val="FootnoteText"/>
        <w:rPr>
          <w:rFonts w:cs="Times New Roman"/>
        </w:rPr>
      </w:pPr>
      <w:r>
        <w:rPr>
          <w:rStyle w:val="FootnoteReference"/>
          <w:rFonts w:cs="Times New Roman"/>
        </w:rPr>
        <w:footnoteRef/>
      </w:r>
      <w:r>
        <w:t xml:space="preserve"> </w:t>
      </w:r>
      <w:r>
        <w:tab/>
        <w:t>L-Artikoli 149-151 tal-Kostituzzjoni Slovakka; L-Att Nru 153/2001 Ġabra dwar is-Servizz tal-Prosekuzzjoni Pubblika.</w:t>
      </w:r>
    </w:p>
  </w:footnote>
  <w:footnote w:id="6">
    <w:p>
      <w:pPr>
        <w:pStyle w:val="FootnoteText"/>
        <w:rPr>
          <w:rFonts w:cs="Times New Roman"/>
        </w:rPr>
      </w:pPr>
      <w:r>
        <w:rPr>
          <w:rStyle w:val="FootnoteReference"/>
          <w:rFonts w:cs="Times New Roman"/>
        </w:rPr>
        <w:footnoteRef/>
      </w:r>
      <w:r>
        <w:t xml:space="preserve"> </w:t>
      </w:r>
      <w:r>
        <w:tab/>
        <w:t>L-Att Parlamentari Nru 586/2003 Ġabra dwar il-Professjoni Legali u dwar l-Att Emendatorju Nru 455/1991 Ġabra dwar is-Servizzi tan-Negozju u tal-Impjieg Indipendenti (l-Att dwar il-Liċenzji tan-Negozju) tal-4 ta’ Diċembru 2003.</w:t>
      </w:r>
    </w:p>
  </w:footnote>
  <w:footnote w:id="7">
    <w:p>
      <w:pPr>
        <w:pStyle w:val="FootnoteText"/>
      </w:pPr>
      <w:r>
        <w:rPr>
          <w:rStyle w:val="FootnoteReference"/>
        </w:rPr>
        <w:footnoteRef/>
      </w:r>
      <w:r>
        <w:tab/>
        <w:t>Il-Figura 50 tat-Tabella ta’ Valutazzjoni tal-Ġustizzja tal-UE għall-2021. Il-livell ta’ indipendenza ġudizzjarja perċepita huwa kategorizzat kif ġej: baxx ħafna (inqas minn 30 % ta’ dawk li wieġbu jqisu l-indipendenza ġudizzjarja bħala pjuttost tajba u tajba ħafna); baxxa (bejn 30-39 %), medja (bejn 40-59 %), għolja (bejn 60-75 %), għolja ħafna (aktar minn 75 %).</w:t>
      </w:r>
    </w:p>
  </w:footnote>
  <w:footnote w:id="8">
    <w:p>
      <w:pPr>
        <w:pStyle w:val="FootnoteText"/>
      </w:pPr>
      <w:r>
        <w:rPr>
          <w:rStyle w:val="FootnoteReference"/>
        </w:rPr>
        <w:footnoteRef/>
      </w:r>
      <w:r>
        <w:tab/>
        <w:t xml:space="preserve">Il-Figura 49 tat-Tabella ta’ Valutazzjoni tal-Ġustizzja tal-UE għall-2021. </w:t>
      </w:r>
    </w:p>
  </w:footnote>
  <w:footnote w:id="9">
    <w:p>
      <w:pPr>
        <w:pStyle w:val="FootnoteText"/>
      </w:pPr>
      <w:r>
        <w:rPr>
          <w:rStyle w:val="FootnoteReference"/>
        </w:rPr>
        <w:footnoteRef/>
      </w:r>
      <w:r>
        <w:tab/>
        <w:t>Ir-Rapport tal-2020 dwar l-Istat tad-Dritt, il-Kapitolu tal-Pajjiż dwar is-sitwazzjoni tal-istat tad-dritt fis-Slovakkja, pp. 2-3.</w:t>
      </w:r>
    </w:p>
  </w:footnote>
  <w:footnote w:id="10">
    <w:p>
      <w:pPr>
        <w:pStyle w:val="FootnoteText"/>
      </w:pPr>
      <w:r>
        <w:rPr>
          <w:rStyle w:val="FootnoteReference"/>
        </w:rPr>
        <w:footnoteRef/>
      </w:r>
      <w:r>
        <w:tab/>
        <w:t xml:space="preserve">Il-Figuri 49 u 51 tat-Tabella ta’ Valutazzjoni tal-Ġustizzja tal-UE għall-2021. </w:t>
      </w:r>
    </w:p>
  </w:footnote>
  <w:footnote w:id="11">
    <w:p>
      <w:pPr>
        <w:pStyle w:val="FootnoteText"/>
      </w:pPr>
      <w:r>
        <w:rPr>
          <w:rStyle w:val="FootnoteReference"/>
        </w:rPr>
        <w:footnoteRef/>
      </w:r>
      <w:r>
        <w:tab/>
        <w:t>Ir-Rapport tal-2020 dwar l-Istat tad-Dritt, il-Kapitolu tal-Pajjiż dwar is-sitwazzjoni tal-istat tad-dritt fis-Slovakkja, p. 2</w:t>
      </w:r>
    </w:p>
  </w:footnote>
  <w:footnote w:id="12">
    <w:p>
      <w:pPr>
        <w:pStyle w:val="FootnoteText"/>
      </w:pPr>
      <w:r>
        <w:rPr>
          <w:rStyle w:val="FootnoteReference"/>
        </w:rPr>
        <w:footnoteRef/>
      </w:r>
      <w:r>
        <w:t xml:space="preserve"> </w:t>
      </w:r>
      <w:r>
        <w:tab/>
        <w:t>Is-sitwazzjoni f’Mejju 2021. Informazzjoni provduta mill-Kunsill Ġudizzjarju tas-Slovakkja.</w:t>
      </w:r>
    </w:p>
  </w:footnote>
  <w:footnote w:id="13">
    <w:p>
      <w:pPr>
        <w:pStyle w:val="FootnoteText"/>
      </w:pPr>
      <w:r>
        <w:rPr>
          <w:rStyle w:val="FootnoteReference"/>
        </w:rPr>
        <w:footnoteRef/>
      </w:r>
      <w:r>
        <w:t xml:space="preserve"> </w:t>
      </w:r>
      <w:r>
        <w:tab/>
        <w:t xml:space="preserve">Prosekuturi, uffiċjali tal-pulizija u avukati, inklużi uffiċjali f’karigi għolja bħall-eks president tal-pulizija, il-Prosekutur Ġenerali, il-Prosekutur Speċjali jew eks segretarja tal-Istat fil-Ministeru għall-Ġustizzja. </w:t>
      </w:r>
    </w:p>
  </w:footnote>
  <w:footnote w:id="14">
    <w:p>
      <w:pPr>
        <w:pStyle w:val="FootnoteText"/>
      </w:pPr>
      <w:r>
        <w:rPr>
          <w:rStyle w:val="FootnoteReference"/>
        </w:rPr>
        <w:footnoteRef/>
      </w:r>
      <w:r>
        <w:t xml:space="preserve"> </w:t>
      </w:r>
      <w:r>
        <w:tab/>
        <w:t>Informazzjoni pprovduta mill-awtoritajiet SK.</w:t>
      </w:r>
    </w:p>
  </w:footnote>
  <w:footnote w:id="15">
    <w:p>
      <w:pPr>
        <w:pStyle w:val="FootnoteText"/>
      </w:pPr>
      <w:r>
        <w:rPr>
          <w:rStyle w:val="FootnoteReference"/>
        </w:rPr>
        <w:footnoteRef/>
      </w:r>
      <w:r>
        <w:t xml:space="preserve"> </w:t>
      </w:r>
      <w:r>
        <w:tab/>
        <w:t>Ir-Rakkomandazzjoni tal-Kunsill tal-20 ta’ Mejju 2020 dwar il-Programm Nazzjonali ta’ Riforma tas-Slovakkja tal-2020 u li tagħti l-opinjoni tal-Kunsill dwar il-Programm ta’ Stabbiltà tas-Slovakkja tal-2020, COM(2020) 525 final.</w:t>
      </w:r>
    </w:p>
  </w:footnote>
  <w:footnote w:id="16">
    <w:p>
      <w:pPr>
        <w:pStyle w:val="FootnoteText"/>
      </w:pPr>
      <w:r>
        <w:rPr>
          <w:rStyle w:val="FootnoteReference"/>
        </w:rPr>
        <w:footnoteRef/>
      </w:r>
      <w:r>
        <w:t xml:space="preserve"> </w:t>
      </w:r>
      <w:r>
        <w:tab/>
        <w:t>Id-Dikjarazzjoni tal-Programm tal-Gvern tar-Repubblika Slovakka għall-2020-2024 tad-19 ta’ April 2020, p. 8.</w:t>
      </w:r>
    </w:p>
  </w:footnote>
  <w:footnote w:id="17">
    <w:p>
      <w:pPr>
        <w:pStyle w:val="FootnoteText"/>
      </w:pPr>
      <w:r>
        <w:rPr>
          <w:rStyle w:val="FootnoteReference"/>
        </w:rPr>
        <w:footnoteRef/>
      </w:r>
      <w:r>
        <w:tab/>
        <w:t>Ir-Rapport tal-2020 dwar l-Istat tad-Dritt, il-Kapitolu tal-Pajjiż dwar is-sitwazzjoni tal-istat tad-dritt fis-Slovakkja, p. 3.</w:t>
      </w:r>
    </w:p>
  </w:footnote>
  <w:footnote w:id="18">
    <w:p>
      <w:pPr>
        <w:pStyle w:val="FootnoteText"/>
      </w:pPr>
      <w:r>
        <w:rPr>
          <w:rStyle w:val="FootnoteReference"/>
        </w:rPr>
        <w:footnoteRef/>
      </w:r>
      <w:r>
        <w:t xml:space="preserve"> </w:t>
      </w:r>
      <w:r>
        <w:tab/>
        <w:t xml:space="preserve">Kontribut mill-Via Iuris (L-Unjoni tal-Libertajiet Ċivili) għar-Rapport tal-2021 dwar l-Istat tad-Dritt, p. 3; Informazzjoni li waslet fil-kuntest taż-żjara tal-pajjiż fis-Slovakkja. </w:t>
      </w:r>
    </w:p>
  </w:footnote>
  <w:footnote w:id="19">
    <w:p>
      <w:pPr>
        <w:pStyle w:val="FootnoteText"/>
      </w:pPr>
      <w:r>
        <w:rPr>
          <w:rStyle w:val="FootnoteReference"/>
        </w:rPr>
        <w:footnoteRef/>
      </w:r>
      <w:r>
        <w:t xml:space="preserve"> </w:t>
      </w:r>
      <w:r>
        <w:tab/>
        <w:t>Kontribut mill-Via Iuris (L-Unjoni tal-Libertajiet Ċivili) għar-Rapport tal-2021 dwar l-Istat tad-Dritt, p. 3; Informazzjoni li waslet fil-kuntest taż-żjara tal-pajjiż fis-Slovakkja.</w:t>
      </w:r>
    </w:p>
  </w:footnote>
  <w:footnote w:id="20">
    <w:p>
      <w:pPr>
        <w:pStyle w:val="FootnoteText"/>
      </w:pPr>
      <w:r>
        <w:rPr>
          <w:rStyle w:val="FootnoteReference"/>
        </w:rPr>
        <w:footnoteRef/>
      </w:r>
      <w:r>
        <w:tab/>
        <w:t>Ir-Rapport tal-2020 dwar l-Istat tad-Dritt, il-Kapitolu tal-Pajjiż dwar is-sitwazzjoni tal-istat tad-dritt fis-Slovakkja, p. 4.</w:t>
      </w:r>
    </w:p>
  </w:footnote>
  <w:footnote w:id="21">
    <w:p>
      <w:pPr>
        <w:pStyle w:val="FootnoteText"/>
      </w:pPr>
      <w:r>
        <w:rPr>
          <w:rStyle w:val="FootnoteReference"/>
        </w:rPr>
        <w:footnoteRef/>
      </w:r>
      <w:r>
        <w:t xml:space="preserve"> </w:t>
      </w:r>
      <w:r>
        <w:tab/>
        <w:t>Il-Kunsill huwa magħmul minn 18-il Membru, li nofshom huma mħallfin eletti mill-pari tagħhom. Il-Gvern, il-Parlament u l-President tar-Repubblika jagħżlu tliet membri kull wieħed ukoll. Kompożizzjoni bħal din hija konsistenti mar-Rakkomandazzjoni CM/Rec(2010)12 tal-Kumitat tal-Ministri tal-Kunsill tal-Ewropa, il-paragrafi 26-27.</w:t>
      </w:r>
    </w:p>
  </w:footnote>
  <w:footnote w:id="22">
    <w:p>
      <w:pPr>
        <w:pStyle w:val="FootnoteText"/>
      </w:pPr>
      <w:r>
        <w:rPr>
          <w:rStyle w:val="FootnoteReference"/>
        </w:rPr>
        <w:footnoteRef/>
      </w:r>
      <w:r>
        <w:t xml:space="preserve"> </w:t>
      </w:r>
      <w:r>
        <w:tab/>
        <w:t>Ir-Rakkomandazzjoni CM/Rec(2010)12 tal-Kumitat tal-Ministri tal-Kunsill tal-Ewropa, il-paragrafu 27.</w:t>
      </w:r>
    </w:p>
  </w:footnote>
  <w:footnote w:id="23">
    <w:p>
      <w:pPr>
        <w:pStyle w:val="FootnoteText"/>
      </w:pPr>
      <w:r>
        <w:rPr>
          <w:rStyle w:val="FootnoteReference"/>
        </w:rPr>
        <w:footnoteRef/>
      </w:r>
      <w:r>
        <w:t xml:space="preserve"> </w:t>
      </w:r>
      <w:r>
        <w:tab/>
        <w:t xml:space="preserve">B’mod partikolari, l-Emenda tikkonferixxi lill-Kunsill Ġudizzjarju s-setgħa li jivvaluta d-dikjarazzjonijiet tal-assi tal-imħallfin. </w:t>
      </w:r>
    </w:p>
  </w:footnote>
  <w:footnote w:id="24">
    <w:p>
      <w:pPr>
        <w:pStyle w:val="FootnoteText"/>
      </w:pPr>
      <w:r>
        <w:rPr>
          <w:rStyle w:val="FootnoteReference"/>
        </w:rPr>
        <w:footnoteRef/>
      </w:r>
      <w:r>
        <w:t xml:space="preserve"> </w:t>
      </w:r>
      <w:r>
        <w:tab/>
        <w:t>Għal aktar informazzjoni dwar il-ħatra, ara n-nota 20 f’qiegħ il-paġna. Skont il-Memorandum ta’ spjegazzjoni tal-Att Kostituzzjonali Nru 422/20, p. 20, din il-possibbiltà kienet diġà teżisti fil-Kostituzzjoni u l-Emenda tikkonferma speċifikament l-eżistenza tagħha. Madankollu, il-Qorti Kostituzzjonali, fl-opinjoni unifikata tagħha tad-19 ta’ Settembru 2018 PLz. ÚS 2/2018 iddeċidiet bil-maqlub.</w:t>
      </w:r>
    </w:p>
  </w:footnote>
  <w:footnote w:id="25">
    <w:p>
      <w:pPr>
        <w:pStyle w:val="FootnoteText"/>
      </w:pPr>
      <w:r>
        <w:rPr>
          <w:rStyle w:val="FootnoteReference"/>
        </w:rPr>
        <w:footnoteRef/>
      </w:r>
      <w:r>
        <w:t xml:space="preserve"> </w:t>
      </w:r>
      <w:r>
        <w:tab/>
        <w:t>Memorandum ta’ spjegazzjoni tal-Att Kostituzzjonali Nru 422/20, p. 24.</w:t>
      </w:r>
    </w:p>
  </w:footnote>
  <w:footnote w:id="26">
    <w:p>
      <w:pPr>
        <w:pStyle w:val="FootnoteText"/>
      </w:pPr>
      <w:r>
        <w:rPr>
          <w:rStyle w:val="FootnoteReference"/>
        </w:rPr>
        <w:footnoteRef/>
      </w:r>
      <w:r>
        <w:t xml:space="preserve"> </w:t>
      </w:r>
      <w:r>
        <w:tab/>
        <w:t>Kif spjegat mir-rappreżentanti tal-gvern Slovakk, f’konformità mal-ġurisprudenza stabbilita tal-Qorti Kostituzzjonali, it-tkeċċija ma tridx tkun diskriminatorja jew arbitrarja; Informazzjoni li waslet fil-kuntest ta’ żjara ta’ segwitu għar-Rapport tal-2020 dwar l-Istat tad-Dritt.</w:t>
      </w:r>
    </w:p>
  </w:footnote>
  <w:footnote w:id="27">
    <w:p>
      <w:pPr>
        <w:pStyle w:val="FootnoteText"/>
      </w:pPr>
      <w:r>
        <w:rPr>
          <w:rStyle w:val="FootnoteReference"/>
        </w:rPr>
        <w:footnoteRef/>
      </w:r>
      <w:r>
        <w:t xml:space="preserve"> </w:t>
      </w:r>
      <w:r>
        <w:tab/>
        <w:t>Informazzjoni li waslet fil-kuntest ta’ żjara ta’ segwitu għar-Rapport tal-2020 dwar l-Istat tad-Dritt.</w:t>
      </w:r>
    </w:p>
  </w:footnote>
  <w:footnote w:id="28">
    <w:p>
      <w:pPr>
        <w:pStyle w:val="FootnoteText"/>
      </w:pPr>
      <w:r>
        <w:rPr>
          <w:rStyle w:val="FootnoteReference"/>
        </w:rPr>
        <w:footnoteRef/>
      </w:r>
      <w:r>
        <w:t xml:space="preserve"> </w:t>
      </w:r>
      <w:r>
        <w:tab/>
        <w:t xml:space="preserve">Sejħa miftuħa għal avukati Slovakki, aċċessibbli minn </w:t>
      </w:r>
      <w:hyperlink r:id="rId1" w:history="1">
        <w:r>
          <w:rPr>
            <w:rStyle w:val="Hyperlink"/>
          </w:rPr>
          <w:t>https://pravnystat.eu/en/</w:t>
        </w:r>
      </w:hyperlink>
      <w:r>
        <w:t xml:space="preserve"> u ppreżentata bħala kontribut għall-konsultazzjoni mal-partijiet ikkonċernati għar-Rapport tal-2021 dwar l-Istat tad-Dritt. Id-dispożizzjoni ġiet ikkontestata quddiem il-Qorti Kostituzzjonali, fejn għadha pendenti, il-fajl Nru 414/2021. </w:t>
      </w:r>
    </w:p>
  </w:footnote>
  <w:footnote w:id="29">
    <w:p>
      <w:pPr>
        <w:pStyle w:val="FootnoteText"/>
      </w:pPr>
      <w:r>
        <w:rPr>
          <w:rStyle w:val="FootnoteReference"/>
        </w:rPr>
        <w:footnoteRef/>
      </w:r>
      <w:r>
        <w:t xml:space="preserve"> </w:t>
      </w:r>
      <w:r>
        <w:tab/>
        <w:t>Skont l-Opinjoni tal-Bureau tal-Kunsill Konsultattiv ta’ Mħallfin Ewropej (CCJE) tad-9 ta’ Diċembru 2020, CCJE-BU(2020)3, b’segwitu għal talba minn membru tas-CCJE fir-rigward tas-Slovakkja dwar ir-riforma tal-ġudikatura fis-Slovakkja, pp. 2-3, il-Membri tal-Kunsill Ġudizzjarju għandhom igawdu minn garanziji ta’ indipendenza u protezzjoni minn pressjoni esterna, inkluż b’mod partikolari, billi jinħatru għal mandat bi żmien definit. Ara wkoll l-Opinjoni Nru10 (2007) tas-CCJE, 36; l-Opinjoni dwar l-Abbozz ta’ Emendi tal-Liġi Organika dwar il-Qrati tal-Ġuriżdizzjoni Ġenerali tal-Georgia CDL-AD(2013)007-e, il-paragrafu 71 “</w:t>
      </w:r>
      <w:r>
        <w:rPr>
          <w:i/>
          <w:iCs/>
        </w:rPr>
        <w:t>Il-Kummissjoni ta’ Venezja hija tal-fehma li meta juża s-setgħa leġiżlattiva tiegħu biex ifassal it-tħaddim u l-organizzazzjoni tal-futur tal-ġudikatura, il-Parlament għandu joqgħod lura milli jadotta miżuri li jpoġġu f’riskju l-kontinwità tas-sħubija tal-Kunsill Ġudizzjarju Għoli</w:t>
      </w:r>
      <w:r>
        <w:t>”. Il-Qorti Kostituzzjonali tas-Slovakkja waslet għal konklużjonijiet simili fis-sentenza tad-19 ta’ Settembru 2018 PLz. ÚS 2/2018, il-punt 12.</w:t>
      </w:r>
    </w:p>
  </w:footnote>
  <w:footnote w:id="30">
    <w:p>
      <w:pPr>
        <w:pStyle w:val="FootnoteText"/>
      </w:pPr>
      <w:r>
        <w:rPr>
          <w:rStyle w:val="FootnoteReference"/>
        </w:rPr>
        <w:footnoteRef/>
      </w:r>
      <w:r>
        <w:t xml:space="preserve"> </w:t>
      </w:r>
      <w:r>
        <w:tab/>
        <w:t xml:space="preserve">Mhuwiex ċar sa liema punt il-Qorti Kostituzzjonali tista’ tivvaluta d-deċiżjoni tat-tkeċċija mill-perspettiva tal-indipendenza ġudizzjarja. Informazzjoni li waslet fil-kuntest ta’ żjara ta’ segwitu għar-Rapport tal-2020 dwar l-Istat tad-Dritt. </w:t>
      </w:r>
    </w:p>
  </w:footnote>
  <w:footnote w:id="31">
    <w:p>
      <w:pPr>
        <w:pStyle w:val="FootnoteText"/>
      </w:pPr>
      <w:r>
        <w:rPr>
          <w:rStyle w:val="FootnoteReference"/>
        </w:rPr>
        <w:footnoteRef/>
      </w:r>
      <w:r>
        <w:t xml:space="preserve"> </w:t>
      </w:r>
      <w:r>
        <w:tab/>
        <w:t xml:space="preserve">Il-Qorti tal-Ġustizzja fakkret, fir-rigward tal-proċess għall-ħatra tal-membri tal-ġudikatura, biex Kunsill tal-Ġudikatura jikkontribwixxi biex jagħmel dak il-proċess aktar oġġettiv, huwa meħtieġ li tali korp ikun hu stess indipendenti biżżejjed mil-leġiżlatura, l-eżekuttiv u l-awtorità li lilhom ikun meħtieġ jippreżenta opinjoni dwar il-valutazzjoni tal-kandidati għal kariga ġudizzjarja. Ara s-sentenza tal-QĠUE tal-20 ta’ April 2021, </w:t>
      </w:r>
      <w:r>
        <w:rPr>
          <w:i/>
        </w:rPr>
        <w:t>Repubblika</w:t>
      </w:r>
      <w:r>
        <w:t>, il-Kawża C-896/19, il-punt 66.</w:t>
      </w:r>
    </w:p>
  </w:footnote>
  <w:footnote w:id="32">
    <w:p>
      <w:pPr>
        <w:pStyle w:val="FootnoteText"/>
      </w:pPr>
      <w:r>
        <w:rPr>
          <w:rStyle w:val="FootnoteReference"/>
        </w:rPr>
        <w:footnoteRef/>
      </w:r>
      <w:r>
        <w:tab/>
        <w:t>Ir-Rapport tal-2020 dwar l-Istat tad-Dritt, il-Kapitolu tal-Pajjiż dwar is-sitwazzjoni tal-istat tad-dritt fis-Slovakkja, p. 4.</w:t>
      </w:r>
    </w:p>
  </w:footnote>
  <w:footnote w:id="33">
    <w:p>
      <w:pPr>
        <w:pStyle w:val="FootnoteText"/>
      </w:pPr>
      <w:r>
        <w:rPr>
          <w:rStyle w:val="FootnoteReference"/>
        </w:rPr>
        <w:footnoteRef/>
      </w:r>
      <w:r>
        <w:t xml:space="preserve"> </w:t>
      </w:r>
      <w:r>
        <w:tab/>
        <w:t xml:space="preserve">Dispożizzjoni tranżizzjonali stipulat li l-imħallfin li kienu għalqu 67 sena meta daħlet fis-seħħ l-Emenda Kostituzzjonali (l-1 ta’ Jannar 2021) kellhom jirtiraw sal-1 ta’ Frar 2021. L-awtoritajiet tas-Slovakkja kkonfermaw li ma kien hemm l-ebda mħallef f’din is-sitwazzjoni u d-dispożizzjoni għalhekk ma ġietx applikata. </w:t>
      </w:r>
    </w:p>
  </w:footnote>
  <w:footnote w:id="34">
    <w:p>
      <w:pPr>
        <w:pStyle w:val="FootnoteText"/>
      </w:pPr>
      <w:r>
        <w:rPr>
          <w:rStyle w:val="FootnoteReference"/>
        </w:rPr>
        <w:footnoteRef/>
      </w:r>
      <w:r>
        <w:t xml:space="preserve"> </w:t>
      </w:r>
      <w:r>
        <w:tab/>
        <w:t>L-Att Nru 312/2020 dwar il-Konfiska tal-Assi u l-Ġestjoni tal-Proprjetà Maqbuda u Emendi għal Ċerti Atti, effettiv mill-1 ta’ Jannar 2021.</w:t>
      </w:r>
    </w:p>
  </w:footnote>
  <w:footnote w:id="35">
    <w:p>
      <w:pPr>
        <w:pStyle w:val="FootnoteText"/>
      </w:pPr>
      <w:r>
        <w:rPr>
          <w:rStyle w:val="FootnoteReference"/>
        </w:rPr>
        <w:footnoteRef/>
      </w:r>
      <w:r>
        <w:t xml:space="preserve"> </w:t>
      </w:r>
      <w:r>
        <w:tab/>
        <w:t>Id-dispożizzjoni tapplika wkoll għall-maġistrati popolari.</w:t>
      </w:r>
    </w:p>
  </w:footnote>
  <w:footnote w:id="36">
    <w:p>
      <w:pPr>
        <w:pStyle w:val="FootnoteText"/>
      </w:pPr>
      <w:r>
        <w:rPr>
          <w:rStyle w:val="FootnoteReference"/>
        </w:rPr>
        <w:footnoteRef/>
      </w:r>
      <w:r>
        <w:t xml:space="preserve"> </w:t>
      </w:r>
      <w:r>
        <w:tab/>
        <w:t>L-Artikolu 148(4) tal-Kostituzzjoni.</w:t>
      </w:r>
    </w:p>
  </w:footnote>
  <w:footnote w:id="37">
    <w:p>
      <w:pPr>
        <w:pStyle w:val="FootnoteText"/>
      </w:pPr>
      <w:r>
        <w:rPr>
          <w:rStyle w:val="FootnoteReference"/>
        </w:rPr>
        <w:footnoteRef/>
      </w:r>
      <w:r>
        <w:t xml:space="preserve"> </w:t>
      </w:r>
      <w:r>
        <w:tab/>
        <w:t>L-Artikolu 326a tal-Kodiċi Kriminali.</w:t>
      </w:r>
    </w:p>
  </w:footnote>
  <w:footnote w:id="38">
    <w:p>
      <w:pPr>
        <w:pStyle w:val="FootnoteText"/>
      </w:pPr>
      <w:r>
        <w:rPr>
          <w:rStyle w:val="FootnoteReference"/>
        </w:rPr>
        <w:footnoteRef/>
      </w:r>
      <w:r>
        <w:t xml:space="preserve"> </w:t>
      </w:r>
      <w:r>
        <w:tab/>
        <w:t>Id-dispożizzjoni tapplika wkoll għall-maġistrati popolari u l-arbitri.</w:t>
      </w:r>
    </w:p>
  </w:footnote>
  <w:footnote w:id="39">
    <w:p>
      <w:pPr>
        <w:pStyle w:val="FootnoteText"/>
      </w:pPr>
      <w:r>
        <w:rPr>
          <w:rStyle w:val="FootnoteReference"/>
        </w:rPr>
        <w:footnoteRef/>
      </w:r>
      <w:r>
        <w:t xml:space="preserve"> </w:t>
      </w:r>
      <w:r>
        <w:tab/>
        <w:t>Għal aktar informazzjoni ara l-kontribut mill-Via Iuris (L-Unjoni tal-Libertajiet Ċivili) għar-Rapport tal-2021 dwar l-Istat tad-Dritt, p. 8.</w:t>
      </w:r>
    </w:p>
  </w:footnote>
  <w:footnote w:id="40">
    <w:p>
      <w:pPr>
        <w:pStyle w:val="FootnoteText"/>
      </w:pPr>
      <w:r>
        <w:rPr>
          <w:rStyle w:val="FootnoteReference"/>
        </w:rPr>
        <w:footnoteRef/>
      </w:r>
      <w:r>
        <w:t xml:space="preserve"> </w:t>
      </w:r>
      <w:r>
        <w:tab/>
        <w:t>Memorandum ta’ spjegazzjoni tal-Att Nru 312/2020, p. 40; Informazzjoni li waslet fil-kuntest ta’ żjara ta’ segwitu għar-Rapport tal-2020 dwar l-Istat tad-Dritt.</w:t>
      </w:r>
    </w:p>
  </w:footnote>
  <w:footnote w:id="41">
    <w:p>
      <w:pPr>
        <w:pStyle w:val="FootnoteText"/>
      </w:pPr>
      <w:r>
        <w:rPr>
          <w:rStyle w:val="FootnoteReference"/>
        </w:rPr>
        <w:footnoteRef/>
      </w:r>
      <w:r>
        <w:t xml:space="preserve"> </w:t>
      </w:r>
      <w:r>
        <w:tab/>
        <w:t>Madankollu jidher li din is-salvagwardja hija fis-seħħ biss sal-2024, l-Att 423/2020, l-Artikoli III, XXX.</w:t>
      </w:r>
    </w:p>
  </w:footnote>
  <w:footnote w:id="42">
    <w:p>
      <w:pPr>
        <w:pStyle w:val="FootnoteText"/>
      </w:pPr>
      <w:r>
        <w:rPr>
          <w:rStyle w:val="FootnoteReference"/>
        </w:rPr>
        <w:footnoteRef/>
      </w:r>
      <w:r>
        <w:t xml:space="preserve"> </w:t>
      </w:r>
      <w:r>
        <w:tab/>
        <w:t>L-Artikolu 22 tal-Att 385/2000 dwar il-Qrati. Skont l-Artikolu 22a, imħallef jista’ wkoll jiġi sospiż temporanjament permezz ta’ deċiżjoni tal-Kunsill Ġudizzjarju jekk ikun hemm dubji ġustifikati dwar jekk humiex sodisfatti r-rekwiżiti għall-kwalifika bħala mħallef, jew jekk il-kredibbiltà tal-ġudikatura jew ir-reputazzjoni tal-ġudikatura jaf tkun serjament ipperikolata. Wara l-adozzjoni tal-emenda Kostituzzjonali f'Diċembru 2021, il-ftehim tal-Qorti Kostituzzjonali ma għadux meħtieġ aktar sabiex imħallef jinżamm arrestat. Għal aktar informazzjoni ara l-kontribut mill-Via Iuris (L-Unjoni tal-Libertajiet Ċivili) għar-Rapport tal-2021 dwar l-Istat tad-Dritt, p. 8.</w:t>
      </w:r>
    </w:p>
  </w:footnote>
  <w:footnote w:id="43">
    <w:p>
      <w:pPr>
        <w:pStyle w:val="FootnoteText"/>
      </w:pPr>
      <w:r>
        <w:rPr>
          <w:rStyle w:val="FootnoteReference"/>
        </w:rPr>
        <w:footnoteRef/>
      </w:r>
      <w:r>
        <w:t xml:space="preserve"> </w:t>
      </w:r>
      <w:r>
        <w:tab/>
        <w:t xml:space="preserve">Ir-Rakkomandazzjoni CM/Rec(2010)12 tal-Kumitat tal-Ministri tal-Kunsill tal-Ewropa, il-paragrafu 68; ara b’analoġija f’każ ta’ proċedimenti dixxiplinari kontra mħallfin: is-sentenza tal-QĠUE tad-19 ta’ Novembru 2019, </w:t>
      </w:r>
      <w:r>
        <w:rPr>
          <w:i/>
        </w:rPr>
        <w:t>LM</w:t>
      </w:r>
      <w:r>
        <w:t>, C-216/18, il-punt 67, fir-rigward tar-responsabbiltà tal-imħallfin ara wkoll is-sentenza tal-QĠUE tat-18 ta’ Mejju 2021 fil-Kawżi Magħquda C-83/19, C-127/19, C-195/19, C-291/19, C-355/19 u C-397/19, il-punti 228-239.</w:t>
      </w:r>
    </w:p>
  </w:footnote>
  <w:footnote w:id="44">
    <w:p>
      <w:pPr>
        <w:pStyle w:val="FootnoteText"/>
      </w:pPr>
      <w:r>
        <w:rPr>
          <w:rStyle w:val="FootnoteReference"/>
        </w:rPr>
        <w:footnoteRef/>
      </w:r>
      <w:r>
        <w:t xml:space="preserve"> </w:t>
      </w:r>
      <w:r>
        <w:tab/>
        <w:t xml:space="preserve">Skont l-Opinjoni tal-Bureau tas-CCJE tad-9 ta’ Diċembru 2020, fir-rigward tal-Kostituzzjoni (CCJE-BU(2020)3, p. 5), il-lingwaġġ tar-riformulazzjoni tal-Kostituzzjoni huwa vag u jġib miegħu riskju potenzjali ta’ abbuż; sejħa miftuħa għal avukati Slovakki, aċċessibbli minn </w:t>
      </w:r>
      <w:hyperlink r:id="rId2" w:history="1">
        <w:r>
          <w:rPr>
            <w:rStyle w:val="Hyperlink"/>
          </w:rPr>
          <w:t>https://pravnystat.eu/en/</w:t>
        </w:r>
      </w:hyperlink>
      <w:r>
        <w:t xml:space="preserve"> u ppreżentata bħala kontribut għall-konsultazzjoni mal-partijiet ikkonċernati għar-Rapport tal-2021 dwar l-Istat tad-Dritt.</w:t>
      </w:r>
    </w:p>
  </w:footnote>
  <w:footnote w:id="45">
    <w:p>
      <w:pPr>
        <w:pStyle w:val="FootnoteText"/>
      </w:pPr>
      <w:r>
        <w:rPr>
          <w:rStyle w:val="FootnoteReference"/>
        </w:rPr>
        <w:footnoteRef/>
      </w:r>
      <w:r>
        <w:t xml:space="preserve"> </w:t>
      </w:r>
      <w:r>
        <w:tab/>
        <w:t>Preċedentement, kien biss possibbli li l-imħallfin jiġu trasferiti mingħajr il-kunsens tagħhom minħabba l-proċedimenti ġudizzjarji. L-Artikolu 148(1) tal-Kostituzzjoni.</w:t>
      </w:r>
    </w:p>
  </w:footnote>
  <w:footnote w:id="46">
    <w:p>
      <w:pPr>
        <w:pStyle w:val="FootnoteText"/>
      </w:pPr>
      <w:r>
        <w:rPr>
          <w:rStyle w:val="FootnoteReference"/>
        </w:rPr>
        <w:footnoteRef/>
      </w:r>
      <w:r>
        <w:t xml:space="preserve"> </w:t>
      </w:r>
      <w:r>
        <w:tab/>
        <w:t xml:space="preserve">Ir-Rakkomandazzjoni CM/Rec(2010)12 tal-Kumitat tal-Ministri tal-Kunsill tal-Ewropa, il-paragrafu 52; il-Karta Ewropea tal-Istatut tal-Imħallfin, l-Artikoli 1.4., 3.4.; In-Network Ewropew tal-Kunsilli għall-Ġudikatura, </w:t>
      </w:r>
      <w:r>
        <w:rPr>
          <w:rStyle w:val="sb8d990e2"/>
        </w:rPr>
        <w:t xml:space="preserve"> dwar Standards Minimi għall-evalwazzjoni tal-prestazzjoni professjonali u l-irrimovibbiltà tal-membri tal-ġudikatura, il-proposta 4.21;</w:t>
      </w:r>
      <w:r>
        <w:t>.</w:t>
      </w:r>
      <w:r>
        <w:rPr>
          <w:rStyle w:val="sb8d990e2"/>
        </w:rPr>
        <w:t xml:space="preserve"> is-sentenza tal-Qorti Ewropea tad-Drittijiet tal-Bniedem tad-9 ta’ Marzu 2021, </w:t>
      </w:r>
      <w:r>
        <w:rPr>
          <w:rStyle w:val="sb8d990e2"/>
          <w:i/>
        </w:rPr>
        <w:t>Bilgen v Turkey</w:t>
      </w:r>
      <w:r>
        <w:rPr>
          <w:rStyle w:val="sb8d990e2"/>
        </w:rPr>
        <w:t>, 1571/07, il-punt 96.</w:t>
      </w:r>
    </w:p>
  </w:footnote>
  <w:footnote w:id="47">
    <w:p>
      <w:pPr>
        <w:pStyle w:val="FootnoteText"/>
      </w:pPr>
      <w:r>
        <w:rPr>
          <w:rStyle w:val="FootnoteReference"/>
        </w:rPr>
        <w:footnoteRef/>
      </w:r>
      <w:r>
        <w:t xml:space="preserve"> </w:t>
      </w:r>
      <w:r>
        <w:tab/>
        <w:t>Skont l-Artikolu 148(1) tal-Kostituzzjoni, trasferiment f’każ ta’ bidla fil-mappa ġudizzjarja jiġi speċifikat ulterjorment permezz ta’ liġi ta’ implimentazzjoni.</w:t>
      </w:r>
    </w:p>
  </w:footnote>
  <w:footnote w:id="48">
    <w:p>
      <w:pPr>
        <w:pStyle w:val="FootnoteText"/>
      </w:pPr>
      <w:r>
        <w:rPr>
          <w:rStyle w:val="FootnoteReference"/>
        </w:rPr>
        <w:footnoteRef/>
      </w:r>
      <w:r>
        <w:tab/>
        <w:t>Ir-Rapport tal-2020 dwar l-Istat tad-Dritt, il-Kapitolu tal-Pajjiż dwar is-sitwazzjoni tal-istat tad-dritt fis-Slovakkja, p. 4.</w:t>
      </w:r>
    </w:p>
  </w:footnote>
  <w:footnote w:id="49">
    <w:p>
      <w:pPr>
        <w:pStyle w:val="FootnoteText"/>
      </w:pPr>
      <w:r>
        <w:rPr>
          <w:rStyle w:val="FootnoteReference"/>
        </w:rPr>
        <w:footnoteRef/>
      </w:r>
      <w:r>
        <w:t xml:space="preserve"> </w:t>
      </w:r>
      <w:r>
        <w:tab/>
        <w:t>CEPEJ (Novembru 2017), Efficiency and quality of the Slovak judicial system, Assessment and recommendations on the basis of CEPEJ tools, CEPEJ-COOP(2017)14, pp. 20-28.</w:t>
      </w:r>
    </w:p>
  </w:footnote>
  <w:footnote w:id="50">
    <w:p>
      <w:pPr>
        <w:pStyle w:val="FootnoteText"/>
      </w:pPr>
      <w:r>
        <w:rPr>
          <w:rStyle w:val="FootnoteReference"/>
        </w:rPr>
        <w:footnoteRef/>
      </w:r>
      <w:r>
        <w:t xml:space="preserve"> </w:t>
      </w:r>
      <w:r>
        <w:tab/>
        <w:t xml:space="preserve">Il-proċess ta’ abbozzar kellu diversi stadji. Fl-ewwel stadju, grupp ta’ ħidma ta’ kważi 50 membru (li l-maġġorparti tagħhom kienu mħallfin, inklużi l-presidenti tal-qrati tal-Prim’Istanza u tat-Tieni Istanza, u membri tal-Kunsill Ġudizzjarju, inkluż il-president tiegħu) qablu dwar il-fatturi ewlenin tar-riforma. Fit-tieni stadju fl-ewwel nofs tal-2020, grupp ta’ ħidma iżgħar u ġdid ta’ bejn wieħed u ieħor 10 membri (li erbgħa minnhom kien imħallfin) abbozzaw ir-riforma fuq il-bażi ta’ rakkomandazzjonijiet mill-ewwel grupp ta’ ħidma. Madankollu, il-partijiet ikkonċernati jpoġġu f’dubju sa liema punt ġew riflessi r-rakkomandazzjonijiet. Il-minuti u l-listi tal-preżenza mil-laqgħat tal-grupp ta’ ħidma fl-ewwel stadju huma disponibbli hawnhekk </w:t>
      </w:r>
      <w:hyperlink r:id="rId3" w:history="1">
        <w:r>
          <w:rPr>
            <w:rStyle w:val="Hyperlink"/>
          </w:rPr>
          <w:t>http://web.ac-mssr.sk/sudna-mapa-otazky-a-odpovede/</w:t>
        </w:r>
      </w:hyperlink>
      <w:r>
        <w:t xml:space="preserve">. Informazzjoni li waslet fil-kuntest taż-żjara tal-pajjiż fis-Slovakkja; Informazzjoni ppubblikata mill-Ministeru għall-Ġustizzja, ippubblikata f’sit web dwar il-mappa l-ġdida tal-qrati, </w:t>
      </w:r>
      <w:hyperlink r:id="rId4" w:history="1">
        <w:r>
          <w:rPr>
            <w:rStyle w:val="Hyperlink"/>
          </w:rPr>
          <w:t>http://web.ac-mssr.sk/sudna-mapa-otazky-a-odpovede/</w:t>
        </w:r>
      </w:hyperlink>
      <w:r>
        <w:t>; Iċ-Ċentru Analitiku tal-Ministeru għall-Ġustizzja (Diċembru 2020), Rakkomandazzjonijiet għat-tħejjija ta’ mappa ġudizzjarja ġdida, pp. 15-17;</w:t>
      </w:r>
    </w:p>
  </w:footnote>
  <w:footnote w:id="51">
    <w:p>
      <w:pPr>
        <w:pStyle w:val="FootnoteText"/>
      </w:pPr>
      <w:r>
        <w:rPr>
          <w:rStyle w:val="FootnoteReference"/>
        </w:rPr>
        <w:footnoteRef/>
      </w:r>
      <w:r>
        <w:t xml:space="preserve"> </w:t>
      </w:r>
      <w:r>
        <w:tab/>
        <w:t>Iċ-Ċentru Analitiku tal-Ministeru għall-Ġustizzja (Novembru 2020), Riforma tal-Mappa Ġudizzjarja, p. 4.</w:t>
      </w:r>
    </w:p>
  </w:footnote>
  <w:footnote w:id="52">
    <w:p>
      <w:pPr>
        <w:pStyle w:val="FootnoteText"/>
      </w:pPr>
      <w:r>
        <w:rPr>
          <w:rStyle w:val="FootnoteReference"/>
        </w:rPr>
        <w:footnoteRef/>
      </w:r>
      <w:r>
        <w:t xml:space="preserve"> </w:t>
      </w:r>
      <w:r>
        <w:tab/>
        <w:t xml:space="preserve">Iċ-Ċentru Analitiku tal-Ministeru għall-Ġustizzja (Novembru 2020), Riforma tal-Mappa Ġudizzjarja, pp. 20-21. Spjegazzjoni tal-valutazzjoni ta’ dawn il-kriterji għal kull distrett tingħata fiċ-Ċentru Analitiku tal-Ministeru għall-Ġustizzja (Novembru 2020), Odporúčania pre tvorbu novej súdnej mapy,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L-għan tal-grupp ta’ ħidma kien li jinħolqu distretti li, fuq il-bażi tal-għadd medju tal-kawżi li jidħlu għal kull waħda mill-qrati ta’ bħalissa, ikollhom biżżejjed kawżi għal minn tal-anqas tliet imħallfin speċjalizzati / tliet senati speċjalizzati għal kull aġenda. L-abbozz tar-riforma ppropona wkoll li jinħolqu qrati amministrattivi separati (ara hawn taħt). Iċ-Ċentru Analitiku tal-Ministeru għall-Ġustizzja (Novembru 2020), Riforma tal-Mappa Ġudizzjarja, pp. 20-21; iċ-Ċentru Analitiku tal-Ministeru għall-Ġustizzja (Novembru 2020), Odporúčania pre tvorbu novej súdnej mapy, pp. 20-21, 34, 43.</w:t>
      </w:r>
    </w:p>
  </w:footnote>
  <w:footnote w:id="54">
    <w:p>
      <w:pPr>
        <w:pStyle w:val="FootnoteText"/>
      </w:pPr>
      <w:r>
        <w:rPr>
          <w:rStyle w:val="FootnoteReference"/>
        </w:rPr>
        <w:footnoteRef/>
      </w:r>
      <w:r>
        <w:t xml:space="preserve"> </w:t>
      </w:r>
      <w:r>
        <w:tab/>
        <w:t>Abbozz tal-Att dwar is-sedi u l-ġuriżdizzjoni territorjali tal-qrati, l-Artikoli 10(2) u 11(2), jinsabu hawnhekk https://www.slov-lex.sk/legislativne-procesy/SK/LP/2020/587.</w:t>
      </w:r>
    </w:p>
  </w:footnote>
  <w:footnote w:id="55">
    <w:p>
      <w:pPr>
        <w:pStyle w:val="FootnoteText"/>
      </w:pPr>
      <w:r>
        <w:rPr>
          <w:rStyle w:val="FootnoteReference"/>
        </w:rPr>
        <w:footnoteRef/>
      </w:r>
      <w:r>
        <w:t xml:space="preserve"> </w:t>
      </w:r>
      <w:r>
        <w:tab/>
        <w:t xml:space="preserve">Il-Ministeru għall-Ġustizzja, Skeda taż-żmien tal-proċess tal-abbozzar,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Il-portal tal-informazzjoni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Kontribut mill-Pjattaforma ta’ Komunikazzjoni tal-imħallfin Slovakki Sudnamoc.sk u l-Assoċjazzjoni tal-imħallfin Slovakki għar-Rapport tal-2021 dwar l-Istat tad-Dritt; Informazzjoni li waslet fil-kuntest taż-żjara tal-pajjiż fis-Slovakkja. Barra minn hekk l-abbozz jinkludi opzjonijiet differenti għall-għażliet tal-presidenti tal-qrati, li jagħti lok għal mistoqsijiet fir-rigward tad-diskrezzjoni mogħtija lis-setgħa eżekuttiva, l-Artikolu XVI, il-punt 35 tal-Abbozz tal-Att dwar is-sedi u l-ġuriżdizzjoni territorjali tal-qrati, li jżid l-Artikolu 101f(4) mal-Att Nru 757/2004, dwar il-Qrati. </w:t>
      </w:r>
    </w:p>
  </w:footnote>
  <w:footnote w:id="58">
    <w:p>
      <w:pPr>
        <w:pStyle w:val="FootnoteText"/>
      </w:pPr>
      <w:r>
        <w:rPr>
          <w:rStyle w:val="FootnoteReference"/>
        </w:rPr>
        <w:footnoteRef/>
      </w:r>
      <w:r>
        <w:t xml:space="preserve"> </w:t>
      </w:r>
      <w:r>
        <w:tab/>
        <w:t>Informazzjoni li waslet mill-awtoritajiet Slovakki.</w:t>
      </w:r>
    </w:p>
  </w:footnote>
  <w:footnote w:id="59">
    <w:p>
      <w:pPr>
        <w:pStyle w:val="FootnoteText"/>
      </w:pPr>
      <w:r>
        <w:rPr>
          <w:rStyle w:val="FootnoteReference"/>
        </w:rPr>
        <w:footnoteRef/>
      </w:r>
      <w:r>
        <w:t xml:space="preserve"> </w:t>
      </w:r>
      <w:r>
        <w:tab/>
        <w:t xml:space="preserve">Ġie nnutat li l-abbozz tar-riforma jipproponi li l-imħallfin jitressqu permezz ta’ suċċessjoni universali mingħajr ma tintuża d-dispożizzjoni dwar it-trasferiment tal-imħallfin kif stipulat fl-Artikolu 14, l-Att 385/2000, dwar il-Qrati. L-istandards Ewropej rigward it-trasferiment japplikaw irrispettivament. </w:t>
      </w:r>
    </w:p>
  </w:footnote>
  <w:footnote w:id="60">
    <w:p>
      <w:pPr>
        <w:pStyle w:val="FootnoteText"/>
      </w:pPr>
      <w:r>
        <w:rPr>
          <w:rStyle w:val="FootnoteReference"/>
        </w:rPr>
        <w:footnoteRef/>
      </w:r>
      <w:r>
        <w:t xml:space="preserve"> </w:t>
      </w:r>
      <w:r>
        <w:tab/>
        <w:t>CEPEJ (l-14 ta’ Diċembru 2020), CEPEJ Experts’ review of the Judicial Map Reform in the Slovak Republic, pp. 8-9.</w:t>
      </w:r>
    </w:p>
  </w:footnote>
  <w:footnote w:id="61">
    <w:p>
      <w:pPr>
        <w:pStyle w:val="FootnoteText"/>
      </w:pPr>
      <w:r>
        <w:rPr>
          <w:rStyle w:val="FootnoteReference"/>
        </w:rPr>
        <w:footnoteRef/>
      </w:r>
      <w:r>
        <w:t xml:space="preserve"> </w:t>
      </w:r>
      <w:r>
        <w:tab/>
        <w:t>CEPEJ (l-14 ta’ Diċembru 2020), CEPEJ Experts’ review of the Judicial Map Reform in the Slovak Republic, pp. 10-11.</w:t>
      </w:r>
    </w:p>
  </w:footnote>
  <w:footnote w:id="62">
    <w:p>
      <w:pPr>
        <w:pStyle w:val="FootnoteText"/>
      </w:pPr>
      <w:r>
        <w:rPr>
          <w:rStyle w:val="FootnoteReference"/>
        </w:rPr>
        <w:footnoteRef/>
      </w:r>
      <w:r>
        <w:rPr>
          <w:rStyle w:val="FootnoteReference"/>
        </w:rPr>
        <w:t xml:space="preserve"> </w:t>
      </w:r>
      <w:r>
        <w:tab/>
        <w:t>Il-Qorti Amministrattiva Suprema tkun, fost l-oħrajn, qorti amministrattiva tat-Tieni Istanza. Il-kawżi amministrattivi tal-Prim’Istanza bħalissa huma trattati mis-senati amministrattivi tal-qrati reġjonali u se jiġu trasferiti għall-qrati amministrattivi l-ġodda wara li jiġu stabbiliti.</w:t>
      </w:r>
    </w:p>
  </w:footnote>
  <w:footnote w:id="63">
    <w:p>
      <w:pPr>
        <w:pStyle w:val="FootnoteText"/>
      </w:pPr>
      <w:r>
        <w:rPr>
          <w:rStyle w:val="FootnoteReference"/>
        </w:rPr>
        <w:footnoteRef/>
      </w:r>
      <w:r>
        <w:t xml:space="preserve"> </w:t>
      </w:r>
      <w:r>
        <w:tab/>
        <w:t>Fit-2 ta’ Ġunju 2021, il-Ministeru għall-Ġustizzja talab l-opinjoni tal-Kummissjoni ta’ Venezja dwar kompetenza possibbli tal-Qorti Amministrattiva Suprema biex isservi bħala korp tal-appell li jistħarreġ id-deċiżjonijiet dixxiplinari rigward l-avukati tal-Kamra tal-Avukati Slovakka u dwar il-pożizzjoni u l-istatus tal-avukati fl-ordinament ġuridiku Slovakk. Bħalissa mhi qed titħejja l-ebda leġiżlazzjoni biex il-Qorti tingħata setgħa bħal din, iżda dan huwa ssuġġerit fil-Memorandum ta’ spjegazzjoni tal-Att Kostituzzjonali Nru 422/20, p. 28.</w:t>
      </w:r>
    </w:p>
  </w:footnote>
  <w:footnote w:id="64">
    <w:p>
      <w:pPr>
        <w:pStyle w:val="FootnoteText"/>
      </w:pPr>
      <w:r>
        <w:rPr>
          <w:rStyle w:val="FootnoteReference"/>
        </w:rPr>
        <w:footnoteRef/>
      </w:r>
      <w:r>
        <w:t xml:space="preserve"> </w:t>
      </w:r>
      <w:r>
        <w:tab/>
        <w:t>Il-President tal-Qorti Suprema nħatar mill-President tar-Repubblika fuq il-bażi ta’ proposta mill-Kunsill Ġudizzjarju fuq il-bażi tad-dispożizzjoni tranżizzjonali 154g(7) tal-Kostituzzjoni.</w:t>
      </w:r>
    </w:p>
  </w:footnote>
  <w:footnote w:id="65">
    <w:p>
      <w:pPr>
        <w:pStyle w:val="FootnoteText"/>
      </w:pPr>
      <w:r>
        <w:rPr>
          <w:rStyle w:val="FootnoteReference"/>
        </w:rPr>
        <w:footnoteRef/>
      </w:r>
      <w:r>
        <w:t xml:space="preserve"> </w:t>
      </w:r>
      <w:r>
        <w:tab/>
        <w:t xml:space="preserve">L-Artikolu 151zf, l-Att 385/2000, dwar il-Qrati. </w:t>
      </w:r>
    </w:p>
  </w:footnote>
  <w:footnote w:id="66">
    <w:p>
      <w:pPr>
        <w:pStyle w:val="FootnoteText"/>
      </w:pPr>
      <w:r>
        <w:rPr>
          <w:rStyle w:val="FootnoteReference"/>
        </w:rPr>
        <w:footnoteRef/>
      </w:r>
      <w:r>
        <w:t xml:space="preserve"> </w:t>
      </w:r>
      <w:r>
        <w:tab/>
        <w:t>L-Artikolu XVI, il-punt 35 tal-Abbozz tal-Att dwar is-sedi u l-ġuriżdizzjoni territorjali tal-qrati, li jżid l-Artikolu 101f(1) mal-Att Nru 757/2004, dwar il-Qrati.</w:t>
      </w:r>
    </w:p>
  </w:footnote>
  <w:footnote w:id="67">
    <w:p>
      <w:pPr>
        <w:pStyle w:val="FootnoteText"/>
      </w:pPr>
      <w:r>
        <w:rPr>
          <w:rStyle w:val="FootnoteReference"/>
        </w:rPr>
        <w:footnoteRef/>
      </w:r>
      <w:r>
        <w:t xml:space="preserve"> </w:t>
      </w:r>
      <w:r>
        <w:tab/>
        <w:t xml:space="preserve">Fil-proċess standard tal-ħatra tal-presidenti tal-qrati kif stipulat fl-Artikoli 36 u 37 tal-Att 750/2004, dwar il-Qrati, jintgħażlu erba’ membri tal-kumitat tal-għażla mill-Ministru għall-Ġustizzja minn lista ta’ kandidati sabiex wieħed mill-membri jkun ġie nnominat għal-lista mill-Kunsill Ġudizzjarju u tlieta mill-Ministru. Membru wieħed tal-kumitat tal-għażla jiġi elett mill-kunsill tal-imħallfin fil-qorti rispettiva. Il-lista tal-kandidati hija ppubblikata fis-sit web tal-Ministeru għall-Ġustizzja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L-Artikolu IX, il-punt 17 tal-Abbozz tal-Att dwar is-sedi u l-ġuriżdizzjoni territorjali tal-qrati, li jżid l-Artikolu 151zg mal-Att Nru 385/2000, dwar l-imħallfin.</w:t>
      </w:r>
    </w:p>
  </w:footnote>
  <w:footnote w:id="69">
    <w:p>
      <w:pPr>
        <w:pStyle w:val="FootnoteText"/>
      </w:pPr>
      <w:r>
        <w:rPr>
          <w:rStyle w:val="FootnoteReference"/>
        </w:rPr>
        <w:footnoteRef/>
      </w:r>
      <w:r>
        <w:t xml:space="preserve"> </w:t>
      </w:r>
      <w:r>
        <w:tab/>
        <w:t>Wara diskussjoni mal-Kunsill Ġudizzjarju.</w:t>
      </w:r>
    </w:p>
  </w:footnote>
  <w:footnote w:id="70">
    <w:p>
      <w:pPr>
        <w:pStyle w:val="FootnoteText"/>
      </w:pPr>
      <w:r>
        <w:rPr>
          <w:rStyle w:val="FootnoteReference"/>
        </w:rPr>
        <w:footnoteRef/>
      </w:r>
      <w:r>
        <w:t xml:space="preserve"> </w:t>
      </w:r>
      <w:r>
        <w:tab/>
        <w:t>It-trasferiment tal-imħallfin isir mill-Kunsill Ġudizzjarju fuq talba ta’ mħallef jew inkella bil-kunsens tiegħu jew tagħha, jew fuq il-bażi ta’ deċiżjoni dixxiplinari, l-Artikolu 14, l-Att 385/2000, dwar il-Qrati.</w:t>
      </w:r>
    </w:p>
  </w:footnote>
  <w:footnote w:id="71">
    <w:p>
      <w:pPr>
        <w:pStyle w:val="FootnoteText"/>
      </w:pPr>
      <w:r>
        <w:rPr>
          <w:rStyle w:val="FootnoteReference"/>
        </w:rPr>
        <w:footnoteRef/>
      </w:r>
      <w:r>
        <w:t xml:space="preserve"> </w:t>
      </w:r>
      <w:r>
        <w:tab/>
        <w:t>Il-proċedura tal-għażla ssir minn kumitat tal-għażla magħmul minn żewġ membri nnominati mill-Ministru għall-Ġustizzja u tliet membri nnominati mill-Kunsill Ġudizzjarju, l-Artikolu 29, l-Att 385/2000, dwar il-Qrati.</w:t>
      </w:r>
    </w:p>
  </w:footnote>
  <w:footnote w:id="72">
    <w:p>
      <w:pPr>
        <w:pStyle w:val="FootnoteText"/>
      </w:pPr>
      <w:r>
        <w:rPr>
          <w:rStyle w:val="FootnoteReference"/>
        </w:rPr>
        <w:footnoteRef/>
      </w:r>
      <w:r>
        <w:t xml:space="preserve"> </w:t>
      </w:r>
      <w:r>
        <w:tab/>
        <w:t>Il-Kunsill Konsultattiv ta’ Mħallfin Ewropej (2016), l-Opinjoni Nru 19, The role of court presidents, il-paragrafu 53.</w:t>
      </w:r>
    </w:p>
  </w:footnote>
  <w:footnote w:id="73">
    <w:p>
      <w:pPr>
        <w:pStyle w:val="FootnoteText"/>
      </w:pPr>
      <w:r>
        <w:rPr>
          <w:rStyle w:val="FootnoteReference"/>
        </w:rPr>
        <w:footnoteRef/>
      </w:r>
      <w:r>
        <w:t xml:space="preserve"> </w:t>
      </w:r>
      <w:r>
        <w:tab/>
        <w:t>L-Att 241/2020.</w:t>
      </w:r>
    </w:p>
  </w:footnote>
  <w:footnote w:id="74">
    <w:p>
      <w:pPr>
        <w:pStyle w:val="FootnoteText"/>
      </w:pPr>
      <w:r>
        <w:rPr>
          <w:rStyle w:val="FootnoteReference"/>
        </w:rPr>
        <w:footnoteRef/>
      </w:r>
      <w:r>
        <w:t xml:space="preserve"> </w:t>
      </w:r>
      <w:r>
        <w:tab/>
        <w:t>Skont l-Artikolu 150 tal-Kostituzzjoni, il-Prosekutur Ġenerali jinħatar mill-President tar-Repubblika fuq il-proposta tal-Parlament. Il-Prosekutur Speċjali jiġi elett mill-Parlament, l-Artikolu 24a, l-Att Nru 154/2001, dwar il-Prosekuturi.</w:t>
      </w:r>
    </w:p>
  </w:footnote>
  <w:footnote w:id="75">
    <w:p>
      <w:pPr>
        <w:pStyle w:val="FootnoteText"/>
      </w:pPr>
      <w:r>
        <w:rPr>
          <w:rStyle w:val="FootnoteReference"/>
        </w:rPr>
        <w:footnoteRef/>
      </w:r>
      <w:r>
        <w:t xml:space="preserve"> </w:t>
      </w:r>
      <w:r>
        <w:tab/>
        <w:t>Il-kandidati jistgħu jiġu nnominati minn Membru tal-Parlament, il-Ministru għall-Ġustizzja, l-Ombudsperson, il-Kunsill tal-Prosekuturi, organizzazzjoni professjonali ta’ avukati, fakultà tal-liġi u l-Akkademja tax-Xjenzi. Preċedentement, il-Membri tal-Parlament biss kellhom id-dritt li jipproponu kandidat, l-Artikolu 7(4), l-Att Nru 153/2001, dwar il-Prosekuzzjoni Pubblika.</w:t>
      </w:r>
    </w:p>
  </w:footnote>
  <w:footnote w:id="76">
    <w:p>
      <w:pPr>
        <w:pStyle w:val="FootnoteText"/>
      </w:pPr>
      <w:r>
        <w:rPr>
          <w:rStyle w:val="FootnoteReference"/>
        </w:rPr>
        <w:footnoteRef/>
      </w:r>
      <w:r>
        <w:t xml:space="preserve"> </w:t>
      </w:r>
      <w:r>
        <w:tab/>
        <w:t>L-Artikolu 125(2), l-Att Nru 153/2001, dwar il-Prosekuzzjoni Pubblika.</w:t>
      </w:r>
    </w:p>
  </w:footnote>
  <w:footnote w:id="77">
    <w:p>
      <w:pPr>
        <w:pStyle w:val="FootnoteText"/>
      </w:pPr>
      <w:r>
        <w:rPr>
          <w:rStyle w:val="FootnoteReference"/>
        </w:rPr>
        <w:footnoteRef/>
      </w:r>
      <w:r>
        <w:t xml:space="preserve"> </w:t>
      </w:r>
      <w:r>
        <w:tab/>
        <w:t>Kontribut mill-Via Iuris (L-Unjoni tal-Libertajiet Ċivili) għar-Rapport tal-2021 dwar l-Istat tad-Dritt, p. 9; Informazzjoni li waslet fil-kuntest taż-żjara tal-pajjiż fis-Slovakkja.</w:t>
      </w:r>
    </w:p>
  </w:footnote>
  <w:footnote w:id="78">
    <w:p>
      <w:pPr>
        <w:pStyle w:val="FootnoteText"/>
      </w:pPr>
      <w:r>
        <w:rPr>
          <w:rStyle w:val="FootnoteReference"/>
        </w:rPr>
        <w:footnoteRef/>
      </w:r>
      <w:r>
        <w:tab/>
        <w:t xml:space="preserve">Ir-Rapport tal-2020 dwar l-Istat tad-Dritt, il-Kapitolu tal-Pajjiż dwar is-sitwazzjoni tal-istat tad-dritt fis-Slovakkja, p. 5. </w:t>
      </w:r>
    </w:p>
  </w:footnote>
  <w:footnote w:id="79">
    <w:p>
      <w:pPr>
        <w:pStyle w:val="FootnoteText"/>
      </w:pPr>
      <w:r>
        <w:rPr>
          <w:rStyle w:val="FootnoteReference"/>
        </w:rPr>
        <w:footnoteRef/>
      </w:r>
      <w:r>
        <w:tab/>
        <w:t xml:space="preserve">Il-Figura 41, it-Tabella ta’ Valutazzjoni tal-Ġustizzja tal-UE għall-2021. </w:t>
      </w:r>
    </w:p>
  </w:footnote>
  <w:footnote w:id="80">
    <w:p>
      <w:pPr>
        <w:pStyle w:val="FootnoteText"/>
      </w:pPr>
      <w:r>
        <w:rPr>
          <w:rStyle w:val="FootnoteReference"/>
        </w:rPr>
        <w:footnoteRef/>
      </w:r>
      <w:r>
        <w:tab/>
        <w:t xml:space="preserve">Il-Figura 42, it-Tabella ta’ Valutazzjoni tal-Ġustizzja tal-UE għall-2021. </w:t>
      </w:r>
    </w:p>
  </w:footnote>
  <w:footnote w:id="81">
    <w:p>
      <w:pPr>
        <w:pStyle w:val="FootnoteText"/>
      </w:pPr>
      <w:r>
        <w:rPr>
          <w:rStyle w:val="FootnoteReference"/>
        </w:rPr>
        <w:footnoteRef/>
      </w:r>
      <w:r>
        <w:tab/>
        <w:t xml:space="preserve">Il-Figura 43, it-Tabella ta’ Valutazzjoni tal-Ġustizzja tal-UE għall-2021. </w:t>
      </w:r>
    </w:p>
  </w:footnote>
  <w:footnote w:id="82">
    <w:p>
      <w:pPr>
        <w:pStyle w:val="FootnoteText"/>
      </w:pPr>
      <w:r>
        <w:rPr>
          <w:rStyle w:val="FootnoteReference"/>
        </w:rPr>
        <w:footnoteRef/>
      </w:r>
      <w:r>
        <w:t xml:space="preserve"> </w:t>
      </w:r>
      <w:r>
        <w:tab/>
        <w:t xml:space="preserve">Il-Figura 45, it-Tabella ta’ Valutazzjoni tal-Ġustizzja tal-UE għall-2021. </w:t>
      </w:r>
    </w:p>
  </w:footnote>
  <w:footnote w:id="83">
    <w:p>
      <w:pPr>
        <w:pStyle w:val="FootnoteText"/>
      </w:pPr>
      <w:r>
        <w:rPr>
          <w:rStyle w:val="FootnoteReference"/>
        </w:rPr>
        <w:footnoteRef/>
      </w:r>
      <w:r>
        <w:tab/>
        <w:t xml:space="preserve">Il-Figura 44, it-Tabella ta’ Valutazzjoni tal-Ġustizzja tal-UE għall-2021. </w:t>
      </w:r>
    </w:p>
  </w:footnote>
  <w:footnote w:id="84">
    <w:p>
      <w:pPr>
        <w:pStyle w:val="FootnoteText"/>
      </w:pPr>
      <w:r>
        <w:rPr>
          <w:rStyle w:val="FootnoteReference"/>
        </w:rPr>
        <w:footnoteRef/>
      </w:r>
      <w:r>
        <w:tab/>
        <w:t xml:space="preserve">Il-Figura 46, it-Tabella ta’ Valutazzjoni tal-Ġustizzja tal-UE għall-2021. </w:t>
      </w:r>
    </w:p>
  </w:footnote>
  <w:footnote w:id="85">
    <w:p>
      <w:pPr>
        <w:pStyle w:val="FootnoteText"/>
      </w:pPr>
      <w:r>
        <w:rPr>
          <w:rStyle w:val="FootnoteReference"/>
        </w:rPr>
        <w:footnoteRef/>
      </w:r>
      <w:r>
        <w:t xml:space="preserve"> </w:t>
      </w:r>
      <w:r>
        <w:tab/>
        <w:t>Kontribut mill-Kamra tal-Avukati Slovakka għar-Rapport tal-2021 dwar l-Istat tad-Dritt.</w:t>
      </w:r>
    </w:p>
  </w:footnote>
  <w:footnote w:id="86">
    <w:p>
      <w:pPr>
        <w:pStyle w:val="FootnoteText"/>
      </w:pPr>
      <w:r>
        <w:rPr>
          <w:rStyle w:val="FootnoteReference"/>
        </w:rPr>
        <w:footnoteRef/>
      </w:r>
      <w:r>
        <w:t xml:space="preserve"> </w:t>
      </w:r>
      <w:r>
        <w:tab/>
        <w:t xml:space="preserve">Eżempju ieħor li ħareġ fid-deher wara l-pandemija tal-COVID-19 huwa l-ħtieġa għal diġitalizzazzjoni fil-proċeduri ta’ detenzjoni biex jingħata lok għal komunikazzjoni diġitali sigura bejn l-avukati u l-klijenti tagħhom f’detenzjoni. Kontribut mill-Kamra tal-Avukati Slovakka għar-Rapport tal-2021 dwar l-Istat tad-Dritt. Ara wkoll l-istqarrija għall-istampa tal-Kamra tal-Avukati Slovakka tat-23 ta’ Marzu 2021, Predseda SAK navštívil nového generálneho riaditeľa Zboru väzenskej a justičnej stráže. </w:t>
      </w:r>
    </w:p>
  </w:footnote>
  <w:footnote w:id="87">
    <w:p>
      <w:pPr>
        <w:pStyle w:val="FootnoteText"/>
      </w:pPr>
      <w:r>
        <w:rPr>
          <w:rStyle w:val="FootnoteReference"/>
        </w:rPr>
        <w:footnoteRef/>
      </w:r>
      <w:r>
        <w:t xml:space="preserve"> </w:t>
      </w:r>
      <w:r>
        <w:tab/>
        <w:t>Kontribut mis-Slovakkja għar-Rapport tal-2021 dwar l-Istat tad-Dritt, p. 12;  il-Pjan tas-Slovakkja għall-Irkupru u r-Reżiljenza jippjana investimenti fid-diġitalizzazzjoni u fil-kapaċitajiet analitiċi tas-sistema tal-ġustizzja, il-Komponent 15 tal-Pjan tas-Slovakkja għall-Irkupru u r-Reżiljenza.</w:t>
      </w:r>
    </w:p>
  </w:footnote>
  <w:footnote w:id="88">
    <w:p>
      <w:pPr>
        <w:pStyle w:val="FootnoteText"/>
      </w:pPr>
      <w:r>
        <w:rPr>
          <w:rStyle w:val="FootnoteReference"/>
        </w:rPr>
        <w:footnoteRef/>
      </w:r>
      <w:r>
        <w:t xml:space="preserve"> </w:t>
      </w:r>
      <w:r>
        <w:tab/>
        <w:t>Informazzjoni li waslet fil-kuntest taż-żjara tal-pajjiż fis-Slovakkja.</w:t>
      </w:r>
    </w:p>
  </w:footnote>
  <w:footnote w:id="89">
    <w:p>
      <w:pPr>
        <w:pStyle w:val="FootnoteText"/>
      </w:pPr>
      <w:r>
        <w:rPr>
          <w:rStyle w:val="FootnoteReference"/>
        </w:rPr>
        <w:footnoteRef/>
      </w:r>
      <w:r>
        <w:t xml:space="preserve"> </w:t>
      </w:r>
      <w:r>
        <w:tab/>
        <w:t>Informazzjoni li waslet fil-kuntest taż-żjara tal-pajjiż fis-Slovakkja.</w:t>
      </w:r>
    </w:p>
  </w:footnote>
  <w:footnote w:id="90">
    <w:p>
      <w:pPr>
        <w:pStyle w:val="FootnoteText"/>
      </w:pPr>
      <w:r>
        <w:rPr>
          <w:rStyle w:val="FootnoteReference"/>
        </w:rPr>
        <w:footnoteRef/>
      </w:r>
      <w:r>
        <w:t xml:space="preserve"> </w:t>
      </w:r>
      <w:r>
        <w:tab/>
        <w:t>Informazzjoni li waslet fil-kuntest taż-żjara tal-pajjiż fis-Slovakkja.</w:t>
      </w:r>
    </w:p>
  </w:footnote>
  <w:footnote w:id="91">
    <w:p>
      <w:pPr>
        <w:pStyle w:val="FootnoteText"/>
      </w:pPr>
      <w:r>
        <w:rPr>
          <w:rStyle w:val="FootnoteReference"/>
        </w:rPr>
        <w:footnoteRef/>
      </w:r>
      <w:r>
        <w:t xml:space="preserve"> </w:t>
      </w:r>
      <w:r>
        <w:tab/>
        <w:t xml:space="preserve">Il-Figura 10, it-Tabella ta’ Valutazzjoni tal-Ġustizzja tal-UE għall-2021. </w:t>
      </w:r>
    </w:p>
  </w:footnote>
  <w:footnote w:id="92">
    <w:p>
      <w:pPr>
        <w:pStyle w:val="FootnoteText"/>
      </w:pPr>
      <w:r>
        <w:rPr>
          <w:rStyle w:val="FootnoteReference"/>
        </w:rPr>
        <w:footnoteRef/>
      </w:r>
      <w:r>
        <w:t xml:space="preserve"> </w:t>
      </w:r>
      <w:r>
        <w:tab/>
        <w:t xml:space="preserve">Il-Figura 13, it-Tabella ta’ Valutazzjoni tal-Ġustizzja tal-UE għall-2021. </w:t>
      </w:r>
    </w:p>
  </w:footnote>
  <w:footnote w:id="93">
    <w:p>
      <w:pPr>
        <w:pStyle w:val="FootnoteText"/>
      </w:pPr>
      <w:r>
        <w:rPr>
          <w:rStyle w:val="FootnoteReference"/>
        </w:rPr>
        <w:footnoteRef/>
      </w:r>
      <w:r>
        <w:t xml:space="preserve"> </w:t>
      </w:r>
      <w:r>
        <w:tab/>
        <w:t xml:space="preserve">Il-Figura 7, it-Tabella ta’ Valutazzjoni tal-Ġustizzja tal-UE għall-2021. </w:t>
      </w:r>
    </w:p>
  </w:footnote>
  <w:footnote w:id="94">
    <w:p>
      <w:pPr>
        <w:pStyle w:val="FootnoteText"/>
      </w:pPr>
      <w:r>
        <w:rPr>
          <w:rStyle w:val="FootnoteReference"/>
        </w:rPr>
        <w:footnoteRef/>
      </w:r>
      <w:r>
        <w:t xml:space="preserve"> </w:t>
      </w:r>
      <w:r>
        <w:tab/>
        <w:t xml:space="preserve">Dawn il-ġabriet ta’ kawżi jikkonċernaw it-tul eċċessiv tal-proċedimenti ċivili, it-tul eċċessiv tal-proċedimenti rigward talba għal kumpens tal-parti aggravata b’rabta ma’ proċedimenti kriminali, l-effettività tar-rimedju għal proċedimenti ċivili eċċessivament twal u tul eċċessiv tal-proċedimenti ta’ restituzzjoni tal-art (proċedimenti b’żewġ saffi li jikkonsistu mill-fażi amministrattiva quddiem l-Uffiċċju tal-Artijiet u fażi ġudizzjarja tal-appell) u nuqqas ta’ rimedji effettivi, rispettivament. Id-deċiżjonijiet dwar dawn il-kawżi nħarġu mill-Qorti Ewropea tad-Drittijiet tal-Bniedem u l-eżekuzzjoni ta’ dawn is-sentenzi mill-awtoritajiet Slovakki tinsab għaddejja u qed isir monitoraġġ tagħha mill-Kunsill tal-Ewropa skont il-proċedura standard. Ara l-istatus tal-eżekuzzjoni tas-sentenzi tal-Qorti Ewropea tad-Drittijiet tal-Bniedem tal-24 ta’ Lulju 2012, </w:t>
      </w:r>
      <w:r>
        <w:rPr>
          <w:i/>
        </w:rPr>
        <w:t>Maxian and Maxianova</w:t>
      </w:r>
      <w:r>
        <w:t xml:space="preserve">, 44482/09, tal-15 ta’ Settembru 2015 </w:t>
      </w:r>
      <w:r>
        <w:rPr>
          <w:i/>
        </w:rPr>
        <w:t>Javor and Javorova</w:t>
      </w:r>
      <w:r>
        <w:t xml:space="preserve">, 42360/10, tas-27 ta’ Ġunju 2017, </w:t>
      </w:r>
      <w:r>
        <w:rPr>
          <w:i/>
        </w:rPr>
        <w:t>Ivan</w:t>
      </w:r>
      <w:r>
        <w:t xml:space="preserve">, 57405/15, tal-31 ta’ Awwissu 2018, </w:t>
      </w:r>
      <w:r>
        <w:rPr>
          <w:i/>
        </w:rPr>
        <w:t>Balogh and others</w:t>
      </w:r>
      <w:r>
        <w:t>,</w:t>
      </w:r>
      <w:r>
        <w:rPr>
          <w:rStyle w:val="Hyperlink"/>
        </w:rPr>
        <w:t xml:space="preserve"> </w:t>
      </w:r>
      <w:r>
        <w:t xml:space="preserve">35142/15. </w:t>
      </w:r>
    </w:p>
  </w:footnote>
  <w:footnote w:id="95">
    <w:p>
      <w:pPr>
        <w:pStyle w:val="FootnoteText"/>
      </w:pPr>
      <w:r>
        <w:rPr>
          <w:rStyle w:val="FootnoteReference"/>
        </w:rPr>
        <w:footnoteRef/>
      </w:r>
      <w:r>
        <w:t xml:space="preserve"> </w:t>
      </w:r>
      <w:r>
        <w:tab/>
        <w:t>Ara l-Artikolu 4(3) tal-Att Nru 171/1993 Ġabra dwar il-Forza tal-Pulizija.</w:t>
      </w:r>
    </w:p>
  </w:footnote>
  <w:footnote w:id="96">
    <w:p>
      <w:pPr>
        <w:pStyle w:val="FootnoteText"/>
      </w:pPr>
      <w:r>
        <w:rPr>
          <w:rStyle w:val="FootnoteReference"/>
        </w:rPr>
        <w:footnoteRef/>
      </w:r>
      <w:r>
        <w:t xml:space="preserve"> </w:t>
      </w:r>
      <w:r>
        <w:tab/>
        <w:t>L-Att tal-Kunsill Nazzjonali tar-Repubblika Slovakka Nru 458/2003 Ġabra dwar it-twaqqif tal-Qorti Speċjali u tal-Uffiċċju tal-Prosekutur Speċjali.</w:t>
      </w:r>
    </w:p>
  </w:footnote>
  <w:footnote w:id="97">
    <w:p>
      <w:pPr>
        <w:pStyle w:val="FootnoteText"/>
        <w:rPr>
          <w:rFonts w:cs="Arial"/>
          <w:szCs w:val="14"/>
        </w:rPr>
      </w:pPr>
      <w:r>
        <w:rPr>
          <w:rStyle w:val="FootnoteReference"/>
        </w:rPr>
        <w:footnoteRef/>
      </w:r>
      <w:r>
        <w:t xml:space="preserve"> L-Att Nru 291/2009 Ġabra dwar il-Qorti Kriminali Speċjalizzata.</w:t>
      </w:r>
    </w:p>
  </w:footnote>
  <w:footnote w:id="98">
    <w:p>
      <w:pPr>
        <w:pStyle w:val="FootnoteText"/>
      </w:pPr>
      <w:r>
        <w:rPr>
          <w:rStyle w:val="FootnoteReference"/>
        </w:rPr>
        <w:footnoteRef/>
      </w:r>
      <w:r>
        <w:t xml:space="preserve"> </w:t>
      </w:r>
      <w:r>
        <w:tab/>
        <w:t>Transparency International, Indiċi dwar il-Perċezzjoni tal-Korruzzjoni 2020 (2021)</w:t>
      </w:r>
      <w:r>
        <w:rPr>
          <w:sz w:val="24"/>
          <w:szCs w:val="22"/>
        </w:rPr>
        <w:t xml:space="preserve"> </w:t>
      </w:r>
      <w:r>
        <w:t>pp. 2-3. Il-livell ta’ perċezzjoni tal-korruzzjoni huwa kategorizzat kif ġej: baxx (il-perċezzjoni fost l-esperti u l-eżekuttivi tan-negozju tal-korruzzjoni fis-settur pubbliku hija ogħla minn 79); relattivament baxx (punteġġi bejn 79-60), relattivament għoli (punteġġi bejn 59-50), għoli (punteġġi taħt 50).</w:t>
      </w:r>
    </w:p>
  </w:footnote>
  <w:footnote w:id="99">
    <w:p>
      <w:pPr>
        <w:pStyle w:val="FootnoteText"/>
      </w:pPr>
      <w:r>
        <w:rPr>
          <w:rStyle w:val="FootnoteReference"/>
        </w:rPr>
        <w:footnoteRef/>
      </w:r>
      <w:r>
        <w:t xml:space="preserve"> </w:t>
      </w:r>
      <w:r>
        <w:tab/>
        <w:t>Fl-2015, il-punteġġ kien ta’ 51, filwaqt li fl-2020, il-punteġġ kien ta’ 49. Il-punteġġ jiżdied/jonqos b’mod sinifikanti meta jinbidel b’aktar minn ħames punti; jitjieb/jiddeterjora (bidliet bejn 4-5 punti); ikun relattivament stabbli (bidliet b’minn 1-3 punti) fil-ħames snin preċedenti.</w:t>
      </w:r>
    </w:p>
  </w:footnote>
  <w:footnote w:id="100">
    <w:p>
      <w:pPr>
        <w:pStyle w:val="FootnoteText"/>
      </w:pPr>
      <w:r>
        <w:rPr>
          <w:rStyle w:val="FootnoteReference"/>
        </w:rPr>
        <w:footnoteRef/>
      </w:r>
      <w:r>
        <w:t>Id-</w:t>
      </w:r>
      <w:r>
        <w:rPr>
          <w:i/>
          <w:iCs/>
        </w:rPr>
        <w:t>data</w:t>
      </w:r>
      <w:r>
        <w:t xml:space="preserve"> tal-Ewrobarometru dwar il-perċezzjoni u l-esperjenza tal-korruzzjoni taċ-ċittadini u n-negozji kif irrappurtata s-sena l-oħra tiġi aġġornata kull sentejn. L-aħħar sett ta’ </w:t>
      </w:r>
      <w:r>
        <w:rPr>
          <w:i/>
          <w:iCs/>
        </w:rPr>
        <w:t xml:space="preserve">data </w:t>
      </w:r>
      <w:r>
        <w:t>huwa l-Ewrobarometru Speċjali 502 (2020) u l-Ewrobarometru Flash 482 (2019).</w:t>
      </w:r>
    </w:p>
  </w:footnote>
  <w:footnote w:id="101">
    <w:p>
      <w:pPr>
        <w:pStyle w:val="FootnoteText"/>
      </w:pPr>
      <w:r>
        <w:rPr>
          <w:rStyle w:val="FootnoteReference"/>
        </w:rPr>
        <w:footnoteRef/>
      </w:r>
      <w:r>
        <w:t xml:space="preserve"> </w:t>
      </w:r>
      <w:r>
        <w:tab/>
        <w:t>Il-Gvern tar-Repubblika Slovakka, il-Politika tar-Repubblika Slovakka Kontra l-Korruzzjoni għall-2019-2023 (2018).</w:t>
      </w:r>
    </w:p>
  </w:footnote>
  <w:footnote w:id="102">
    <w:p>
      <w:pPr>
        <w:pStyle w:val="FootnoteText"/>
      </w:pPr>
      <w:r>
        <w:rPr>
          <w:rStyle w:val="FootnoteReference"/>
        </w:rPr>
        <w:footnoteRef/>
      </w:r>
      <w:r>
        <w:t xml:space="preserve"> </w:t>
      </w:r>
      <w:r>
        <w:tab/>
        <w:t>Il-Gvern tar-Repubblika Slovakka, il-Programm Nazzjonali tar-Repubblika Slovakka Kontra l-Korruzzjoni (2019).</w:t>
      </w:r>
    </w:p>
  </w:footnote>
  <w:footnote w:id="103">
    <w:p>
      <w:pPr>
        <w:pStyle w:val="FootnoteText"/>
      </w:pPr>
      <w:r>
        <w:rPr>
          <w:rStyle w:val="FootnoteReference"/>
        </w:rPr>
        <w:footnoteRef/>
      </w:r>
      <w:r>
        <w:t xml:space="preserve"> </w:t>
      </w:r>
      <w:r>
        <w:tab/>
        <w:t>Il-programmi settorjali ġew adottati mill-ministeri u istituzzjonijiet oħra, inklużi l-Ministeru għall-Ġustizzja, għall-Ekonomija, għall-Intern, għat-Trasport u l-Kostruzzjoni, għall-Ambjent, għas-Settur Finanzjarju, għall-Affarijiet Barranin u Ewropej, għas-Saħħa, u għax-Xogħol, fost l-oħrajn. Il-pjanijiet ta’ azzjoni adottati fihom primarjament elementi preventivi, inklużi s-sensibilizzazzjoni, l-edukazzjoni kontra l-korruzzjoni u l-ġestjoni tar-riskju tal-korruzzjoni.</w:t>
      </w:r>
    </w:p>
  </w:footnote>
  <w:footnote w:id="104">
    <w:p>
      <w:pPr>
        <w:pStyle w:val="FootnoteText"/>
      </w:pPr>
      <w:r>
        <w:rPr>
          <w:rStyle w:val="FootnoteReference"/>
        </w:rPr>
        <w:footnoteRef/>
      </w:r>
      <w:r>
        <w:t xml:space="preserve"> </w:t>
      </w:r>
      <w:r>
        <w:tab/>
        <w:t>Il-Programm Nazzjonali l-ġdid Kontra l-Korruzzjoni jinsab fl-istadju ta’ tħejjija. Skont il-Gvern Slovakk, diġà saru konsultazzjonijiet pubbliċi. Kontribut addizzjonali mis-Slovakkja għar-Rapport tal-2021 dwar l-Istat tad-Dritt, p. 7.</w:t>
      </w:r>
    </w:p>
  </w:footnote>
  <w:footnote w:id="105">
    <w:p>
      <w:pPr>
        <w:pStyle w:val="FootnoteText"/>
      </w:pPr>
      <w:r>
        <w:rPr>
          <w:rStyle w:val="FootnoteReference"/>
        </w:rPr>
        <w:footnoteRef/>
      </w:r>
      <w:r>
        <w:t xml:space="preserve"> </w:t>
      </w:r>
      <w:r>
        <w:tab/>
        <w:t>Ir-rwol tad-Dipartiment għall-Prevenzjoni tal-Korruzzjoni tal-Uffiċċju tal-Gvern huwa limitat għall-ivverifikar dwar jekk il-ministeru rilevanti jkunx ħejja l-programm iżda ma jevalwax il-kontenut tiegħu. Madankollu, id-Dipartiment għall-Prevenzjoni tal-Korruzzjoni jikkoopera mal-koordinaturi kontra l-korruzzjoni mal-Kunsill tal-Koordinaturi Kontra l-Korruzzjoni. Informazzjoni li waslet fil-kuntest taż-żjara tal-pajjiż fis-Slovakkja.</w:t>
      </w:r>
    </w:p>
  </w:footnote>
  <w:footnote w:id="106">
    <w:p>
      <w:pPr>
        <w:pStyle w:val="FootnoteText"/>
      </w:pPr>
      <w:r>
        <w:rPr>
          <w:rStyle w:val="FootnoteReference"/>
        </w:rPr>
        <w:footnoteRef/>
      </w:r>
      <w:r>
        <w:t xml:space="preserve"> </w:t>
      </w:r>
      <w:r>
        <w:tab/>
        <w:t>L-Att Nru 312/2020 dwar il-Konfiska tal-Assi u l-Ġestjoni tal-Proprjetà Maqbuda u Emendi għal Ċerti Atti, effettiv mill-1 ta’ Jannar 2021.</w:t>
      </w:r>
    </w:p>
  </w:footnote>
  <w:footnote w:id="107">
    <w:p>
      <w:pPr>
        <w:pStyle w:val="FootnoteText"/>
      </w:pPr>
      <w:r>
        <w:rPr>
          <w:rStyle w:val="FootnoteReference"/>
        </w:rPr>
        <w:footnoteRef/>
      </w:r>
      <w:r>
        <w:t xml:space="preserve"> </w:t>
      </w:r>
      <w:r>
        <w:tab/>
        <w:t>Il-liġi ddefiniet ukoll mill-ġdid it-terminu ħasil tar-rikavati minn attività kriminali u daħħlet reat ġdid ta’ żgiċċar mil-liġi, ara aktar ’il fuq fit-Taqsima I. L-għamliet kollha ta’ korruzzjoni attiva, passiva, diretta u indiretta diġà kienu ġew ikkriminalizzati fis-Slovakkja qabel dan.</w:t>
      </w:r>
    </w:p>
  </w:footnote>
  <w:footnote w:id="108">
    <w:p>
      <w:pPr>
        <w:pStyle w:val="FootnoteText"/>
      </w:pPr>
      <w:r>
        <w:rPr>
          <w:rStyle w:val="FootnoteReference"/>
        </w:rPr>
        <w:footnoteRef/>
      </w:r>
      <w:r>
        <w:t xml:space="preserve"> </w:t>
      </w:r>
      <w:r>
        <w:tab/>
        <w:t>Fil-mument tal-abbozzar ta’ dan ir-rapport kienu għadhom għaddejjin il-proċeduri tal-għażla biex jiġi stabbilit direttur, skont il-kontribut mis-Slovakkja għar-Rapport tal-2021 dwar l-Istat tad-Dritt, p. 22. Iddaħħlu diversi emendi relatati mal-korruzzjoni, inklużi l-Att Nru 279/2020 li jemenda u jissupplimenta l-Att Nru 297/2008 dwar il-protezzjoni kontra l-ħasil tal-flus u dwar il-finanzjament tat-terroriżmu (Settembru 2020).</w:t>
      </w:r>
    </w:p>
  </w:footnote>
  <w:footnote w:id="109">
    <w:p>
      <w:pPr>
        <w:pStyle w:val="FootnoteText"/>
      </w:pPr>
      <w:r>
        <w:rPr>
          <w:rStyle w:val="FootnoteReference"/>
        </w:rPr>
        <w:footnoteRef/>
      </w:r>
      <w:r>
        <w:t xml:space="preserve"> </w:t>
      </w:r>
      <w:r>
        <w:tab/>
        <w:t>Kontribut mis-Slovakkja għar-Rapport tal-2021 dwar l-Istat tad-Dritt, p. 24, b’referenza għall-Artikolu 29(a) il-paragrafu 4 tal-Att Nru 171/1993 Ġabra dwar il-Forza tal-Pulizija, minkejja li l-pulizija għandha l-awtorizzazzjoni li tikseb tali informazzjoni f’każ ta’ reati kriminali oħra, bħall-evażjoni tat-taxxa, l-operazzjonijiet finanzjarji illegali, jew il-legalizzazzjoni tar-rikavati minn attività kriminali. B’mod partikolari, abbozz ta’ liġi dwar ir-Reġistru Ċentrali tal-Kontijiet Bankarji huwa mistenni li jindirizza dawn in-nuqqasijiet mill-1 ta’ Diċembru 2021.</w:t>
      </w:r>
    </w:p>
  </w:footnote>
  <w:footnote w:id="110">
    <w:p>
      <w:pPr>
        <w:pStyle w:val="FootnoteText"/>
      </w:pPr>
      <w:r>
        <w:rPr>
          <w:rStyle w:val="FootnoteReference"/>
        </w:rPr>
        <w:footnoteRef/>
      </w:r>
      <w:r>
        <w:t xml:space="preserve"> </w:t>
      </w:r>
      <w:r>
        <w:tab/>
        <w:t>UNCAC Implementation Review - 1</w:t>
      </w:r>
      <w:r>
        <w:rPr>
          <w:vertAlign w:val="superscript"/>
        </w:rPr>
        <w:t>st</w:t>
      </w:r>
      <w:r>
        <w:t xml:space="preserve"> cycle (2010-2015), Country Review Report of Slovak Republic, p. 22. L-abbuż mill-influwenza huwa kkriminalizzat taħt l-Artikolu 336 tal-Kodiċi Kriminali iżda ma jkoprix il-każijiet li fihom individwu offra tixħim jew xaħħam lil persuna oħra li fil-verità ma kellhiex influwenza f’dak li tkun ixxaħħmet għalih, kif mitlub mill-Konvenzjoni tal-UNCAC.</w:t>
      </w:r>
    </w:p>
  </w:footnote>
  <w:footnote w:id="111">
    <w:p>
      <w:pPr>
        <w:pStyle w:val="FootnoteText"/>
      </w:pPr>
      <w:r>
        <w:rPr>
          <w:rStyle w:val="FootnoteReference"/>
        </w:rPr>
        <w:footnoteRef/>
      </w:r>
      <w:r>
        <w:t xml:space="preserve"> </w:t>
      </w:r>
      <w:r>
        <w:tab/>
        <w:t xml:space="preserve">Id-Deċiżjoni Nru UV-1860/2021. Ara wkoll il-Gvern tar-Repubblika Slovakka, il-Proposta biex jiżdied l-għadd ta’ persuni maħtura biex iwettqu l-kompiti tal-Uffiċċju tal-Prosekutur Speċjali tal-Uffiċċju tal-Prosekutur Ġenerali tar-Repubblika Slovakka u l-klassifikazzjoni funzjonali tagħhom. </w:t>
      </w:r>
    </w:p>
  </w:footnote>
  <w:footnote w:id="112">
    <w:p>
      <w:pPr>
        <w:pStyle w:val="FootnoteText"/>
      </w:pPr>
      <w:r>
        <w:rPr>
          <w:rStyle w:val="FootnoteReference"/>
        </w:rPr>
        <w:footnoteRef/>
      </w:r>
      <w:r>
        <w:t xml:space="preserve"> </w:t>
      </w:r>
      <w:r>
        <w:tab/>
        <w:t>Kontribut mis-Slovakkja għar-Rapport tal-2021 dwar l-Istat tad-Dritt, p. 15. Tqajjem tħassib mill-Uffiċċju tal-Prosekuzzjoni Speċjali li jindika li bħala medja, kull prosekutur huwa responsabbli għal madwar 80 kawża f’daqqa, li jqajjem dubji dwar is-superviżjoni effettiva tal-investigazzjonijiet. Ara r-Rapport dwar l-Istat tad-Dritt (2020), p. 7.</w:t>
      </w:r>
    </w:p>
  </w:footnote>
  <w:footnote w:id="113">
    <w:p>
      <w:pPr>
        <w:pStyle w:val="FootnoteText"/>
      </w:pPr>
      <w:r>
        <w:rPr>
          <w:rStyle w:val="FootnoteReference"/>
        </w:rPr>
        <w:footnoteRef/>
      </w:r>
      <w:r>
        <w:t xml:space="preserve"> </w:t>
      </w:r>
      <w:r>
        <w:tab/>
        <w:t>Id-diviżjoni ta’ bħalissa tad-Dipartiment tar-Reati Ġenerali tal-Uffiċċju tal-Prosekutur Speċjali tikkonsisti minn kap prosekutur u disa’ prosekuturi, skont il-kontribut mis-Slovakkja għar-Rapport tal-2021 dwar l-Istat tad-Dritt, p. 16.</w:t>
      </w:r>
    </w:p>
  </w:footnote>
  <w:footnote w:id="114">
    <w:p>
      <w:pPr>
        <w:pStyle w:val="FootnoteText"/>
      </w:pPr>
      <w:r>
        <w:rPr>
          <w:rStyle w:val="FootnoteReference"/>
        </w:rPr>
        <w:footnoteRef/>
      </w:r>
      <w:r>
        <w:t xml:space="preserve"> </w:t>
      </w:r>
      <w:r>
        <w:tab/>
        <w:t>Id-diviżjoni ta’ bħalissa tad-Dipartiment tar-Reati Ġenerali tal-Uffiċċju tal-Prosekutur Speċjali tikkonsisti minn kap prosekutur u disa’ prosekuturi, skont il-kontribut mis-Slovakkja għar-Rapport tal-2021 dwar l-Istat tad-Dritt, p. 16.</w:t>
      </w:r>
    </w:p>
  </w:footnote>
  <w:footnote w:id="115">
    <w:p>
      <w:pPr>
        <w:pStyle w:val="FootnoteText"/>
      </w:pPr>
      <w:r>
        <w:rPr>
          <w:rStyle w:val="FootnoteReference"/>
        </w:rPr>
        <w:footnoteRef/>
      </w:r>
      <w:r>
        <w:t xml:space="preserve"> </w:t>
      </w:r>
      <w:r>
        <w:tab/>
        <w:t>L-Uffiċċju se jirċievi EUR 1,3 miljun addizzjonali biex iwettaq ir-riforma.</w:t>
      </w:r>
    </w:p>
  </w:footnote>
  <w:footnote w:id="116">
    <w:p>
      <w:pPr>
        <w:pStyle w:val="FootnoteText"/>
      </w:pPr>
      <w:r>
        <w:rPr>
          <w:rStyle w:val="FootnoteReference"/>
        </w:rPr>
        <w:footnoteRef/>
      </w:r>
      <w:r>
        <w:t xml:space="preserve"> </w:t>
      </w:r>
      <w:r>
        <w:tab/>
        <w:t>Ara GRECO, Il-Ħames Ċiklu ta’ Evalwazzjoni – Rapport ta’ Evalwazzjoni, ir-Repubblika Slovakka (2019), pp. 37-57.</w:t>
      </w:r>
    </w:p>
  </w:footnote>
  <w:footnote w:id="117">
    <w:p>
      <w:pPr>
        <w:pStyle w:val="FootnoteText"/>
      </w:pPr>
      <w:r>
        <w:rPr>
          <w:rStyle w:val="FootnoteReference"/>
        </w:rPr>
        <w:footnoteRef/>
      </w:r>
      <w:r>
        <w:tab/>
        <w:t>Ir-Rapport tal-2020 dwar l-Istat tad-Dritt, il-Kapitolu tal-Pajjiż dwar is-sitwazzjoni tal-istat tad-dritt fis-Slovakkja, p. 7.</w:t>
      </w:r>
    </w:p>
  </w:footnote>
  <w:footnote w:id="118">
    <w:p>
      <w:pPr>
        <w:pStyle w:val="FootnoteText"/>
      </w:pPr>
      <w:r>
        <w:rPr>
          <w:rStyle w:val="FootnoteReference"/>
        </w:rPr>
        <w:footnoteRef/>
      </w:r>
      <w:r>
        <w:t xml:space="preserve"> </w:t>
      </w:r>
      <w:r>
        <w:tab/>
        <w:t>Ara l-Pjan għall-Irkupru u r-Reżiljenza tar-Repubblika Slovakka.</w:t>
      </w:r>
    </w:p>
  </w:footnote>
  <w:footnote w:id="119">
    <w:p>
      <w:pPr>
        <w:pStyle w:val="FootnoteText"/>
      </w:pPr>
      <w:r>
        <w:rPr>
          <w:rStyle w:val="FootnoteReference"/>
        </w:rPr>
        <w:footnoteRef/>
      </w:r>
      <w:r>
        <w:t xml:space="preserve"> </w:t>
      </w:r>
      <w:r>
        <w:tab/>
        <w:t>Informazzjoni li waslet fil-kuntest taż-żjara tal-pajjiż fis-Slovakkja. Ara wkoll it-Taqsima I.</w:t>
      </w:r>
    </w:p>
  </w:footnote>
  <w:footnote w:id="120">
    <w:p>
      <w:pPr>
        <w:pStyle w:val="FootnoteText"/>
      </w:pPr>
      <w:r>
        <w:rPr>
          <w:rStyle w:val="FootnoteReference"/>
        </w:rPr>
        <w:footnoteRef/>
      </w:r>
      <w:r>
        <w:t xml:space="preserve"> </w:t>
      </w:r>
      <w:r>
        <w:tab/>
        <w:t>Mill-159 każ ta’ korruzzjoni mibdija, 73 każ kienu bbażati fuq l-għoti ta’ tixħim, 71 fuq l-aċċettar ta’ tixħim, tmienja fuq korruzzjoni indiretta, ħamsa fuq korruzzjoni fl-elezzjonijiet, u każ wieħed fuq logħob mixtri fl-isport, skont l-informazzjoni li waslet fil-kuntest taż-żjara tal-pajjiż fis-Slovakkja.</w:t>
      </w:r>
    </w:p>
  </w:footnote>
  <w:footnote w:id="121">
    <w:p>
      <w:pPr>
        <w:pStyle w:val="FootnoteText"/>
        <w:rPr>
          <w:rFonts w:cs="Times New Roman"/>
        </w:rPr>
      </w:pPr>
      <w:r>
        <w:rPr>
          <w:rStyle w:val="FootnoteReference"/>
        </w:rPr>
        <w:footnoteRef/>
      </w:r>
      <w:r>
        <w:t xml:space="preserve"> </w:t>
      </w:r>
      <w:r>
        <w:tab/>
        <w:t xml:space="preserve">Ir-reati inklużi fl-istatistika huma korruzzjoni passiva (l-Artikolu 328), il-korruzzjoni passiva – akkwist ta’ oġġetti ta’ interess ġenerali (l-Artikolu 329), il-korruzzjoni attiva (l-Artikolu 332), il-korruzzjoni attiva – akkwist ta’ oġġetti ta’ interess ġenerali (l-Artikolu 333), l-abbuż mill-influwenza (l-Artikolu 336), it-tixħim elettorali (l-Artikolu 336a), il-korruzzjoni fl-isport (l-Artikolu (336b). Kontribut addizzjonali mis-Slovakkja għar-Rapport tal-2021 dwar l-Istat tad-Dritt, disponibbli hawnhekk </w:t>
      </w:r>
      <w:hyperlink r:id="rId9" w:history="1">
        <w:r>
          <w:rPr>
            <w:color w:val="0563C1" w:themeColor="hyperlink"/>
            <w:u w:val="single"/>
          </w:rPr>
          <w:t>http://web.ac-mssr.sk/wp-content/uploads/2020/rocenka2019/I.-Trestn%C3%A1-agenda_2019_pdf.pdf</w:t>
        </w:r>
      </w:hyperlink>
      <w:r>
        <w:rPr>
          <w:color w:val="0563C1" w:themeColor="hyperlink"/>
          <w:u w:val="single"/>
        </w:rPr>
        <w:t>.</w:t>
      </w:r>
      <w:r>
        <w:rPr>
          <w:color w:val="0563C1"/>
          <w:u w:val="single"/>
        </w:rPr>
        <w:t xml:space="preserve"> </w:t>
      </w:r>
      <w:r>
        <w:t>Barra minn hekk, l-istatistika dwar il-korruzzjoni hija disponibbli fir-rapporti annwali dwar l-Aġenzija Nazzjonali kontra l-Kriminalità rigward l-għadd ta’ investigazzjonijiet u prosekuzzjonijiet kriminali u l-għadd ta’ individwi akkużati b’reati ta’ korruzzjoni. Apparti minn hekk il-Ministeru għall-Intern kull xahar jippubblika online statistika dwar ir-reati.</w:t>
      </w:r>
    </w:p>
  </w:footnote>
  <w:footnote w:id="122">
    <w:p>
      <w:pPr>
        <w:pStyle w:val="FootnoteText"/>
      </w:pPr>
      <w:r>
        <w:rPr>
          <w:rStyle w:val="FootnoteReference"/>
        </w:rPr>
        <w:footnoteRef/>
      </w:r>
      <w:r>
        <w:rPr>
          <w:rStyle w:val="FootnoteReference"/>
        </w:rPr>
        <w:t xml:space="preserve"> </w:t>
      </w:r>
      <w:r>
        <w:tab/>
        <w:t xml:space="preserve">Il-Fond tal-Artijiet tas-Slovakkja huwa inkarigat mill-ġestjoni tal-artijiet agrikoli bi sjieda tal-Istat jew art mingħajr sid privat magħruf. Dawn il-ħbula agrikoli jkopru bejn wieħed u ieħor 20 % tal-artijiet agrikoli fis-Slovakkja u fil-maġġorparti tagħhom huma eliġibbli għall-għotjiet ta’ pagamenti diretti tal-UE. </w:t>
      </w:r>
    </w:p>
  </w:footnote>
  <w:footnote w:id="123">
    <w:p>
      <w:pPr>
        <w:pStyle w:val="FootnoteText"/>
      </w:pPr>
      <w:r>
        <w:rPr>
          <w:rStyle w:val="FootnoteReference"/>
        </w:rPr>
        <w:footnoteRef/>
      </w:r>
      <w:r>
        <w:rPr>
          <w:rStyle w:val="FootnoteReference"/>
        </w:rPr>
        <w:t xml:space="preserve"> </w:t>
      </w:r>
      <w:r>
        <w:tab/>
        <w:t>Aktuality.sk (id-19 ta’ Marzu 2021), NAKA għal darb’oħra żżomm arrestati lil Kvietik u diversi persuni mill-Fond Slovakk tal-Artijiet.</w:t>
      </w:r>
    </w:p>
  </w:footnote>
  <w:footnote w:id="124">
    <w:p>
      <w:pPr>
        <w:pStyle w:val="FootnoteText"/>
      </w:pPr>
      <w:r>
        <w:rPr>
          <w:rStyle w:val="FootnoteReference"/>
        </w:rPr>
        <w:footnoteRef/>
      </w:r>
      <w:r>
        <w:rPr>
          <w:rStyle w:val="FootnoteReference"/>
        </w:rPr>
        <w:t xml:space="preserve"> </w:t>
      </w:r>
      <w:r>
        <w:tab/>
        <w:t xml:space="preserve">\x{FDDF}Stqarrija għall-Istampa tal-Uffiċċju Ewropew ta’ Kontra l-Frodi (il-21 ta’ Jannar 2021), l-OLAF jagħlaq il-każijiet dwar il-fondi agrikoli tal-UE fis-Slovakkja. </w:t>
      </w:r>
    </w:p>
  </w:footnote>
  <w:footnote w:id="125">
    <w:p>
      <w:pPr>
        <w:pStyle w:val="FootnoteText"/>
        <w:rPr>
          <w:rFonts w:cs="Times New Roman"/>
        </w:rPr>
      </w:pPr>
      <w:r>
        <w:rPr>
          <w:rStyle w:val="FootnoteReference"/>
          <w:rFonts w:cs="Times New Roman"/>
        </w:rPr>
        <w:footnoteRef/>
      </w:r>
      <w:r>
        <w:t xml:space="preserve"> </w:t>
      </w:r>
      <w:r>
        <w:tab/>
        <w:t>Kontribut mis-Slovakkja għar-Rapport tal-2021 dwar l-Istat tad-Dritt, p. 25.</w:t>
      </w:r>
    </w:p>
  </w:footnote>
  <w:footnote w:id="126">
    <w:p>
      <w:pPr>
        <w:pStyle w:val="FootnoteText"/>
      </w:pPr>
      <w:r>
        <w:rPr>
          <w:rStyle w:val="FootnoteReference"/>
          <w:rFonts w:cs="Times New Roman"/>
        </w:rPr>
        <w:footnoteRef/>
      </w:r>
      <w:r>
        <w:t xml:space="preserve"> </w:t>
      </w:r>
      <w:r>
        <w:tab/>
        <w:t>Tul il-perjodu mill-2016-2019, is-Slovakkja fetħet għadd mhux magħruf ta’ investigazzjonijiet, ma tat bidu għall-ebda każ u ma kkonkludiet ebda każ, skont Transparency International, Exporting Corruption (2020), p. 102. Id-dispożizzjonijiet nazzjonali dwar it-tixħim barrani ġew emendati b’segwitu għar-rakkomandazzjonijiet tal-OECD, L-implimentazzjoni tal-Konvenzjoni tal-OECD dwar il-Ġlieda kontra t-Tixħim, il-Fażi 3: ir-Repubblika Slovakka (2012), u OECD, Segwitu għar-Rapport u Rakkomandazzjoni tal-Fażi 3: ir-Repubblika Slovakka (2014). Għar-responsabbiltà tal-persuni ġuridiċi fir-rigward tat-tixħim barrani, ara OECD, Rapport dwar il-Fażi 1bis: ir-Repubblika Slovakka (2017). Matul l-2025, huwa skedat li r-Repubblika Slovakka tkun soġġetta għar-rieżami tal-Fażi 4 tagħha dwar l-implimentazzjoni tal-Konvenzjoni, li jirrieżamina l-miżuri meħuda biex jiġu indirizzati d-dgħufijiet identifikati fl-isforzi ta’ infurzar u evalwazzjonijiet preċedenti.</w:t>
      </w:r>
    </w:p>
  </w:footnote>
  <w:footnote w:id="127">
    <w:p>
      <w:pPr>
        <w:pStyle w:val="FootnoteText"/>
      </w:pPr>
      <w:r>
        <w:rPr>
          <w:rStyle w:val="FootnoteReference"/>
        </w:rPr>
        <w:footnoteRef/>
      </w:r>
      <w:r>
        <w:t xml:space="preserve"> </w:t>
      </w:r>
      <w:r>
        <w:tab/>
        <w:t>Kontribut mis-Slovakkja għar-Rapport tal-2021 dwar l-Istat tad-Dritt, p. 19; Ir-Rapport tal-2020 dwar l-Istat tad-Dritt, il-Kapitolu tal-Pajjiż dwar is-sitwazzjoni tal-istat tad-dritt fis-Slovakkja, p. 8.</w:t>
      </w:r>
    </w:p>
  </w:footnote>
  <w:footnote w:id="128">
    <w:p>
      <w:pPr>
        <w:pStyle w:val="FootnoteText"/>
      </w:pPr>
      <w:r>
        <w:rPr>
          <w:rStyle w:val="FootnoteReference"/>
        </w:rPr>
        <w:footnoteRef/>
      </w:r>
      <w:r>
        <w:t xml:space="preserve"> </w:t>
      </w:r>
      <w:r>
        <w:tab/>
        <w:t>L-Uffiċċju għall-Protezzjoni tal-Informaturi huwa stabbilit permezz tal-Att leġiżlattiv Nru 54/2019 Ġabra Dwar il-Protezzjoni tal-Informaturi, fis-seħħ minn Marzu 2019.</w:t>
      </w:r>
    </w:p>
  </w:footnote>
  <w:footnote w:id="129">
    <w:p>
      <w:pPr>
        <w:pStyle w:val="FootnoteText"/>
      </w:pPr>
      <w:r>
        <w:rPr>
          <w:rStyle w:val="FootnoteReference"/>
        </w:rPr>
        <w:footnoteRef/>
      </w:r>
      <w:r>
        <w:t xml:space="preserve"> </w:t>
      </w:r>
      <w:r>
        <w:tab/>
        <w:t>Il-kostijiet tal-persunal u tal-operat jammontaw għal bejn wieħed u ieħor EUR 1,1 miljun fis-sena.</w:t>
      </w:r>
    </w:p>
  </w:footnote>
  <w:footnote w:id="130">
    <w:p>
      <w:pPr>
        <w:pStyle w:val="FootnoteText"/>
      </w:pPr>
      <w:r>
        <w:rPr>
          <w:rStyle w:val="FootnoteReference"/>
        </w:rPr>
        <w:footnoteRef/>
      </w:r>
      <w:r>
        <w:t xml:space="preserve"> </w:t>
      </w:r>
      <w:r>
        <w:tab/>
        <w:t>Sa mill-2019, is-Slovakkja għandha fis-seħħ liġi awtonoma għall-protezzjoni tal-informaturi, l-Att Nru 54/2019 Ġabra dwar il-Protezzjoni tal-Informaturi.</w:t>
      </w:r>
    </w:p>
  </w:footnote>
  <w:footnote w:id="131">
    <w:p>
      <w:pPr>
        <w:pStyle w:val="FootnoteText"/>
      </w:pPr>
      <w:r>
        <w:rPr>
          <w:rStyle w:val="FootnoteReference"/>
        </w:rPr>
        <w:footnoteRef/>
      </w:r>
      <w:r>
        <w:t xml:space="preserve"> </w:t>
      </w:r>
      <w:r>
        <w:tab/>
        <w:t xml:space="preserve">Il-Gvern tar-Repubblika Slovakka, Pjan ta’ Kompiti Leġiżlattivi tal-Gvern tar-Repubblika Slovakka għall-2021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Informazzjoni li waslet mill-Gvern fil-kuntest taż-żjara tal-pajjiż fis-Slovakkja.</w:t>
      </w:r>
    </w:p>
  </w:footnote>
  <w:footnote w:id="133">
    <w:p>
      <w:pPr>
        <w:pStyle w:val="FootnoteText"/>
      </w:pPr>
      <w:r>
        <w:rPr>
          <w:rStyle w:val="FootnoteReference"/>
        </w:rPr>
        <w:footnoteRef/>
      </w:r>
      <w:r>
        <w:tab/>
        <w:t>Ir-Rapport tal-2020 dwar l-Istat tad-Dritt, il-Kapitolu tal-Pajjiż dwar is-sitwazzjoni tal-istat tad-dritt fis-Slovakkja, p. 8.</w:t>
      </w:r>
    </w:p>
  </w:footnote>
  <w:footnote w:id="134">
    <w:p>
      <w:pPr>
        <w:pStyle w:val="FootnoteText"/>
      </w:pPr>
      <w:r>
        <w:rPr>
          <w:rStyle w:val="FootnoteReference"/>
        </w:rPr>
        <w:footnoteRef/>
      </w:r>
      <w:r>
        <w:t xml:space="preserve"> </w:t>
      </w:r>
      <w:r>
        <w:tab/>
        <w:t xml:space="preserve">Ara GRECO, Fourth Evaluation Round, Slovak Republic - </w:t>
      </w:r>
      <w:r>
        <w:rPr>
          <w:i/>
          <w:iCs/>
        </w:rPr>
        <w:t>Addendum</w:t>
      </w:r>
      <w:r>
        <w:t xml:space="preserve"> to the Second Compliance Report (2019), il-paragrafu 8, u GRECO, Fourth Evaluation Round – Evaluation Report Slovak Republic (2013), il-paragrafu 25 (fir-rigward tal-membri tal-parlament); GRECO, Fifth Evaluation Round – Evaluation Report, Slovak Republic (2019), il-paragrafu 89 (fir-rigward tal-gvern ċentrali/ karigi eżekuttivi ewlenin); GRECO, Fourth Evaluation Round (2019), </w:t>
      </w:r>
      <w:r>
        <w:rPr>
          <w:i/>
          <w:iCs/>
        </w:rPr>
        <w:t>Addendum</w:t>
      </w:r>
      <w:r>
        <w:t xml:space="preserve"> to the Second Compliance Report, Slovak Republic.</w:t>
      </w:r>
    </w:p>
  </w:footnote>
  <w:footnote w:id="135">
    <w:p>
      <w:pPr>
        <w:pStyle w:val="FootnoteText"/>
      </w:pPr>
      <w:r>
        <w:rPr>
          <w:rStyle w:val="FootnoteReference"/>
        </w:rPr>
        <w:footnoteRef/>
      </w:r>
      <w:r>
        <w:t xml:space="preserve"> </w:t>
      </w:r>
      <w:r>
        <w:tab/>
        <w:t>Fost l-oħrajn dawn jinkludu l-Att b’saħħtu dwar il-Libertà tal-Informazzjoni u l-Liġi Kostituzzjonali dwar il-Kunflitti ta’ Interess Nru 357/2004 Ġabra.</w:t>
      </w:r>
    </w:p>
  </w:footnote>
  <w:footnote w:id="136">
    <w:p>
      <w:pPr>
        <w:pStyle w:val="FootnoteText"/>
      </w:pPr>
      <w:r>
        <w:rPr>
          <w:rStyle w:val="FootnoteReference"/>
        </w:rPr>
        <w:footnoteRef/>
      </w:r>
      <w:r>
        <w:t xml:space="preserve"> </w:t>
      </w:r>
      <w:r>
        <w:tab/>
        <w:t xml:space="preserve">Il-Kodiċi tal-Etika għall-membri tal-Parlament se tkun parti mill-abbozz ta’ liġi dwar il-lobbjar tal-Uffiċċju tal-Gvern. Għall-impjegati tal-istat, l-emendi leġiżlattivi tal-2019  tal-Att dwar is-Servizz Ċivili kienu jinkludu Kodiċi tal-Etika għall-impjegati tal-istat u sistema biex tivvaluta l-konformità, id-Digriet Nru 400/2019 dwar il-Kodiċi tal-Etika għall-Impjegati tal-Istat. Dwar l-introduzzjoni ta’ Kodiċi ta’ Kondotta għall-membri tal-parlament, ara wkoll GRECO, Fourth Evaluation Round, Second </w:t>
      </w:r>
      <w:r>
        <w:rPr>
          <w:i/>
          <w:iCs/>
        </w:rPr>
        <w:t>Addendum</w:t>
      </w:r>
      <w:r>
        <w:t xml:space="preserve"> to the Second Compliance Report – Slovak Republic – (2021).</w:t>
      </w:r>
    </w:p>
  </w:footnote>
  <w:footnote w:id="137">
    <w:p>
      <w:pPr>
        <w:pStyle w:val="FootnoteText"/>
      </w:pPr>
      <w:r>
        <w:rPr>
          <w:rStyle w:val="FootnoteReference"/>
        </w:rPr>
        <w:footnoteRef/>
      </w:r>
      <w:r>
        <w:t xml:space="preserve"> </w:t>
      </w:r>
      <w:r>
        <w:tab/>
        <w:t>Kontribut mis-Slovakkja għar-Rapport tal-2021 dwar l-Istat tad-Dritt, p. 19 u informazzjoni li waslet mid-Dipartiment tal-Gvern għall-Prevenzjoni tal-Korruzzjoni fil-kuntest taż-żjara tal-pajjiż fis-Slovakkja. Sa issa r-regoli ta’ wara l-impjieg huma inklużi fl-Att dwar il-Kunflitt ta’ Interess li japplika għall-uffiċjali pubbliċi ta’ funzjonijiet eżekuttivi jew membru ta’ korp kollettiv tat-teħid deċiżjonali iżda ġie kkonstatat li kienu limitati fl-ambitu. Ara GRECO, Fifth Evaluation Round – Evaluation Report Slovak Republic (2019), il-paragrafi 127-128.</w:t>
      </w:r>
    </w:p>
  </w:footnote>
  <w:footnote w:id="138">
    <w:p>
      <w:pPr>
        <w:pStyle w:val="FootnoteText"/>
      </w:pPr>
      <w:r>
        <w:rPr>
          <w:rStyle w:val="FootnoteReference"/>
        </w:rPr>
        <w:footnoteRef/>
      </w:r>
      <w:r>
        <w:rPr>
          <w:rStyle w:val="FootnoteReference"/>
        </w:rPr>
        <w:t xml:space="preserve"> </w:t>
      </w:r>
      <w:r>
        <w:tab/>
        <w:t xml:space="preserve">L-Att Kostituzzjonali dwar il-Protezzjoni tal-Interess Pubbliku fit-Twettiq tal-Funzjonijiet mill-Uffiċjali Pubbliċi Nru 357/2004, kif emendat permezz tal-Att Kostituzzjonali Nru 545/2005. B’mod partikolari, fil-programm attwali tal-gvern huma previsti emendi komprensivi ulterjuri għal din il-liġi u, speċifikament ir-rigali lill-membri tal-parlament, biex jindirizzaw it-tħassib li għad baqa’ tal-livelli limitu vis-à-vis il-pagi minimi. Ara GRECO, Fourth Evaluation Round: Second </w:t>
      </w:r>
      <w:r>
        <w:rPr>
          <w:i/>
          <w:iCs/>
        </w:rPr>
        <w:t>Addendum</w:t>
      </w:r>
      <w:r>
        <w:t xml:space="preserve"> to the Second Compliance Report – Slovak Republic (2021), il-paragrafi 20-21. Ara wkoll GRECO, is-Slovakkja: GRECO regrets slow progress in prevention corruption of parliamentarians, judges and prosecutors (2021)</w:t>
      </w:r>
      <w:r>
        <w:rPr>
          <w:rStyle w:val="Hyperlink"/>
          <w:color w:val="auto"/>
          <w:u w:val="none"/>
        </w:rPr>
        <w:t>.</w:t>
      </w:r>
    </w:p>
  </w:footnote>
  <w:footnote w:id="139">
    <w:p>
      <w:pPr>
        <w:pStyle w:val="FootnoteText"/>
      </w:pPr>
      <w:r>
        <w:rPr>
          <w:rStyle w:val="FootnoteReference"/>
        </w:rPr>
        <w:footnoteRef/>
      </w:r>
      <w:r>
        <w:t xml:space="preserve"> </w:t>
      </w:r>
      <w:r>
        <w:tab/>
        <w:t>Informazzjoni li waslet fil-kuntest taż-żjara tal-pajjiż fis-Slovakkja. Ara wkoll ir-Rapport tal-2020 dwar l-Istat tad-Dritt, il-Kapitolu tal-Pajjiż dwar is-sitwazzjoni tal-istat tad-dritt fis-Slovakkja, pp. 8-9.</w:t>
      </w:r>
    </w:p>
  </w:footnote>
  <w:footnote w:id="140">
    <w:p>
      <w:pPr>
        <w:pStyle w:val="FootnoteText"/>
      </w:pPr>
      <w:r>
        <w:rPr>
          <w:rStyle w:val="FootnoteReference"/>
        </w:rPr>
        <w:footnoteRef/>
      </w:r>
      <w:r>
        <w:t xml:space="preserve"> </w:t>
      </w:r>
      <w:r>
        <w:tab/>
        <w:t>Informazzjoni li waslet fil-kuntest taż-żjara tal-pajjiż fis-Slovakkja. Sa Jannar 2021 kwart tal-membri tal-parlament (381) ma kinux ippreżentaw id-dikjarazzjonijiet tal-assi tagħhom lill-kumitat parlamentari.</w:t>
      </w:r>
    </w:p>
  </w:footnote>
  <w:footnote w:id="141">
    <w:p>
      <w:pPr>
        <w:pStyle w:val="FootnoteText"/>
      </w:pPr>
      <w:r>
        <w:rPr>
          <w:rStyle w:val="FootnoteReference"/>
        </w:rPr>
        <w:footnoteRef/>
      </w:r>
      <w:r>
        <w:t xml:space="preserve"> </w:t>
      </w:r>
      <w:r>
        <w:tab/>
        <w:t>Il-Liġi Nru 85 dwar il-Partiti u l-Movimenti Politiċi, 2005 (kif emendata fl-2019).</w:t>
      </w:r>
    </w:p>
  </w:footnote>
  <w:footnote w:id="142">
    <w:p>
      <w:pPr>
        <w:pStyle w:val="FootnoteText"/>
      </w:pPr>
      <w:r>
        <w:rPr>
          <w:rStyle w:val="FootnoteReference"/>
        </w:rPr>
        <w:footnoteRef/>
      </w:r>
      <w:r>
        <w:t xml:space="preserve"> </w:t>
      </w:r>
      <w:r>
        <w:tab/>
        <w:t>L-Artikolu 22(5) tal-Liġi Nru 85 dwar il-Partiti u l-Movimenti Politiċi tal-2005 (kif emendata fl-2019).</w:t>
      </w:r>
    </w:p>
  </w:footnote>
  <w:footnote w:id="143">
    <w:p>
      <w:pPr>
        <w:pStyle w:val="FootnoteText"/>
      </w:pPr>
      <w:r>
        <w:rPr>
          <w:rStyle w:val="FootnoteReference"/>
        </w:rPr>
        <w:footnoteRef/>
      </w:r>
      <w:r>
        <w:t xml:space="preserve"> </w:t>
      </w:r>
      <w:r>
        <w:tab/>
        <w:t>Informazzjoni li waslet fil-kuntest taż-żjara tal-pajjiż fis-Slovakkja.</w:t>
      </w:r>
    </w:p>
  </w:footnote>
  <w:footnote w:id="144">
    <w:p>
      <w:pPr>
        <w:pStyle w:val="FootnoteText"/>
      </w:pPr>
      <w:r>
        <w:rPr>
          <w:rStyle w:val="FootnoteReference"/>
        </w:rPr>
        <w:footnoteRef/>
      </w:r>
      <w:r>
        <w:t xml:space="preserve"> </w:t>
      </w:r>
      <w:r>
        <w:tab/>
        <w:t xml:space="preserve">Il-Liġi Nru 85 dwar il-Partiti u l-Movimenti Politiċi tal-2005 (kif emendata fl-2019). L-abbozz ta’ liġi poġġa limitu fuq l-introjtu tal-partijiet mid-donazzjonijiet u fuq self sa EUR 3,5 miljun għal perjodu ta’ erba’ snin u poġġa limitu massimu fuq id-donazzjonijiet annwali mill-membri tal-partiti sa EUR 10 000 kull wieħed. </w:t>
      </w:r>
    </w:p>
  </w:footnote>
  <w:footnote w:id="145">
    <w:p>
      <w:pPr>
        <w:pStyle w:val="FootnoteText"/>
      </w:pPr>
      <w:r>
        <w:rPr>
          <w:rStyle w:val="FootnoteReference"/>
        </w:rPr>
        <w:footnoteRef/>
      </w:r>
      <w:r>
        <w:rPr>
          <w:rStyle w:val="FootnoteReference"/>
        </w:rPr>
        <w:t xml:space="preserve"> </w:t>
      </w:r>
      <w:r>
        <w:tab/>
        <w:t>Informazzjoni li waslet fil-kuntest taż-żjara tal-pajjiż fis-Slovakkja. Ara wkoll it-Taqsima I.</w:t>
      </w:r>
    </w:p>
  </w:footnote>
  <w:footnote w:id="146">
    <w:p>
      <w:pPr>
        <w:pStyle w:val="FootnoteText"/>
      </w:pPr>
      <w:r>
        <w:rPr>
          <w:rStyle w:val="FootnoteReference"/>
        </w:rPr>
        <w:footnoteRef/>
      </w:r>
      <w:r>
        <w:rPr>
          <w:rStyle w:val="FootnoteReference"/>
        </w:rPr>
        <w:t xml:space="preserve"> </w:t>
      </w:r>
      <w:r>
        <w:tab/>
        <w:t>Informazzjoni li waslet fil-kuntest taż-żjara tal-pajjiż fis-Slovakkja.</w:t>
      </w:r>
    </w:p>
  </w:footnote>
  <w:footnote w:id="147">
    <w:p>
      <w:pPr>
        <w:pStyle w:val="FootnoteText"/>
      </w:pPr>
      <w:r>
        <w:rPr>
          <w:rStyle w:val="FootnoteReference"/>
        </w:rPr>
        <w:footnoteRef/>
      </w:r>
      <w:r>
        <w:rPr>
          <w:rStyle w:val="FootnoteReference"/>
        </w:rPr>
        <w:t xml:space="preserve"> </w:t>
      </w:r>
      <w:r>
        <w:tab/>
        <w:t xml:space="preserve">Il-programm huwa disponibbli hawnhekk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Informazzjoni li waslet fil-kuntest taż-żjara tal-pajjiż fis-Slovakkja.</w:t>
      </w:r>
    </w:p>
  </w:footnote>
  <w:footnote w:id="149">
    <w:p>
      <w:pPr>
        <w:pStyle w:val="FootnoteText"/>
      </w:pPr>
      <w:r>
        <w:rPr>
          <w:rStyle w:val="FootnoteReference"/>
        </w:rPr>
        <w:footnoteRef/>
      </w:r>
      <w:r>
        <w:t xml:space="preserve"> </w:t>
      </w:r>
      <w:r>
        <w:tab/>
        <w:t xml:space="preserve">Il-Viċi Prim Ministru tar-Repubblika Slovakka, Abbozz ta’ liġi li temenda l-Att Nru 343/2015 Ġabra dwar l-Akkwist Pubbliku u dwar l-Emendi għal Ċerti Atti, u emendi suċċessivi,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Skont il-proposta, ir-rieżami tal-proċess tal-akkwist pubbliku jkun minflok suġġett għal investigazzjoni diretta mill-qorti. L-oġġezzjonijiet, pereżempju, għall-kundizzjonijiet tas-sottomissjonijiet ta’ offerti ma jkollhom l-ebda effett sospensiv, jekk isiru fil-qorti, u l-kuntratti jistgħu jiġu ffirmati qabel ma tinħareġ kwalunkwe deċiżjoni mill-qorti.</w:t>
      </w:r>
    </w:p>
  </w:footnote>
  <w:footnote w:id="151">
    <w:p>
      <w:pPr>
        <w:pStyle w:val="FootnoteText"/>
      </w:pPr>
      <w:r>
        <w:rPr>
          <w:rStyle w:val="FootnoteReference"/>
        </w:rPr>
        <w:footnoteRef/>
      </w:r>
      <w:r>
        <w:t xml:space="preserve"> </w:t>
      </w:r>
      <w:r>
        <w:tab/>
        <w:t xml:space="preserve">Transparency International-is-Slovakkja, Informazzjoni li waslet fil-kuntest taż-żjara tal-pajjiż fis-Slovakkja. </w:t>
      </w:r>
    </w:p>
  </w:footnote>
  <w:footnote w:id="152">
    <w:p>
      <w:pPr>
        <w:pStyle w:val="FootnoteText"/>
        <w:rPr>
          <w:rFonts w:cs="Times New Roman"/>
        </w:rPr>
      </w:pPr>
      <w:r>
        <w:rPr>
          <w:rStyle w:val="FootnoteReference"/>
          <w:rFonts w:cs="Times New Roman"/>
        </w:rPr>
        <w:footnoteRef/>
      </w:r>
      <w:r>
        <w:t xml:space="preserve"> </w:t>
      </w:r>
      <w:r>
        <w:tab/>
        <w:t>L-Att 211/2000 Ġabra, l-Att dwar il-Libertà tal-Informazzjoni.</w:t>
      </w:r>
    </w:p>
  </w:footnote>
  <w:footnote w:id="153">
    <w:p>
      <w:pPr>
        <w:pStyle w:val="FootnoteText"/>
        <w:rPr>
          <w:rFonts w:cs="Times New Roman"/>
        </w:rPr>
      </w:pPr>
      <w:r>
        <w:rPr>
          <w:rStyle w:val="FootnoteReference"/>
          <w:rFonts w:cs="Times New Roman"/>
        </w:rPr>
        <w:footnoteRef/>
      </w:r>
      <w:r>
        <w:t xml:space="preserve"> </w:t>
      </w:r>
      <w:r>
        <w:tab/>
        <w:t>L-Att 308/2000 Ġabra, l-Att dwar ix-Xandir u t-Trażmissjoni mill-Ġdid.</w:t>
      </w:r>
    </w:p>
  </w:footnote>
  <w:footnote w:id="154">
    <w:p>
      <w:pPr>
        <w:pStyle w:val="FootnoteText"/>
        <w:rPr>
          <w:rFonts w:cs="Times New Roman"/>
        </w:rPr>
      </w:pPr>
      <w:r>
        <w:rPr>
          <w:rStyle w:val="FootnoteReference"/>
          <w:rFonts w:cs="Times New Roman"/>
        </w:rPr>
        <w:footnoteRef/>
      </w:r>
      <w:r>
        <w:t xml:space="preserve"> </w:t>
      </w:r>
      <w:r>
        <w:tab/>
        <w:t>L-Att 167/2008 Ġabra, l-Att dwar l-Istampa.</w:t>
      </w:r>
    </w:p>
  </w:footnote>
  <w:footnote w:id="155">
    <w:p>
      <w:pPr>
        <w:pStyle w:val="FootnoteText"/>
      </w:pPr>
      <w:r>
        <w:rPr>
          <w:rStyle w:val="FootnoteReference"/>
        </w:rPr>
        <w:footnoteRef/>
      </w:r>
      <w:r>
        <w:rPr>
          <w:rStyle w:val="FootnoteReference"/>
        </w:rPr>
        <w:t xml:space="preserve"> </w:t>
      </w:r>
      <w:r>
        <w:tab/>
        <w:t xml:space="preserve">Is-Slovakkja niżlet żewġ postijiet fl-Indiċi Dinji tal-Libertà tal-Istampa tar-Reporters Mingħajr Fruntieri, u issa tinsab fil-ħamsa u tletin pożizzjoni dinjija u fis-sbatax-il pożizzjoni fl-UE. Dan huwa fil-biċċa l-kbira minħabba attakki verbali tal-politiċi kontra l-ġurnalisti u strumenti medjatiċi. </w:t>
      </w:r>
    </w:p>
  </w:footnote>
  <w:footnote w:id="156">
    <w:p>
      <w:pPr>
        <w:pStyle w:val="FootnoteText"/>
      </w:pPr>
      <w:r>
        <w:rPr>
          <w:rStyle w:val="FootnoteReference"/>
        </w:rPr>
        <w:footnoteRef/>
      </w:r>
      <w:r>
        <w:rPr>
          <w:rStyle w:val="FootnoteReference"/>
        </w:rPr>
        <w:t xml:space="preserve"> </w:t>
      </w:r>
      <w:r>
        <w:tab/>
        <w:t>Id-Direttiva (UE) 2018/1808 tal-14 ta’ Novembru 2018.</w:t>
      </w:r>
    </w:p>
  </w:footnote>
  <w:footnote w:id="157">
    <w:p>
      <w:pPr>
        <w:pStyle w:val="FootnoteText"/>
      </w:pPr>
      <w:r>
        <w:rPr>
          <w:rStyle w:val="FootnoteReference"/>
        </w:rPr>
        <w:footnoteRef/>
      </w:r>
      <w:r>
        <w:t xml:space="preserve"> </w:t>
      </w:r>
      <w:r>
        <w:tab/>
        <w:t>Għal aktar informazzjoni ara wkoll ir-Rapport tal-2020 dwar l-Istat tad-Dritt, il-Kapitolu tal-Pajjiż dwar is-sitwazzjoni tal-istat tad-dritt fis-Slovakkja, p. 9.</w:t>
      </w:r>
    </w:p>
  </w:footnote>
  <w:footnote w:id="158">
    <w:p>
      <w:pPr>
        <w:pStyle w:val="FootnoteText"/>
        <w:rPr>
          <w:rFonts w:cs="Times New Roman"/>
        </w:rPr>
      </w:pPr>
      <w:r>
        <w:rPr>
          <w:rStyle w:val="FootnoteReference"/>
          <w:rFonts w:cs="Times New Roman"/>
        </w:rPr>
        <w:footnoteRef/>
      </w:r>
      <w:r>
        <w:t xml:space="preserve"> </w:t>
      </w:r>
      <w:r>
        <w:tab/>
        <w:t>Informazzjoni li waslet fil-kuntest taż-żjara tal-pajjiż fis-Slovakkja.</w:t>
      </w:r>
    </w:p>
  </w:footnote>
  <w:footnote w:id="159">
    <w:p>
      <w:pPr>
        <w:pStyle w:val="FootnoteText"/>
        <w:rPr>
          <w:rFonts w:cs="Times New Roman"/>
        </w:rPr>
      </w:pPr>
      <w:r>
        <w:rPr>
          <w:rStyle w:val="FootnoteReference"/>
          <w:rFonts w:cs="Times New Roman"/>
        </w:rPr>
        <w:footnoteRef/>
      </w:r>
      <w:r>
        <w:t xml:space="preserve"> </w:t>
      </w:r>
      <w:r>
        <w:tab/>
        <w:t>Il-Kunsill għandu disa’ membri, li huma eletti u jitneħħew mill-Kunsill Nazzjonali tar-Repubblika Slovakka (il-Parlament).</w:t>
      </w:r>
    </w:p>
  </w:footnote>
  <w:footnote w:id="160">
    <w:p>
      <w:pPr>
        <w:pStyle w:val="FootnoteText"/>
        <w:rPr>
          <w:rFonts w:cs="Times New Roman"/>
        </w:rPr>
      </w:pPr>
      <w:r>
        <w:rPr>
          <w:rStyle w:val="FootnoteReference"/>
          <w:rFonts w:cs="Times New Roman"/>
        </w:rPr>
        <w:footnoteRef/>
      </w:r>
      <w:r>
        <w:t xml:space="preserve"> </w:t>
      </w:r>
      <w:r>
        <w:tab/>
        <w:t>L-Għodda għall-Monitoraġġ tal-Pluraliżmu tal-Media tal-2021, rapport dwar is-Slovakkja, p. 10.</w:t>
      </w:r>
    </w:p>
  </w:footnote>
  <w:footnote w:id="161">
    <w:p>
      <w:pPr>
        <w:pStyle w:val="FootnoteText"/>
      </w:pPr>
      <w:r>
        <w:rPr>
          <w:rStyle w:val="FootnoteReference"/>
        </w:rPr>
        <w:footnoteRef/>
      </w:r>
      <w:r>
        <w:t xml:space="preserve"> </w:t>
      </w:r>
      <w:r>
        <w:tab/>
        <w:t>Kontribut mis-Slovakkja għar-Rapport tal-2021 dwar l-Istat tad-Dritt, p. 26; informazzjoni li waslet fil-kuntest taż-żjara tal-pajjiż fis-Slovakkja.</w:t>
      </w:r>
    </w:p>
  </w:footnote>
  <w:footnote w:id="162">
    <w:p>
      <w:pPr>
        <w:pStyle w:val="FootnoteText"/>
      </w:pPr>
      <w:r>
        <w:rPr>
          <w:rStyle w:val="FootnoteReference"/>
        </w:rPr>
        <w:footnoteRef/>
      </w:r>
      <w:r>
        <w:tab/>
        <w:t>Ir-Rapport tal-2020 dwar l-Istat tad-Dritt, il-Kapitolu tal-Pajjiż dwar is-sitwazzjoni tal-istat tad-dritt fis-Slovakkja, p. 9.</w:t>
      </w:r>
    </w:p>
  </w:footnote>
  <w:footnote w:id="163">
    <w:p>
      <w:pPr>
        <w:pStyle w:val="FootnoteText"/>
      </w:pPr>
      <w:r>
        <w:rPr>
          <w:rStyle w:val="FootnoteReference"/>
        </w:rPr>
        <w:footnoteRef/>
      </w:r>
      <w:r>
        <w:t xml:space="preserve"> </w:t>
      </w:r>
      <w:r>
        <w:tab/>
        <w:t>L-Għodda għall-Monitoraġġ tal-Pluraliżmu tal-Media tal-2021, rapport dwar is-Slovakkja, pp. 11-12.</w:t>
      </w:r>
    </w:p>
  </w:footnote>
  <w:footnote w:id="164">
    <w:p>
      <w:pPr>
        <w:pStyle w:val="FootnoteText"/>
      </w:pPr>
      <w:r>
        <w:rPr>
          <w:rStyle w:val="FootnoteReference"/>
        </w:rPr>
        <w:footnoteRef/>
      </w:r>
      <w:r>
        <w:rPr>
          <w:rStyle w:val="FootnoteReference"/>
        </w:rPr>
        <w:t xml:space="preserve"> </w:t>
      </w:r>
      <w:r>
        <w:tab/>
        <w:t xml:space="preserve">L-Għodda għall-Monitoraġġ tal-Pluraliżmu tal-Media tal-2021, rapport dwar is-Slovakkja, p. 12. </w:t>
      </w:r>
    </w:p>
  </w:footnote>
  <w:footnote w:id="165">
    <w:p>
      <w:pPr>
        <w:pStyle w:val="FootnoteText"/>
      </w:pPr>
      <w:r>
        <w:rPr>
          <w:rStyle w:val="FootnoteReference"/>
        </w:rPr>
        <w:footnoteRef/>
      </w:r>
      <w:r>
        <w:rPr>
          <w:rStyle w:val="FootnoteReference"/>
        </w:rPr>
        <w:t xml:space="preserve"> </w:t>
      </w:r>
      <w:r>
        <w:tab/>
        <w:t xml:space="preserve">Il-Pjattaforma ta’ Rispons Rapidu tal-Libertà tal-Media sejħet il-liberazzjoni bħala parodija tal-ġustizzja u laqgħet b’sodisfazzjon id-deċiżjoni tal-prosekutur pubbliku li jappella. </w:t>
      </w:r>
    </w:p>
  </w:footnote>
  <w:footnote w:id="166">
    <w:p>
      <w:pPr>
        <w:pStyle w:val="FootnoteText"/>
      </w:pPr>
      <w:r>
        <w:rPr>
          <w:rStyle w:val="FootnoteReference"/>
        </w:rPr>
        <w:footnoteRef/>
      </w:r>
      <w:r>
        <w:t xml:space="preserve"> Informazzjoni li waslet mill-awtoritajiet Slovakki.</w:t>
      </w:r>
    </w:p>
  </w:footnote>
  <w:footnote w:id="167">
    <w:p>
      <w:pPr>
        <w:pStyle w:val="FootnoteText"/>
        <w:rPr>
          <w:rFonts w:cs="Times New Roman"/>
        </w:rPr>
      </w:pPr>
      <w:r>
        <w:rPr>
          <w:rStyle w:val="FootnoteReference"/>
          <w:rFonts w:cs="Times New Roman"/>
        </w:rPr>
        <w:footnoteRef/>
      </w:r>
      <w:r>
        <w:t xml:space="preserve"> </w:t>
      </w:r>
      <w:r>
        <w:tab/>
        <w:t xml:space="preserve">Il-Kunsill tal-Ewropa, Pjattaforma għall-promozzjoni tal-protezzjoni tal-ġurnaliżmu u tas-sikurezza tal-ġurnalisti. </w:t>
      </w:r>
    </w:p>
  </w:footnote>
  <w:footnote w:id="168">
    <w:p>
      <w:pPr>
        <w:pStyle w:val="FootnoteText"/>
      </w:pPr>
      <w:r>
        <w:rPr>
          <w:rStyle w:val="FootnoteReference"/>
        </w:rPr>
        <w:footnoteRef/>
      </w:r>
      <w:r>
        <w:t xml:space="preserve"> </w:t>
      </w:r>
      <w:r>
        <w:tab/>
        <w:t xml:space="preserve">Is-Slovakkja wieġbet għal din l-allerta billi ddikjarat li kienet infetħet minnufih investigazzjoni tal-pulizija dwar il-każ. </w:t>
      </w:r>
    </w:p>
  </w:footnote>
  <w:footnote w:id="169">
    <w:p>
      <w:pPr>
        <w:pStyle w:val="FootnoteText"/>
      </w:pPr>
      <w:r>
        <w:rPr>
          <w:rStyle w:val="FootnoteReference"/>
        </w:rPr>
        <w:footnoteRef/>
      </w:r>
      <w:r>
        <w:t xml:space="preserve"> </w:t>
      </w:r>
      <w:r>
        <w:tab/>
        <w:t>Kienet skedata li tiġi adottata sa tmiem l-2021. Informazzjoni pprovduta matul iż-żjara tal-pajjiż, it-22 ta’ April 2021.</w:t>
      </w:r>
    </w:p>
  </w:footnote>
  <w:footnote w:id="170">
    <w:p>
      <w:pPr>
        <w:pStyle w:val="FootnoteText"/>
      </w:pPr>
      <w:r>
        <w:rPr>
          <w:rStyle w:val="FootnoteReference"/>
        </w:rPr>
        <w:footnoteRef/>
      </w:r>
      <w:r>
        <w:t xml:space="preserve"> </w:t>
      </w:r>
      <w:r>
        <w:tab/>
        <w:t>Skont l-awtoritajiet tas-Slovakkja, il-ġurnalisti kienu eliġibbli biex japplikaw għall-appoġġ finanzjarju skont l-iskema eżistenti mmirata għas-setturi kulturali u kreattivi.</w:t>
      </w:r>
    </w:p>
  </w:footnote>
  <w:footnote w:id="171">
    <w:p>
      <w:pPr>
        <w:pStyle w:val="FootnoteText"/>
        <w:rPr>
          <w:rFonts w:cs="Times New Roman"/>
        </w:rPr>
      </w:pPr>
      <w:r>
        <w:rPr>
          <w:rStyle w:val="FootnoteReference"/>
          <w:rFonts w:cs="Times New Roman"/>
        </w:rPr>
        <w:footnoteRef/>
      </w:r>
      <w:r>
        <w:t xml:space="preserve"> </w:t>
      </w:r>
      <w:r>
        <w:tab/>
        <w:t>L-Artikolu 72 tal-Kostituzzjoni Slovakka.</w:t>
      </w:r>
    </w:p>
  </w:footnote>
  <w:footnote w:id="172">
    <w:p>
      <w:pPr>
        <w:pStyle w:val="FootnoteText"/>
        <w:rPr>
          <w:rFonts w:cs="Times New Roman"/>
        </w:rPr>
      </w:pPr>
      <w:r>
        <w:rPr>
          <w:rStyle w:val="FootnoteReference"/>
          <w:rFonts w:cs="Times New Roman"/>
        </w:rPr>
        <w:footnoteRef/>
      </w:r>
      <w:r>
        <w:t xml:space="preserve"> </w:t>
      </w:r>
      <w:r>
        <w:tab/>
        <w:t>L-Artikolu 87 tal-Kostituzzjoni Slovakka.</w:t>
      </w:r>
    </w:p>
  </w:footnote>
  <w:footnote w:id="173">
    <w:p>
      <w:pPr>
        <w:pStyle w:val="FootnoteText"/>
      </w:pPr>
      <w:r>
        <w:rPr>
          <w:rStyle w:val="FootnoteReference"/>
        </w:rPr>
        <w:footnoteRef/>
      </w:r>
      <w:r>
        <w:t xml:space="preserve"> </w:t>
      </w:r>
      <w:r>
        <w:tab/>
        <w:t>L-abbozz tar-riforma ġie ppreżentat lill-President tal-Kunsill Ġudizzjarju, il-President tal-Qorti Suprema, il-President tal-Qorti Kostituzzjonali, l-Uffiċċju tal-Prosekutur Ġenerali, l-Ombudsman, u r-rappreżentanti tal-organizzazzjonijiet ġuridiċi.</w:t>
      </w:r>
    </w:p>
  </w:footnote>
  <w:footnote w:id="174">
    <w:p>
      <w:pPr>
        <w:pStyle w:val="FootnoteText"/>
      </w:pPr>
      <w:r>
        <w:rPr>
          <w:rStyle w:val="FootnoteReference"/>
        </w:rPr>
        <w:footnoteRef/>
      </w:r>
      <w:r>
        <w:t xml:space="preserve"> </w:t>
      </w:r>
      <w:r>
        <w:tab/>
        <w:t xml:space="preserve">Il-partijiet ikkonċernati ngħataw l-opportunità jikkummentaw dwar l-abbozz matul il-konsultazzjonijiet pubbliċi bil-miktub li damu 15-il jum tax-xogħol waqt il-btajjel tas-sajf. It-tul u t-tempistika tal-konsultazzjoni pubblika kienu wkoll soġġetti għall-kritika mill-partijiet ikkonċernati. Ara l-kummenti ppreżentati matul il-konsultazzjoni pubblika mill-Uffiċċju tal-Prosekutur Pubbliku, il-Fakultà tal-Liġi tal-Università Comenius ta’ Bratislava, il-Kamra tal-Avukati Slovakka, il-Kunsill Ġudizzjarju, li jinsabu hawnhekk https://www.slov-lex.sk/legislativne-procesy/SK/LP/2020/267; Sejħa miftuħa għal avukati Slovakki, aċċessibbli minn </w:t>
      </w:r>
      <w:hyperlink r:id="rId12" w:history="1">
        <w:r>
          <w:rPr>
            <w:rStyle w:val="Hyperlink"/>
          </w:rPr>
          <w:t>https://pravnystat.eu/en/</w:t>
        </w:r>
      </w:hyperlink>
      <w:r>
        <w:t xml:space="preserve"> u ppreżentata bħala kontribut għall-konsultazzjoni mal-partijiet interessati għar-Rapport tal-2021 dwar l-Istat tad-Dritt.</w:t>
      </w:r>
    </w:p>
  </w:footnote>
  <w:footnote w:id="175">
    <w:p>
      <w:pPr>
        <w:pStyle w:val="FootnoteText"/>
      </w:pPr>
      <w:r>
        <w:rPr>
          <w:rStyle w:val="FootnoteReference"/>
        </w:rPr>
        <w:footnoteRef/>
      </w:r>
      <w:r>
        <w:t xml:space="preserve"> </w:t>
      </w:r>
      <w:r>
        <w:tab/>
        <w:t xml:space="preserve">Il-Kummissjoni ta’ Venezja (id-19 ta’ Jannar 2010), Report on Constitutional Amendment, CDL-AD(2010)001, il-paragrafu 205; Il-Kummissjoni ta’ Venezja, Second </w:t>
      </w:r>
      <w:r>
        <w:rPr>
          <w:i/>
          <w:iCs/>
        </w:rPr>
        <w:t>interim</w:t>
      </w:r>
      <w:r>
        <w:t xml:space="preserve"> opinion on constitutional reforms in the Republic of Armenia, CDL-AD(2005)016, il-paragrafu 31.</w:t>
      </w:r>
    </w:p>
  </w:footnote>
  <w:footnote w:id="176">
    <w:p>
      <w:pPr>
        <w:pStyle w:val="FootnoteText"/>
      </w:pPr>
      <w:r>
        <w:rPr>
          <w:rStyle w:val="FootnoteReference"/>
        </w:rPr>
        <w:footnoteRef/>
      </w:r>
      <w:r>
        <w:t xml:space="preserve"> </w:t>
      </w:r>
      <w:r>
        <w:tab/>
        <w:t>Kontribut mill-Via Iuris (L-Unjoni tal-Libertajiet Ċivili) għar-Rapport tal-2021 dwar l-Istat tad-Dritt, p. 19; kontribut mill-ENNHRI għar-Rapport tal-2021 dwar l-Istat tad-Dritt, p. 293.</w:t>
      </w:r>
    </w:p>
  </w:footnote>
  <w:footnote w:id="177">
    <w:p>
      <w:pPr>
        <w:pStyle w:val="FootnoteText"/>
      </w:pPr>
      <w:r>
        <w:rPr>
          <w:rStyle w:val="FootnoteReference"/>
        </w:rPr>
        <w:footnoteRef/>
      </w:r>
      <w:r>
        <w:t xml:space="preserve"> </w:t>
      </w:r>
      <w:r>
        <w:tab/>
        <w:t>Kontribut mill-ENNHRI għar-Rapport tal-2021 dwar l-Istat tad-Dritt, p. 298; Kontribut mill-Kamra tal-Avukati Slovakka għar-Rapport tal-2021 dwar l-Istat tad-Dritt, p. 3; informazzjoni li waslet fil-kuntest taż-żjara tal-pajjiż fis-Slovakkja.</w:t>
      </w:r>
    </w:p>
  </w:footnote>
  <w:footnote w:id="178">
    <w:p>
      <w:pPr>
        <w:pStyle w:val="FootnoteText"/>
      </w:pPr>
      <w:r>
        <w:rPr>
          <w:rStyle w:val="FootnoteReference"/>
        </w:rPr>
        <w:footnoteRef/>
      </w:r>
      <w:r>
        <w:tab/>
        <w:t>Ir-Rapport tal-2020 dwar l-Istat tad-Dritt, il-Kapitolu tal-Pajjiż dwar is-sitwazzjoni tal-istat tad-dritt fis-Slovakkja, pp. 11-13.</w:t>
      </w:r>
    </w:p>
  </w:footnote>
  <w:footnote w:id="179">
    <w:p>
      <w:pPr>
        <w:pStyle w:val="FootnoteText"/>
      </w:pPr>
      <w:r>
        <w:rPr>
          <w:rStyle w:val="FootnoteReference"/>
        </w:rPr>
        <w:footnoteRef/>
      </w:r>
      <w:r>
        <w:t xml:space="preserve"> </w:t>
      </w:r>
      <w:r>
        <w:tab/>
        <w:t xml:space="preserve">Id-Dikjarazzjoni tal-Programm tal-Gvern tar-Repubblika Slovakka għall-2020-2024 tad-19 ta’ April 2020. </w:t>
      </w:r>
    </w:p>
  </w:footnote>
  <w:footnote w:id="180">
    <w:p>
      <w:pPr>
        <w:pStyle w:val="FootnoteText"/>
      </w:pPr>
      <w:r>
        <w:rPr>
          <w:rStyle w:val="FootnoteReference"/>
        </w:rPr>
        <w:footnoteRef/>
      </w:r>
      <w:r>
        <w:t xml:space="preserve"> </w:t>
      </w:r>
      <w:r>
        <w:tab/>
        <w:t xml:space="preserve">Id-Dikjarazzjoni tal-Programm tal-Gvern tar-Repubblika Slovakka għall-2020-2024, pp. 13-17. </w:t>
      </w:r>
    </w:p>
  </w:footnote>
  <w:footnote w:id="181">
    <w:p>
      <w:pPr>
        <w:pStyle w:val="FootnoteText"/>
      </w:pPr>
      <w:r>
        <w:rPr>
          <w:rStyle w:val="FootnoteReference"/>
        </w:rPr>
        <w:footnoteRef/>
      </w:r>
      <w:r>
        <w:t xml:space="preserve"> </w:t>
      </w:r>
      <w:r>
        <w:tab/>
        <w:t xml:space="preserve">L-Abbozz ta’ Liġi Nru PI/2020/146 li jemenda l-Att Nru 211/2000 Ġabra dwar l-Aċċess Liberu għall-Informazzjoni u dwar l-Emendi għal Ċerti Atti (l-Att dwar il-Libertà tal-Informazzjoni), kif emendat, u li Jemenda Ċerti Atti. </w:t>
      </w:r>
    </w:p>
  </w:footnote>
  <w:footnote w:id="182">
    <w:p>
      <w:pPr>
        <w:pStyle w:val="FootnoteText"/>
      </w:pPr>
      <w:r>
        <w:rPr>
          <w:rStyle w:val="FootnoteReference"/>
        </w:rPr>
        <w:footnoteRef/>
      </w:r>
      <w:r>
        <w:t xml:space="preserve"> </w:t>
      </w:r>
      <w:r>
        <w:tab/>
        <w:t>Ara s-sentenza tat-30 ta’ Jannar 2019 fil-Kawża Pl ÚS 21/2014-96. Il-bidla hija reazzjoni għal din is-sentenza, informazzjoni li waslet fil-kuntest ta’ żjara ta’ segwitu għar-Rapport tal-2020 dwar l-Istat tad-Dritt.</w:t>
      </w:r>
    </w:p>
  </w:footnote>
  <w:footnote w:id="183">
    <w:p>
      <w:pPr>
        <w:pStyle w:val="FootnoteText"/>
      </w:pPr>
      <w:r>
        <w:rPr>
          <w:rStyle w:val="FootnoteReference"/>
        </w:rPr>
        <w:footnoteRef/>
      </w:r>
      <w:r>
        <w:t xml:space="preserve"> </w:t>
      </w:r>
      <w:r>
        <w:tab/>
        <w:t xml:space="preserve">Sejħa miftuħa għal avukati Slovakki, aċċessibbli minn </w:t>
      </w:r>
      <w:hyperlink r:id="rId13" w:history="1">
        <w:r>
          <w:rPr>
            <w:rStyle w:val="Hyperlink"/>
          </w:rPr>
          <w:t>https://pravnystat.eu/en/</w:t>
        </w:r>
      </w:hyperlink>
      <w:r>
        <w:t xml:space="preserve"> u ppreżentata bħala kontribut għall-konsultazzjoni mal-partijiet interessati għar-Rapport tal-2021 dwar l-Istat tad-Dritt, il-paragrafu 1; ara wkoll id-dikjarazzjoni tal-President tal-Qorti Kostituzzjonali tat-3 ta’ Diċembru 2020 fil-Parlament, li fiha esprima t-tħassib rigward il-bidla u talab lill-Membri tal-Parlament jirriflettu aktar dwar dan il-punt, li tinsab hawnhekk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Il-Fajl Nru 2879/2020.</w:t>
      </w:r>
    </w:p>
  </w:footnote>
  <w:footnote w:id="185">
    <w:p>
      <w:pPr>
        <w:pStyle w:val="FootnoteText"/>
      </w:pPr>
      <w:r>
        <w:rPr>
          <w:rStyle w:val="FootnoteReference"/>
        </w:rPr>
        <w:footnoteRef/>
      </w:r>
      <w:r>
        <w:t xml:space="preserve"> </w:t>
      </w:r>
      <w:r>
        <w:tab/>
        <w:t>Il-Membri tal-Parlament tħallew jattendu s-seduti fiżikament, għajr għall-membri li kellhom jiżolaw ruħhom skont il-miżuri relatati mal-COVID-19. Xi laqgħat saru f’għamla ibrida, b’diversi Membri tal-Parlament preżenti fiżikament u oħrajn permezz tal-vidjokonferenza. Kontribut mis-Slovakkja għar-Rapport tal-2021 dwar l-Istat tad-Dritt, p. 37.</w:t>
      </w:r>
    </w:p>
  </w:footnote>
  <w:footnote w:id="186">
    <w:p>
      <w:pPr>
        <w:pStyle w:val="FootnoteText"/>
      </w:pPr>
      <w:r>
        <w:rPr>
          <w:rStyle w:val="FootnoteReference"/>
        </w:rPr>
        <w:footnoteRef/>
      </w:r>
      <w:r>
        <w:t xml:space="preserve"> </w:t>
      </w:r>
      <w:r>
        <w:tab/>
        <w:t>L-Artikolu 5(3) tal-Att 227/2002 dwar is-Sigurtà tal-Istat.</w:t>
      </w:r>
    </w:p>
  </w:footnote>
  <w:footnote w:id="187">
    <w:p>
      <w:pPr>
        <w:pStyle w:val="FootnoteText"/>
      </w:pPr>
      <w:r>
        <w:rPr>
          <w:rStyle w:val="FootnoteReference"/>
        </w:rPr>
        <w:footnoteRef/>
      </w:r>
      <w:r>
        <w:t xml:space="preserve"> </w:t>
      </w:r>
      <w:r>
        <w:tab/>
        <w:t>L-Artikolu 5(1) tal-Att 227/2002 dwar is-Sigurtà tal-Istat.</w:t>
      </w:r>
    </w:p>
  </w:footnote>
  <w:footnote w:id="188">
    <w:p>
      <w:pPr>
        <w:pStyle w:val="FootnoteText"/>
      </w:pPr>
      <w:r>
        <w:rPr>
          <w:rStyle w:val="FootnoteReference"/>
        </w:rPr>
        <w:footnoteRef/>
      </w:r>
      <w:r>
        <w:tab/>
        <w:t>Ir-Rapport tal-2020 dwar l-Istat tad-Dritt, il-Kapitolu tal-Pajjiż dwar is-sitwazzjoni tal-istat tad-dritt fis-Slovakkja, p. 12.</w:t>
      </w:r>
    </w:p>
  </w:footnote>
  <w:footnote w:id="189">
    <w:p>
      <w:pPr>
        <w:pStyle w:val="FootnoteText"/>
      </w:pPr>
      <w:r>
        <w:rPr>
          <w:rStyle w:val="FootnoteReference"/>
        </w:rPr>
        <w:footnoteRef/>
      </w:r>
      <w:r>
        <w:t xml:space="preserve"> </w:t>
      </w:r>
      <w:r>
        <w:tab/>
        <w:t xml:space="preserve">L-Artikolu 5(2) tal-Att 227/2002 dwar is-Sigurtà tal-Istat. Il-Parlament irid japprova l-estensjoni fi żmien 20 jum mid-dħul fis-seħħ tagħha, inkella l-istat ta’ emerġenza jintemm. L-estensjoni hija permessa biss jekk l-istat ta’ emerġenza jkun ġie ddikjarat fil-kuntest ta’ pandemija. Ara wkoll il-kontribut mill-ENNHRI għar-Rapport tal-2021 dwar l-Istat tad-Dritt, pp. 296-297. </w:t>
      </w:r>
    </w:p>
  </w:footnote>
  <w:footnote w:id="190">
    <w:p>
      <w:pPr>
        <w:pStyle w:val="FootnoteText"/>
      </w:pPr>
      <w:r>
        <w:rPr>
          <w:rStyle w:val="FootnoteReference"/>
        </w:rPr>
        <w:footnoteRef/>
      </w:r>
      <w:r>
        <w:t xml:space="preserve"> </w:t>
      </w:r>
      <w:r>
        <w:tab/>
        <w:t xml:space="preserve">L-Artikolu 129(6) tal-Kostituzzjoni. </w:t>
      </w:r>
    </w:p>
  </w:footnote>
  <w:footnote w:id="191">
    <w:p>
      <w:pPr>
        <w:pStyle w:val="FootnoteText"/>
      </w:pPr>
      <w:r>
        <w:rPr>
          <w:rStyle w:val="FootnoteReference"/>
        </w:rPr>
        <w:footnoteRef/>
      </w:r>
      <w:r>
        <w:t xml:space="preserve"> </w:t>
      </w:r>
      <w:r>
        <w:tab/>
        <w:t>Il-petizzjoni trid tiġi ppreżentata fi żmien ħamest ijiem mid-dikjarazzjoni / mill-estensjoni u l-Qorti trid tiddeċiedi fi żmien għaxart ijiem mill-bidu tal-proċeduri. L-Artikoli 193 u 195 tal-Att 314/2002 tal-Qorti Kostituzzjonali. Informazzjoni li waslet fil-kuntest taż-żjara tal-pajjiż fis-Slovakkja.</w:t>
      </w:r>
    </w:p>
  </w:footnote>
  <w:footnote w:id="192">
    <w:p>
      <w:pPr>
        <w:pStyle w:val="FootnoteText"/>
      </w:pPr>
      <w:r>
        <w:rPr>
          <w:rStyle w:val="FootnoteReference"/>
        </w:rPr>
        <w:footnoteRef/>
      </w:r>
      <w:r>
        <w:t xml:space="preserve"> </w:t>
      </w:r>
      <w:r>
        <w:tab/>
        <w:t>Is-Sentenza tal-Qorti Kostituzzjonali tal-14 ta’ Ottubru 2020 Pl ÚS 22/2020, is-Sentenza tal-Qorti Kostituzzjonali tal-31 ta’ Marzu 2021 Pl ÚS 2/2021.</w:t>
      </w:r>
    </w:p>
  </w:footnote>
  <w:footnote w:id="193">
    <w:p>
      <w:pPr>
        <w:pStyle w:val="FootnoteText"/>
      </w:pPr>
      <w:r>
        <w:rPr>
          <w:rStyle w:val="FootnoteReference"/>
        </w:rPr>
        <w:footnoteRef/>
      </w:r>
      <w:r>
        <w:t xml:space="preserve"> </w:t>
      </w:r>
      <w:r>
        <w:tab/>
        <w:t>Emenda tal-Att 355/2007.</w:t>
      </w:r>
    </w:p>
  </w:footnote>
  <w:footnote w:id="194">
    <w:p>
      <w:pPr>
        <w:pStyle w:val="FootnoteText"/>
      </w:pPr>
      <w:r>
        <w:rPr>
          <w:rStyle w:val="FootnoteReference"/>
        </w:rPr>
        <w:footnoteRef/>
      </w:r>
      <w:r>
        <w:t xml:space="preserve"> </w:t>
      </w:r>
      <w:r>
        <w:tab/>
        <w:t>Sottomissjoni mid-Difensur Pubbliku tad-Drittijiet tal-Qorti Kostituzzjonali tal-10 ta’ Frar 2021, il-fajl Nru 268/2021, pp. 26-35.</w:t>
      </w:r>
    </w:p>
  </w:footnote>
  <w:footnote w:id="195">
    <w:p>
      <w:pPr>
        <w:pStyle w:val="FootnoteText"/>
      </w:pPr>
      <w:r>
        <w:rPr>
          <w:rStyle w:val="FootnoteReference"/>
        </w:rPr>
        <w:footnoteRef/>
      </w:r>
      <w:r>
        <w:tab/>
        <w:t>Ir-Rapport tal-2020 dwar l-Istat tad-Dritt, il-Kapitolu tal-Pajjiż dwar is-sitwazzjoni tal-istat tad-dritt fis-Slovakkja, pp. 12-13.</w:t>
      </w:r>
    </w:p>
  </w:footnote>
  <w:footnote w:id="196">
    <w:p>
      <w:pPr>
        <w:pStyle w:val="FootnoteText"/>
      </w:pPr>
      <w:r>
        <w:rPr>
          <w:rStyle w:val="FootnoteReference"/>
        </w:rPr>
        <w:footnoteRef/>
      </w:r>
      <w:r>
        <w:t xml:space="preserve"> </w:t>
      </w:r>
      <w:r>
        <w:tab/>
        <w:t>Informazzjoni li waslet fil-kuntest taż-żjara tal-pajjiż fis-Slovakkja.</w:t>
      </w:r>
    </w:p>
  </w:footnote>
  <w:footnote w:id="197">
    <w:p>
      <w:pPr>
        <w:pStyle w:val="FootnoteText"/>
      </w:pPr>
      <w:r>
        <w:rPr>
          <w:rStyle w:val="FootnoteReference"/>
        </w:rPr>
        <w:footnoteRef/>
      </w:r>
      <w:r>
        <w:t xml:space="preserve"> </w:t>
      </w:r>
      <w:r>
        <w:tab/>
        <w:t xml:space="preserve">Informazzjoni li waslet fil-kuntest taż-żjara tal-pajjiż fis-Slovakkja. </w:t>
      </w:r>
    </w:p>
  </w:footnote>
  <w:footnote w:id="198">
    <w:p>
      <w:pPr>
        <w:pStyle w:val="FootnoteText"/>
      </w:pPr>
      <w:r>
        <w:rPr>
          <w:rStyle w:val="FootnoteReference"/>
        </w:rPr>
        <w:footnoteRef/>
      </w:r>
      <w:r>
        <w:t xml:space="preserve"> </w:t>
      </w:r>
      <w:r>
        <w:tab/>
        <w:t>Rapport annwali dwar l-attivitajiet tad-Difensur Pubbliku tad-Drittijiet (2020), ir-Rapport kien soġġett għal diskussjoni u vot fil-Parlament fis-7 ta’ Mejju 2021, li wassal għan-nonrikonoxximent tar-Rapport; informazzjoni li waslet fil-kuntest taż-żjara tal-pajjiż fis-Slovakkja; Rapport annwali dwar il-konformità mad-drittijiet tal-bniedem taċ-Ċentru Nazzjonali Slovakk għad-Drittijiet tal-Bniedem; il-kontribut mill-ENNHRI għar-Rapport tal-2021 dwar l-Istat tad-Dritt, pp. 309-312.</w:t>
      </w:r>
    </w:p>
  </w:footnote>
  <w:footnote w:id="199">
    <w:p>
      <w:pPr>
        <w:pStyle w:val="FootnoteText"/>
      </w:pPr>
      <w:r>
        <w:rPr>
          <w:rStyle w:val="FootnoteReference"/>
        </w:rPr>
        <w:footnoteRef/>
      </w:r>
      <w:r>
        <w:tab/>
        <w:t>Ir-Rapport tal-2020 dwar l-Istat tad-Dritt, il-Kapitolu tal-Pajjiż dwar is-sitwazzjoni tal-istat tad-dritt fis-Slovakkja, p. 14.</w:t>
      </w:r>
    </w:p>
  </w:footnote>
  <w:footnote w:id="200">
    <w:p>
      <w:pPr>
        <w:pStyle w:val="FootnoteText"/>
      </w:pPr>
      <w:r>
        <w:rPr>
          <w:rStyle w:val="FootnoteReference"/>
        </w:rPr>
        <w:footnoteRef/>
      </w:r>
      <w:r>
        <w:t xml:space="preserve"> </w:t>
      </w:r>
      <w:r>
        <w:tab/>
        <w:t xml:space="preserve">Id-Dikjarazzjoni tal-Programm tal-Gvern tar-Repubblika Slovakka għall-2020-2024, pp. 16-17. </w:t>
      </w:r>
    </w:p>
  </w:footnote>
  <w:footnote w:id="201">
    <w:p>
      <w:pPr>
        <w:pStyle w:val="FootnoteText"/>
      </w:pPr>
      <w:r>
        <w:rPr>
          <w:rStyle w:val="FootnoteReference"/>
        </w:rPr>
        <w:footnoteRef/>
      </w:r>
      <w:r>
        <w:t xml:space="preserve"> </w:t>
      </w:r>
      <w:r>
        <w:tab/>
        <w:t xml:space="preserve">Stabbilit permezz tal-Att Nru 346/2018 dwar ir-Reġistru tal-Organizzazzjonijiet Nongovernattivi Mingħajr Skop ta’ Qligħ; ir-reġistru huwa disponibbli hawnhekk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 xml:space="preserve">Kontribut mill-Via Iuris (L-Unjoni tal-Libertajiet Ċivili) għar-Rapport tal-2021 dwar l-Istat tad-Dritt u l-kontribut pp. 13-14 u l-kontribut mill-ENNHRI għar-Rapport tal-2021 dwar l-Istat tad-Dritt, p. 294. </w:t>
      </w:r>
    </w:p>
  </w:footnote>
  <w:footnote w:id="203">
    <w:p>
      <w:pPr>
        <w:pStyle w:val="FootnoteText"/>
      </w:pPr>
      <w:r>
        <w:rPr>
          <w:rStyle w:val="FootnoteReference"/>
        </w:rPr>
        <w:footnoteRef/>
      </w:r>
      <w:r>
        <w:t xml:space="preserve"> </w:t>
      </w:r>
      <w:r>
        <w:tab/>
        <w:t xml:space="preserve">Dan jirreferi għall-proċess tar-ridistribuzzjoni tas-sussidji għall-promozzjoni tal-ugwaljanza bejn il-ġeneri mill-Ministeru għax-Xogħol, l-Affarijiet Soċjali u l-Familja fl-2020 biex jingħata sostenn lill-organizzazzjonijiet favur il-ħajja, li ġeneralment ma jiffukawx fuq il-kwistjonijiet tal-ugwaljanza bejn il-ġeneri. Barra minn hekk, b’segwitu għall-adozzjoni tal-att tas-17 ta’ Diċembru 2020 li jemenda l-Att Nru 544/2010 Ġabra dwar is-sussidji, minflok l-ugwaljanza bejn il-ġeneri, se jingħataw sostenn l-opportunitajiet ta’ xogħol indaqs u l-organizzazzjonijiet li jippromwovu ż-żwieġ u l-valuri tal-familja. Ara l-kontributi għar-Rapport tal-2021 dwar l-Istat tad-Dritt ipprovduti mill-Istituzzjonijiet Nazzjonali tad-Drittijiet tal-Bniedem, p. 294, l-Unjoni tal-Libertajiet Ċivili għall-Ewropa, p.14, u l-ENNHRI, pp. 294-295. </w:t>
      </w:r>
    </w:p>
  </w:footnote>
  <w:footnote w:id="204">
    <w:p>
      <w:pPr>
        <w:pStyle w:val="FootnoteText"/>
      </w:pPr>
      <w:r>
        <w:rPr>
          <w:rStyle w:val="FootnoteReference"/>
        </w:rPr>
        <w:footnoteRef/>
      </w:r>
      <w:r>
        <w:t xml:space="preserve"> </w:t>
      </w:r>
      <w:r>
        <w:tab/>
        <w:t xml:space="preserve">Minkejja sforz mill-gvern li pprovda sostenn addizzjonali ta’ EUR 1,1 miljun biex jappoġġa attivitajiet tal-NGOs li qed jimmitigaw l-impatt tal-COVID-19, stqarrija għall-istampa tal-Ministeru għall-Iżvilupp Reġjonali tat-12 ta’ Awwissu 2020, il-Viċi Prim Ministru Remišová: EUR 1,1 miljun f’għajnuna għal organizzazzjoni mhux governattiva li tiġġieled kontra l-COVID-19; Informazzjoni li waslet fil-kuntest taż-żjara tal-pajjiż fis-Slovakkja. Ara pereżempju l-kontributi mill-Via Iuris (L-Unjoni tal-Libertajiet Ċivili) għar-Rapport tal-2021 dwar l-Istat tad-Dritt, pp.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i jakkumpanja d-dokument"/>
    <w:docVar w:name="LW_CORRIGENDUM" w:val="&lt;UNUSED&gt;"/>
    <w:docVar w:name="LW_COVERPAGE_EXISTS" w:val="True"/>
    <w:docVar w:name="LW_COVERPAGE_GUID" w:val="6C985383-E747-4520-A140-8D37075D0CD8"/>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ssell, "/>
    <w:docVar w:name="LW_EMISSION_SUFFIX" w:val=" "/>
    <w:docVar w:name="LW_ID_DOCTYPE_NONLW" w:val="CP-025"/>
    <w:docVar w:name="LW_LANGUE" w:val="MT"/>
    <w:docVar w:name="LW_LEVEL_OF_SENSITIVITY" w:val="Standard treatment"/>
    <w:docVar w:name="LW_NOM.INST" w:val="IL-KUMMISSJONI EWROPEA"/>
    <w:docVar w:name="LW_NOM.INST_JOINTDOC" w:val="&lt;EMPTY&gt;"/>
    <w:docVar w:name="LW_OBJETACTEPRINCIPAL.CP" w:val="Rapport tal-2021 dwar l-Istat tad-Dritt _x000d__x000d__x000d__x000d__x000d__x000b_Is-sitwazzjoni tal-istat tad-dritt fl-Unjoni Ewropea"/>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tal-2021 dwar l-Istat tad-Dritt_x000d__x000d__x000b_Il-Kapitolu tal-Pajji\u380? dwar is-sitwazzjoni tal-istat tad-dritt fis-Slovakkja"/>
    <w:docVar w:name="LW_TYPE.DOC.CP" w:val="DOKUMENT TA\u8217? \u294?IDMA TAL-PERSUNAL TAL-KUMMISSJONI"/>
    <w:docVar w:name="LW_TYPEACTEPRINCIPAL.CP" w:val="KOMUNIKAZZJONI TAL-KUMMISSJONI LILL-PARLAMENT EWROPEW, LILL-KUNSILL, LILL-KUMITAT EKONOMIKU U SO\u266?JALI EWROPEW U LILL-KUMITAT TAR-RE\u288?JUNI "/>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mt-M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mt-M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mt-M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mt-M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portal/-/slovakia-greco-regrets-slow-progress-in-preventing-corruption-of-parliamentarians-judges-and-prosecutors" TargetMode="External"/><Relationship Id="rId39" Type="http://schemas.openxmlformats.org/officeDocument/2006/relationships/hyperlink" Target="http://web.ac-mssr.sk/wp-content/uploads/2020/sudna_mapa/Reforma_sudnej_mapy_na_citanie.pdf" TargetMode="External"/><Relationship Id="rId3" Type="http://schemas.openxmlformats.org/officeDocument/2006/relationships/customXml" Target="../customXml/item3.xml"/><Relationship Id="rId21" Type="http://schemas.openxmlformats.org/officeDocument/2006/relationships/hyperlink" Target="https://ec.europa.eu/anti-fraud/media-corner/news/21-01-2021/olaf-closes-cases-eu-agricultural-funds-slovakia_mt" TargetMode="External"/><Relationship Id="rId34" Type="http://schemas.openxmlformats.org/officeDocument/2006/relationships/hyperlink" Target="https://www.nrsr.sk/web/Dynamic/DocumentPreview.aspx?DocID=494677" TargetMode="External"/><Relationship Id="rId42" Type="http://schemas.openxmlformats.org/officeDocument/2006/relationships/hyperlink" Target="http://www.snslp.sk/wp-content/uploads/Sprava-o-LP-v-SR-za-rok-2020-.pd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51541" TargetMode="External"/><Relationship Id="rId33" Type="http://schemas.openxmlformats.org/officeDocument/2006/relationships/hyperlink" Target="https://www.mpsr.sk/programove-vyhlasenie-vlady-slovenskej-republiky-na-obdobie-rokov-2020-2024/800-17-800-15434/" TargetMode="External"/><Relationship Id="rId38" Type="http://schemas.openxmlformats.org/officeDocument/2006/relationships/hyperlink" Target="http://web.ac-mssr.sk/wp-content/uploads/2020/sudna_mapa/nova_sudna_mapa_3_0_final.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rokovania.gov.sk/download.dat?id=588DFBA123494910A70AF18737B85A81-034BF7E75BABC88FC3A419E44DED1345" TargetMode="External"/><Relationship Id="rId41" Type="http://schemas.openxmlformats.org/officeDocument/2006/relationships/hyperlink" Target="https://www.mirri.gov.sk/aktuality/podpredsednicka-vlady/vicepremierka-remisova-11-miliona-eur-na-pomoc-mimovladnym-organizaciam-v-boji-s-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47309" TargetMode="External"/><Relationship Id="rId32"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7" Type="http://schemas.openxmlformats.org/officeDocument/2006/relationships/hyperlink" Target="http://web.ac-mssr.sk/wp-content/uploads/2020/sudna_mapa/nova_sudna_mapa_3_0_final.pdf" TargetMode="External"/><Relationship Id="rId40" Type="http://schemas.openxmlformats.org/officeDocument/2006/relationships/hyperlink" Target="http://web.ac-mssr.sk/wp-content/uploads/2020/sudna_mapa/20210223_Casov&#225;_os_Sudna_mapa_v.2.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7" TargetMode="External"/><Relationship Id="rId28" Type="http://schemas.openxmlformats.org/officeDocument/2006/relationships/hyperlink" Target="https://www.sak.sk/web/sk/cms/news/form/list/form/row/596497/_event" TargetMode="External"/><Relationship Id="rId36" Type="http://schemas.openxmlformats.org/officeDocument/2006/relationships/hyperlink" Target="https://www.health.gov.sk/Zdroje?/dokumenty/mzsr/rezortny-protikorupcny-program.rt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vop.gov.sk/files/VOP_VS20_SK_1.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1" TargetMode="External"/><Relationship Id="rId27" Type="http://schemas.openxmlformats.org/officeDocument/2006/relationships/hyperlink" Target="https://www.vop.gov.sk/files/VOP_VS20_SK_1.pdf" TargetMode="External"/><Relationship Id="rId30" Type="http://schemas.openxmlformats.org/officeDocument/2006/relationships/hyperlink" Target="https://rokovania.gov.sk/download.dat?id=F75436C4AF3C4D96AE93D60FD6BCA184-99C291B1BA87B0B9BF1E773CB8DA6BA0" TargetMode="External"/><Relationship Id="rId35" Type="http://schemas.openxmlformats.org/officeDocument/2006/relationships/hyperlink" Target="https://pravnystat.eu/en/"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3.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298935-55EA-43CA-8692-45CFD08F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6712</Words>
  <Characters>54036</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72</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_LW_INVALIDATED__LW_INVALIDATED__LW_INVALIDATED__LW_INVALIDATED__LW_INVALIDATED_ContentTypeId">
    <vt:lpwstr>0x0101001FB8E9DEAEFB414DAE5EC193F8A440AF</vt:lpwstr>
  </property>
</Properties>
</file>