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E22DCC-A74F-4433-95F8-076F4B5E076C" style="width:455.25pt;height:46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WPROWADZENIE </w:t>
      </w:r>
    </w:p>
    <w:p>
      <w:pPr>
        <w:pStyle w:val="ListParagraph"/>
        <w:spacing w:after="120" w:line="240" w:lineRule="auto"/>
        <w:ind w:left="0"/>
        <w:contextualSpacing w:val="0"/>
        <w:jc w:val="both"/>
        <w:rPr>
          <w:noProof/>
        </w:rPr>
      </w:pPr>
      <w:r>
        <w:rPr>
          <w:rFonts w:ascii="Times New Roman" w:hAnsi="Times New Roman"/>
          <w:noProof/>
          <w:sz w:val="24"/>
          <w:szCs w:val="24"/>
        </w:rPr>
        <w:t>UE opiera się na szeregu wspólnych wartości, w tym na poszanowaniu praw podstawowych, demokracji i praworządności</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Te podstawowe wartości są postrzegane przez Europejczyków jako jeden z głównych atutów UE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a ich zabezpieczenie jest wspólnym obowiązkiem wszystkich instytucji UE i wszystkich państw członkowskich. Chociaż uznaje się, że UE ma bardzo wysokie standardy w tych dziedzinach, wartości tych nigdy nie należy uznawać za oczywiste. Propagowanie i utrzymywanie praworządności wymaga czujności i ciągłego doskonalenia, ponieważ zawsze istnieje ryzyko regresu.</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Praworządność nie tylko stanowi integralną część tożsamości demokratycznej UE i państw członkowskich, ale również ma zasadnicze znaczenie dla funkcjonowania UE oraz dla zaufania obywateli i przedsiębiorstw do instytucji publicznych. Chociaż państwa członkowskie mają różne systemy i tradycje prawne, podstawowe znaczenie praworządności jest takie samo w całej UE. Podstawowe zasady praworządności, wspólne dla wszystkich państw członkowskich – legalność, pewność prawa, zakaz arbitralności w działaniu władz wykonawczych, skuteczna ochrona sądowa przez niezależne i bezstronne sądy w pełni respektujące prawa podstawowe, podział władzy, stałe podporządkowanie wszystkich organów publicznych ustanowionym przepisom i procedurom oraz równość wobec prawa – zostały zapisane w konstytucjach krajowych i przełożone na grunt prawa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Orzecznictwo Trybunału Sprawiedliwości Unii Europejskiej (TSUE) w sprawie praworządności i niezależności sądów zawiera jasny zestaw wymogów prawnych, których państwa członkowskie muszą przestrzegać w swoich reformach dotyczących praworządności</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Poszanowanie praworządności oznacza przestrzeganie prawa Unii i zasady pierwszeństwa prawa Unii, co stanowi podstawę UE.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Sprawozdanie na temat praworządności zostało opracowane w oparciu o tę wspólną i obiektywną podstawę jako roczny cykl mający na celu promowanie praworządności i zapobieganie powstawaniu lub pogłębianiu się problemów oraz ich rozwiązywanie, z uwzględnieniem w równym stopniu wszystkich państw członkowskich. Celem sprawozdania jest wzmocnienie praworządności przy pełnym poszanowaniu krajowych tradycji i specyfiki, pobudzenie konstruktywnej debaty i zachęcenie wszystkich państw członkowskich do przeanalizowania, w jaki sposób można stawić czoła wyzwaniom, oraz do wyciągania wniosków z wzajemnych doświadczeń.</w:t>
      </w:r>
    </w:p>
    <w:p>
      <w:pPr>
        <w:spacing w:after="120" w:line="240" w:lineRule="auto"/>
        <w:jc w:val="both"/>
        <w:rPr>
          <w:noProof/>
        </w:rPr>
      </w:pPr>
      <w:r>
        <w:rPr>
          <w:rFonts w:ascii="Times New Roman" w:hAnsi="Times New Roman"/>
          <w:noProof/>
          <w:sz w:val="24"/>
          <w:szCs w:val="24"/>
        </w:rPr>
        <w:t xml:space="preserve">Praworządność jest również ważnym wymiarem i zasadą przewodnią działań zewnętrznych UE. Wiarygodność europejskiej polityki zewnętrznej zależy od stanu praworządności w samej UE. Presja na praworządność na całym świecie jest coraz większa, a UE aktywnie działa na rzecz ochrony, inspirowania i wspierania demokracji na całym świecie. Wydarzenia w pobliżu naszych granic, ostatnio na Białorusi, przypomniały o potrzebie zdecydowanego promowania naszych wartości w sąsiedztwie. Ponadto UE będzie w dalszym ciągu stosować zdecydowane i spójne podejście w swoich działaniach zewnętrznych, a w szczególności uwzględniać kwestię praworządności w swoich pracach związanych z rozszerzeniem i działaniach prowadzonych w sąsiedztwie oraz w skali ogólnoświatowej.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lastRenderedPageBreak/>
        <w:t>Istnieje również ścisły związek z polityką UE mającą na celu odbudowę gospodarczą: silny system wymiaru sprawiedliwości, solidne ramy antykorupcyjne, jasny i spójny system stanowienia prawa, ochrona interesów finansowych UE oraz trwały wzrost gospodarczy.</w:t>
      </w:r>
      <w:r>
        <w:rPr>
          <w:rFonts w:ascii="Times New Roman" w:hAnsi="Times New Roman"/>
          <w:noProof/>
          <w:sz w:val="24"/>
          <w:szCs w:val="24"/>
        </w:rPr>
        <w:t xml:space="preserve"> Jest to kluczowy czynnik napędzający działanie instrumentów UE, które promują reformy strukturalne w państwach członkowskich</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Ponadto kluczowe znaczenie ma jakość administracji publicznej i kultury praworządności, których odzwierciedleniem jest sposób, w jaki władze stosują prawo i wykonują orzeczenia sądów.</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Pogłębianie prac nad praworządnością wymaga ścisłej i ciągłej współpracy między instytucjami UE i państwami członkowskimi. Komisja z zadowoleniem przyjęła reakcję na sprawozdanie na temat praworządności z 2020 r. w Parlamencie Europejskim i w Radzie, jak również w parlamentach narodowych, i oczekuje dalszego zacieśniania współpracy międzyinstytucjonalnej w zakresie praworządności.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Niniejsze sprawozdanie stanowi również część szerzej zakrojonych działań UE na rzecz promowania i obrony wartości leżących u jej podstaw. Działania te obejmują europejski plan działania na rzecz demokracji</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oraz odnowioną strategię wdrażania Karty praw podstawowych</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jak również ukierunkowane strategie na rzecz postępów w kierunku „Unii równości”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Kolejną powiązaną kwestią jest monitorowanie stosowania prawa Unii i ochrony praw podstawowych określonych w Karcie, w tym w ramach stosowania postępowania w sprawie uchybienia zobowiązaniom państwa członkowskiego</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Zakres sprawozdania na temat praworządności z 2021 r. jest taki sam jak zakres sprawozdania z ostatniego roku – systemy wymiaru sprawiedliwości, ramy antykorupcyjne, pluralizm i wolność mediów oraz inne kwestie instytucjonalne związane z mechanizmami kontroli i równowagi – w ten sposób konsoliduje się działanie rozpoczęte w ramach sprawozdania z 2020 r.,</w:t>
      </w:r>
      <w:r>
        <w:rPr>
          <w:noProof/>
        </w:rPr>
        <w:t xml:space="preserve"> </w:t>
      </w:r>
      <w:r>
        <w:rPr>
          <w:rFonts w:ascii="Times New Roman" w:hAnsi="Times New Roman"/>
          <w:noProof/>
          <w:sz w:val="24"/>
          <w:szCs w:val="24"/>
        </w:rPr>
        <w:t>a</w:t>
      </w:r>
      <w:r>
        <w:rPr>
          <w:noProof/>
        </w:rPr>
        <w:t> </w:t>
      </w:r>
      <w:r>
        <w:rPr>
          <w:rFonts w:ascii="Times New Roman" w:hAnsi="Times New Roman"/>
          <w:noProof/>
          <w:sz w:val="24"/>
          <w:szCs w:val="24"/>
        </w:rPr>
        <w:t xml:space="preserve">jednocześnie zapewnia się większą szczegółowość oceny przeprowadzonej przez Komisję. W sprawozdaniu przedstawiono również szerzej kwestię skutków pandemii COVID-19 i związanych z nią wyzwań. Integralną częścią tego sprawozdania są rozdziały dotyczące poszczególnych państw, w których to rozdziałach analizuje się zmiany, jakie zaszły od publikacji pierwszego sprawozdania, oraz działania następcze podjęte w związku z wyzwaniami i zmianami określonymi w sprawozdaniu z 2020 r.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PANDEMIA COVID-19 A PRAWORZĄDNOŚĆ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Pandemia COVID-19 skutkowała szczególnymi wyzwaniami w zakresie praworządności. Nadrzędne względy zdrowotne </w:t>
      </w:r>
      <w:r>
        <w:rPr>
          <w:rFonts w:ascii="Times New Roman" w:hAnsi="Times New Roman"/>
          <w:noProof/>
          <w:sz w:val="24"/>
          <w:szCs w:val="24"/>
        </w:rPr>
        <w:t xml:space="preserve">wymagały wprowadzenia nadzwyczajnych środków w celu zwalczenia pandemii, co często wiązało się z zaburzeniem normalnego codziennego funkcjonowania i ograniczeniem praw podstawowych. Pilna potrzeba przyjęcia środków nadzwyczajnych może stanowić duży problem z punktu widzenia legitymacji demokratycznej oraz zwykłego funkcjonowania systemów konstytucyjnych i prawnych oraz administracji publicznych.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Komisja monitorowała zmiany zachodzące we wszystkich państwach członkowskich i analizowała przyjmowane środki nadzwyczajne, a wpływ tych środków na praworządność ukazano w rozdziałach dotyczących poszczególnych państw. Następujące kwestie mają kluczowe znaczenie: czy środki związane z COVID-19 były ograniczone w czasie, czy istnieje uzasadnienie dla ich konieczności i proporcjonalności, jaki jest zakres dalszego nadzoru prowadzonego przez parlamenty narodowe i sądy krajowe oraz jaka jest podstawa prawna tych środków. Równie ważna jest zdolność do utrzymania mechanizmów kontroli i równowagi zapewniających praworządność. Obejmuje to rolę parlamentów, trybunałów konstytucyjnych i innych sądów krajowych, a także rzeczników praw człowieka i krajowych instytucji praw człowieka prowadzących przegląd systemu prawnego i przyjmowanych środków. Dotyczy to również stopnia, w jakim możliwe jest utrzymanie roli mediów i społeczeństwa obywatelskiego w zakresie sprawowania kontroli publicznej, oraz sposobu, w jaki władze podejmowały działania w celu złagodzenia skutków pandemii odczuwanych przez takie podmioty. Ponieważ środki wprowadzane w odpowiedzi na pandemię często wiązały się z poluzowaniem zasad i kontroli administracyjnych na potrzeby umożliwienia szybkiego reagowania, istotne są również środki wprowadzone w celu zapobiegania korupcji i konfliktowi interesów w zakresie wydatków publicznych w czasie pandemii.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Zasadniczo w ramach monitorowania ustalono, że systemy krajowe charakteryzują się znaczną odpornością. Oprócz natychmiastowego działania należy jednak również rozważyć kwestię lepszego przygotowania na wpływ sytuacji kryzysowych na praworządność, które to sytuacje mogą utrzymywać się przez długi czas. Niektóre państwa członkowskie miały już ramy prawne określone w konstytucji krajowej lub w przepisach dotyczących zdrowia publicznego lub innych przepisach stosowanych w sytuacjach kryzysowych. Tego rodzaju dalekowzroczność pomogła w osiągnięciu legalności środków związanych z COVID-19, które mogły opierać się na już istniejących ramach. Inne państwa członkowskie wprowadziły nowy system dotyczący stanu nadzwyczajnego konkretnie na potrzeby tej pandemii. W czasie trwania pandemii większość państw członkowskich zmieniła, często wielokrotnie, system prawny w zakresie podejmowania środków związanych z pandemią. Zmiany te często zachodziły w napiętych okolicznościach politycznych</w:t>
      </w:r>
      <w:r>
        <w:rPr>
          <w:rFonts w:ascii="Times New Roman" w:hAnsi="Times New Roman"/>
          <w:bCs/>
          <w:noProof/>
          <w:sz w:val="24"/>
          <w:szCs w:val="24"/>
        </w:rPr>
        <w:t>, z wykorzystaniem przyspieszonych procedur oraz po przeprowadzeniu ograniczonej liczby kontroli konstytucyjności i debat parlamentarnych. W niektórych państwach członkowskich nie ustanowiono wyraźnego systemu prawnego, w ramach którego ograniczono prawa podstawowe. W sprawozdaniu okresowym na 2020 r. Komisja Wenecka podkreśliła znaczenie obowiązywania wyraźnego systemu prawnego przed kryzysem, tak aby od samego początku budowano poszanowanie praworządności, a także praw podstawowych i wymogów konstytucyjnych</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Pilne potrzeby związane z kryzysem wywierają presję na utrwalone systemy konstytucyjne. Niektóre państwa członkowskie utrzymały odpowiedzialność parlamentów za kontrolę legislacyjną obejmującą wszystkie środki związane z pandemią. Inne państwa przywróciły zwiększony nadzór parlamentarny po początkowym okresie jego ograniczenia. Pod względem nadzoru nad władzą wykonawczą wiele parlamentów zmieniło również zasady dotyczące fizycznej obecności i głosowania w celu umożliwienia uczestnictwa demokratycznego. Inne instytucje o kluczowym znaczeniu z punktu widzenia mechanizmów kontroli i równowagi również zdołały się dostosować pomimo poważnego wpływu pandemii na ich zdolność do prowadzenia prac. W wielu państwach członkowskich sądy i trybunały konstytucyjne odegrały ważną rolę w zapewnieniu utrzymania kontroli sądowej. Rzecznicy praw obywatelskich i instytucje praw człowieka dołożyły szczególnych starań, aby nie przerywać prac, i podjęły szereg wyzwań w celu dokonania przeglądu środków nadzwyczajnych. Trudniejsze okazało się utrzymanie zdolności ogółu społeczeństwa do uczestniczenia w tworzeniu środków, gdyż zasadniczo ograniczono prowadzone konsultacje publiczne, zinstytucjonalizowany dialog społeczny i konsultacje z zainteresowanymi stronami.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Działania regulacyjne i administracyjne rządów również były utrudnione, ale podjęto kroki w celu złagodzenia wpływu w tym zakresie. Na przykład dzięki wysokiemu poziomowi cyfryzacji udało się ograniczyć zakłócenia. Wsparcie na rzecz cyfrowej transformacji administracji publicznej i sądownictwa oraz na rzecz lepszego kształtowania polityki uwzględniono w wielu opracowanych przez państwa członkowskie planach odbudowy i zwiększania odporności. W przypadku administracji publicznych w celu przyspieszenia procesu decyzyjnego wprowadzono uproszczone procedury w dziedzinach takich jak zamówienia publiczne. Zagrażało to praworządności i walce z korupcją, które to ryzyko udało się ograniczyć w niektórych przypadkach dzięki zabezpieczeniom zapewnionym w ramach systemów dotyczących stanu nadzwyczajnego.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Struktura demokratyczna chroniąca praworządność jest również uzależniona od mediów i społeczeństwa obywatelskiego. Zdolność zarówno mediów, jak i społeczeństwa obywatelskiego do prowadzenia prac znacznie spadła w wyniku ograniczeń prowadzonych w związku z pandemią. </w:t>
      </w:r>
      <w:r>
        <w:rPr>
          <w:rFonts w:ascii="Times New Roman" w:hAnsi="Times New Roman"/>
          <w:bCs/>
          <w:noProof/>
          <w:sz w:val="24"/>
          <w:szCs w:val="24"/>
        </w:rPr>
        <w:t>W</w:t>
      </w:r>
      <w:r>
        <w:rPr>
          <w:rFonts w:ascii="Times New Roman" w:hAnsi="Times New Roman"/>
          <w:noProof/>
          <w:sz w:val="24"/>
          <w:szCs w:val="24"/>
        </w:rPr>
        <w:t> </w:t>
      </w:r>
      <w:r>
        <w:rPr>
          <w:rFonts w:ascii="Times New Roman" w:hAnsi="Times New Roman"/>
          <w:bCs/>
          <w:noProof/>
          <w:sz w:val="24"/>
          <w:szCs w:val="24"/>
        </w:rPr>
        <w:t xml:space="preserve">czasie kryzysu media ogrywają istotniejszą niż kiedykolwiek rolę w udzielaniu wiarygodnych informacji na temat działań podejmowanych przez władze. Media informacyjne miały kluczowe znaczenie dla udzielania obywatelom aktualnych, zweryfikowanych informacji na temat pandemii, choć jednocześnie wiele mediów stanęło w obliczu poważnych wyzwań ekonomicznych. W rezultacie szereg państw członkowskich podjęło działania, w szczególności w ramach programów wsparcia dla mediów i dziennikarzy. Kluczową kwestią jest przejrzystość i sprawiedliwość podziału takiego wsparcia. Pracę dziennikarzy utrudniały również ograniczenia w zakresie dostępu do informacji publicznych i do ogółu społeczeństwa. </w:t>
      </w:r>
      <w:r>
        <w:rPr>
          <w:rFonts w:ascii="Times New Roman" w:hAnsi="Times New Roman"/>
          <w:noProof/>
          <w:sz w:val="24"/>
          <w:szCs w:val="24"/>
        </w:rPr>
        <w:t>Przejrzystość i publiczny dostęp do informacji stanowiły ogólny problem oraz źródło szeregu przypadków, w których środki związane z pandemią zostały zaskarżone przed sądem przez przedstawicieli społeczeństwa obywatelskie oraz przez obywateli.</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Ogólnie rzecz biorąc, istnieje wiele </w:t>
      </w:r>
      <w:r>
        <w:rPr>
          <w:rFonts w:ascii="Times New Roman" w:hAnsi="Times New Roman"/>
          <w:noProof/>
          <w:sz w:val="24"/>
          <w:szCs w:val="24"/>
        </w:rPr>
        <w:t>pozytywnych zmian i przykładów, z których można korzystać w celu poprawienia reakcji prawno-politycznej w czasie kryzysu w sposób zwiększający praworządność i odporność demokratyczną. Dzięki zyskanym doświadczeniom wzrosła świadomość znaczenia praworządności i sposobu postępowania władz państwowych w czasach kryzysu. Warto przeprowadzić na ten temat debaty na szczeblu UE w Parlamencie Europejskim i Radzie, a także na szczeblu krajowym. Tego rodzaju debata może również bazować na analizie prowadzonej przez organizacje międzynarodowe, takie jak Rada Europy</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KLUCZOWE ASPEKTY SYTUACJI W ZAKRESIE PRAWORZĄDNOŚCI W PAŃSTWACH CZŁONKOWSKICH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Jeśli chodzi o cztery filary sprawozdania na temat praworządności, w kolejnych czterech sekcjach ukazano szereg istotnych wspólnych zagadnień i tendencji, szczególnych wyzwań i pozytywnych zmian. Tendencje te ukazano na przykładach zmian w konkretnych państwach członkowskich, które to przykłady pochodzą z oceny wszystkich 27 państw członkowskich przedstawionej w rozdziałach dotyczących poszczególnych państw.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Wytyczne dla czytelnika – metodyka</w:t>
            </w:r>
          </w:p>
          <w:p>
            <w:pPr>
              <w:spacing w:after="120"/>
              <w:jc w:val="both"/>
              <w:rPr>
                <w:rFonts w:ascii="Times New Roman" w:hAnsi="Times New Roman" w:cs="Times New Roman"/>
                <w:noProof/>
                <w:sz w:val="24"/>
                <w:szCs w:val="24"/>
              </w:rPr>
            </w:pPr>
            <w:r>
              <w:rPr>
                <w:rFonts w:ascii="Times New Roman" w:hAnsi="Times New Roman"/>
                <w:noProof/>
                <w:sz w:val="24"/>
                <w:szCs w:val="24"/>
              </w:rPr>
              <w:t>Ocenę przedstawioną w niniejszej sekcji należy czytać w ścisłym związku z 27 rozdziałami dotyczącymi poszczególnych państw, zawierającymi opis poszczególnych ocen krajowych. Na przykładach pochodzących z tych rozdziałów dotyczących poszczególnych państw ukazano ogólne ustalenia, przy czym w samych rozdziałach przedstawiono ponadto szczegółowy kontekst umożliwiający głębsze zrozumienie zmian i debat mających miejsce na szczeblu krajowym i europejskim</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Ocenę zawartą w rozdziałach dotyczących poszczególnych państw przygotowano zgodnie z zakresem i metodyką omówionymi z państwami członkowskimi</w:t>
            </w:r>
            <w:r>
              <w:rPr>
                <w:rFonts w:ascii="Times New Roman" w:hAnsi="Times New Roman" w:cs="Times New Roman"/>
                <w:noProof/>
                <w:sz w:val="24"/>
                <w:szCs w:val="24"/>
                <w:vertAlign w:val="superscript"/>
              </w:rPr>
              <w:footnoteReference w:id="14"/>
            </w:r>
            <w:r>
              <w:rPr>
                <w:rFonts w:ascii="Times New Roman" w:hAnsi="Times New Roman"/>
                <w:noProof/>
                <w:sz w:val="24"/>
                <w:szCs w:val="24"/>
              </w:rPr>
              <w:t>. Rozdziały dotyczące poszczególnych państw opierają się na ocenie jakościowej przeprowadzonej niezależnie przez Komisję, skoncentrowanej na podsumowaniu znacznych zmian, jakie zaszły od września 2020 r. Obejmuje to zarówno wyzwania, jak i pozytywne aspekty, a także dobre praktyki zidentyfikowane w państwach członkowskich. W częściach poświęconych zmianie sytuacji od czasu poprzedniego sprawozdania przeanalizowano zakres, w jakim rozwiązano problemy zidentyfikowane w 2020 r., oraz kwestię, czy dany problem nadal występuje lub też czy sytuacja uległa dalszemu pogorszeniu.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Komisja stosuje spójne i równoważne podejście, przyjmując tę samą metodykę i analizując ten sam zakres zagadnień w przypadku wszystkich państw członkowskich, proporcjonalnie do sytuacji. W każdym rozdziale dotyczącym poszczególnych państw przeanalizowano w szczególności zagadnienia, w przypadku których zaszły istotne zmiany lub w przypadku których w poprzednim sprawozdaniu zidentyfikowano poważne wyzwania, które nadal utrzymują się w okresie sprawozdawczym. Terminy stosowane w ocenach mają być porównywalne i jednakowe we wszystkich rozdziałach dotyczących poszczególnych państw i mają ukazać powagę danej kwestii z uwzględnieniem ogólnego kontekstu krajowego. Celem rozdziałów dotyczących poszczególnych państw jest ukazanie znacznych zmian, a nie przedstawienie wyczerpującego opisu wszystkich kwestii z zakresu praworządności we wszystkich państwach członkowskich. W ocenie odniesiono się do wymogów określonych w prawie Unii, w tym do wymogów wynikających z orzecznictwa TSUE. Ponadto zalecenia i opinie Rady Europy stanowią przydatne ramy odniesienia dotyczące istotnych norm i najlepszych praktyk. </w:t>
            </w:r>
          </w:p>
          <w:p>
            <w:pPr>
              <w:spacing w:after="120"/>
              <w:jc w:val="both"/>
              <w:rPr>
                <w:rFonts w:ascii="Times New Roman" w:hAnsi="Times New Roman" w:cs="Times New Roman"/>
                <w:noProof/>
                <w:sz w:val="24"/>
                <w:szCs w:val="24"/>
              </w:rPr>
            </w:pPr>
            <w:r>
              <w:rPr>
                <w:rFonts w:ascii="Times New Roman" w:hAnsi="Times New Roman"/>
                <w:noProof/>
                <w:sz w:val="24"/>
                <w:szCs w:val="24"/>
              </w:rPr>
              <w:t>Niniejsze sprawozdanie opracowano w wyniku ścisłej współpracy z państwami członkowskimi, na podstawie różnych źródeł krajowych i innych źródeł. W procesie tym wzięły udział wszystkie państwa członkowskie, które przedstawiły pisemne uwagi</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i uczestniczyły w specjalnych wizytach krajowych przeprowadzonych w okresie od marca do maja</w:t>
            </w:r>
            <w:r>
              <w:rPr>
                <w:rFonts w:ascii="Times New Roman" w:hAnsi="Times New Roman" w:cs="Times New Roman"/>
                <w:noProof/>
                <w:sz w:val="24"/>
                <w:szCs w:val="24"/>
                <w:vertAlign w:val="superscript"/>
              </w:rPr>
              <w:footnoteReference w:id="16"/>
            </w:r>
            <w:r>
              <w:rPr>
                <w:rFonts w:ascii="Times New Roman" w:hAnsi="Times New Roman"/>
                <w:noProof/>
                <w:sz w:val="24"/>
                <w:szCs w:val="24"/>
              </w:rPr>
              <w:t>. Ważny wkład stanowiły również uwagi ogólne i uwagi dotyczące konkretnych państw, uzyskane w ramach ukierunkowanych konsultacji z zainteresowanymi stronami</w:t>
            </w:r>
            <w:r>
              <w:rPr>
                <w:rFonts w:ascii="Times New Roman" w:hAnsi="Times New Roman" w:cs="Times New Roman"/>
                <w:noProof/>
                <w:sz w:val="24"/>
                <w:szCs w:val="24"/>
                <w:vertAlign w:val="superscript"/>
              </w:rPr>
              <w:footnoteReference w:id="17"/>
            </w:r>
            <w:r>
              <w:rPr>
                <w:rFonts w:ascii="Times New Roman" w:hAnsi="Times New Roman"/>
                <w:noProof/>
                <w:sz w:val="24"/>
                <w:szCs w:val="24"/>
              </w:rPr>
              <w:t>. Rada Europy również przedstawiła przegląd swoich najnowszych opinii i sprawozdań dotyczących państw członkowskich UE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Przed przyjęciem niniejszego sprawozdania państwa członkowskie mogły przedstawić aktualizacje informacji faktycznych zawartych w rozdziale na ich temat.</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Systemy wymiaru sprawiedliwości</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Niezależność, jakość i efektywność są zasadniczymi parametrami skutecznego systemu wymiaru sprawiedliwości, niezależnie od modelu krajowego systemu prawnego i tradycji prawnej, z której dany model się wywodzi. Niezależność sądów krajowych stanowi warunek konieczny do zapewnienia skutecznej ochrony sądowej, do czego państwa członkowskie są zobowiązane na mocy Traktatów. Jak potwierdził Trybunał Sprawiedliwości, samo istnienie skutecznej kontroli sądowej służącej zapewnieniu poszanowania prawa Unii jest nierozerwalnie związane z istnieniem państwa prawa</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Skuteczne systemy wymiaru sprawiedliwości stanowią fundament wzajemnego zaufania, które jest podstawą wspólnej przestrzeni wolności, bezpieczeństwa i sprawiedliwości. Tematy, które pojawiały się w toku analizy w 27 rozdziałach dotyczących poszczególnych państw, stanowią kluczowe parametry niezależności sądów: reformy Rad Sądownictwa i procesów powoływania sędziów oraz niezależność prokuratury. W wielu państwach członkowskich szczególny nacisk położono również na uczciwość i odpowiedzialność sędziów i prokuratorów, a także na postępy w zakresie cyfryzacji. Zawody prawnicze odgrywają zasadniczą rolę w zapewnianiu ochrony praw podstawowych i umacnianiu praworządności. </w:t>
      </w:r>
      <w:r>
        <w:rPr>
          <w:rFonts w:ascii="Times New Roman" w:hAnsi="Times New Roman"/>
          <w:noProof/>
          <w:sz w:val="24"/>
          <w:szCs w:val="24"/>
        </w:rPr>
        <w:t>Skuteczny system wymiaru sprawiedliwości wymaga, aby prawnicy mieli swobodę prowadzenia działalności polegającej na doradzaniu klientom i reprezentowaniu ich, a izby adwokackie odgrywają istotną rolę, pomagając w zagwarantowaniu niezależności i uczciwości zawodowej prawników.</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Prawie wszystkie państwa członkowskie nadal przeprowadzają reformy wymiaru sprawiedliwości, co świadczy o dużym znaczeniu politycznym tego zagadnienia. W rozdziałach dotyczących poszczególnych państw pokazano, że cele, zakres, forma i stan realizacji tych reform są zróżnicowane. Organizacja systemów wymiaru sprawiedliwości należy do kompetencji państw członkowskich, a stosując prawo Unii, sądy krajowe działają jako sądy unijne. Reformując swoje systemy wymiaru sprawiedliwości, państwa członkowskie muszą przestrzegać wymogów określonych w prawie Unii i orzecznictwie TSUE, gwarantując skuteczność praw określonych w Karcie praw podstawowych Unii Europejskiej. Od czasu opublikowania pierwszego sprawozdania na temat praworządności TSUE potwierdził w kilku orzeczeniach kluczowe znaczenie skutecznej ochrony sądowej dla utrzymania praworządności i wartości, na których </w:t>
      </w:r>
      <w:r>
        <w:rPr>
          <w:rFonts w:ascii="Times New Roman" w:hAnsi="Times New Roman"/>
          <w:noProof/>
          <w:sz w:val="24"/>
          <w:szCs w:val="24"/>
        </w:rPr>
        <w:t>ustanowiono UE</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Postrzegana niezależność sądów w całej UE </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Jak wynika z unijnej tablicy wyników wymiaru sprawiedliwości, badania Eurobarometru przeprowadzone wśród ogółu społeczeństwa i przedsiębiorców w 2021 r.</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pokazują, że w porównaniu z 2020 r.</w:t>
      </w:r>
      <w:r>
        <w:rPr>
          <w:rFonts w:ascii="Times New Roman" w:hAnsi="Times New Roman"/>
          <w:noProof/>
          <w:sz w:val="24"/>
          <w:szCs w:val="24"/>
        </w:rPr>
        <w:t xml:space="preserve"> wciąż te same państwa członkowskie znajdują się na końcu i początku skali </w:t>
      </w:r>
      <w:r>
        <w:rPr>
          <w:rFonts w:ascii="Times New Roman" w:hAnsi="Times New Roman"/>
          <w:iCs/>
          <w:noProof/>
          <w:sz w:val="24"/>
          <w:szCs w:val="24"/>
        </w:rPr>
        <w:t>postrzeganej niezależności sądów.</w:t>
      </w:r>
      <w:r>
        <w:rPr>
          <w:rFonts w:ascii="Times New Roman" w:hAnsi="Times New Roman"/>
          <w:noProof/>
          <w:sz w:val="24"/>
          <w:szCs w:val="24"/>
        </w:rPr>
        <w:t xml:space="preserve"> Wśród ogółu społeczeństwa w Niemczech, Luksemburgu, Niderlandach, Austrii i Finlandii poziom postrzeganej niezależności sądów pozostaje bardzo wysoki (powyżej 75 %), natomiast w Chorwacji, Polsce i na Słowacji poziom postrzeganej niezależności sądów pozostaje bardzo niski (poniżej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Rady Sądownictwa i procedury powoływania sędziów jako kluczowe zabezpieczenia niezależności sądów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W sprawozdaniu na temat praworządności z 2020 r. odnotowano, że w szeregu państw członkowskich podjęto działania mające na celu wzmocnienie niezależności sądów i ograniczenie wpływu władzy ustawodawczej i wykonawczej na system wymiaru sprawiedliwości. Coraz częściej uznaje się ważną rolę Rad Sądownictwa w zabezpieczeniu niezależności sądów</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Nowe Rady Sądownictwa ustanowione w </w:t>
      </w:r>
      <w:hyperlink r:id="rId16" w:history="1">
        <w:r>
          <w:rPr>
            <w:rStyle w:val="Hyperlink"/>
            <w:rFonts w:ascii="Times New Roman" w:hAnsi="Times New Roman"/>
            <w:noProof/>
            <w:sz w:val="24"/>
            <w:szCs w:val="24"/>
          </w:rPr>
          <w:t>Irlandii</w:t>
        </w:r>
      </w:hyperlink>
      <w:r>
        <w:rPr>
          <w:rFonts w:ascii="Times New Roman" w:hAnsi="Times New Roman"/>
          <w:noProof/>
          <w:sz w:val="24"/>
          <w:szCs w:val="24"/>
        </w:rPr>
        <w:t xml:space="preserve"> i </w:t>
      </w:r>
      <w:hyperlink r:id="rId17" w:history="1">
        <w:r>
          <w:rPr>
            <w:rStyle w:val="Hyperlink"/>
            <w:rFonts w:ascii="Times New Roman" w:hAnsi="Times New Roman"/>
            <w:noProof/>
            <w:sz w:val="24"/>
            <w:szCs w:val="24"/>
          </w:rPr>
          <w:t>Finlandii</w:t>
        </w:r>
      </w:hyperlink>
      <w:r>
        <w:rPr>
          <w:rFonts w:ascii="Times New Roman" w:hAnsi="Times New Roman"/>
          <w:noProof/>
          <w:sz w:val="24"/>
          <w:szCs w:val="24"/>
        </w:rPr>
        <w:t xml:space="preserve"> już działają. W </w:t>
      </w:r>
      <w:hyperlink r:id="rId18" w:history="1">
        <w:r>
          <w:rPr>
            <w:rStyle w:val="Hyperlink"/>
            <w:rFonts w:ascii="Times New Roman" w:hAnsi="Times New Roman"/>
            <w:noProof/>
            <w:sz w:val="24"/>
            <w:szCs w:val="24"/>
          </w:rPr>
          <w:t>Luksemburgu</w:t>
        </w:r>
      </w:hyperlink>
      <w:r>
        <w:rPr>
          <w:rFonts w:ascii="Times New Roman" w:hAnsi="Times New Roman"/>
          <w:noProof/>
          <w:sz w:val="24"/>
          <w:szCs w:val="24"/>
        </w:rPr>
        <w:t xml:space="preserve"> trwają prace nad wnioskiem w sprawie powołania niezależnej Rady Sądownictwa, a także konsultacje dotyczące dostosowania jej składu do zaleceń Rady Europy. W </w:t>
      </w:r>
      <w:hyperlink r:id="rId19" w:history="1">
        <w:r>
          <w:rPr>
            <w:rStyle w:val="Hyperlink"/>
            <w:rFonts w:ascii="Times New Roman" w:hAnsi="Times New Roman"/>
            <w:noProof/>
            <w:sz w:val="24"/>
            <w:szCs w:val="24"/>
          </w:rPr>
          <w:t>Szwecji</w:t>
        </w:r>
      </w:hyperlink>
      <w:r>
        <w:rPr>
          <w:rFonts w:ascii="Times New Roman" w:hAnsi="Times New Roman"/>
          <w:noProof/>
          <w:sz w:val="24"/>
          <w:szCs w:val="24"/>
        </w:rPr>
        <w:t xml:space="preserve"> komisja śledcza ds. „wzmocnienia ochrony demokracji i niezależności sądów” kontynuuje swoje prace i zamierza zaproponować reformy ustawodawcze i konstytucyjne w 2023 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innych państwach członkowskich trwają lub zostały ukończone reformy mające na celu wzmocnienie istniejących Rad Sądownictwa. Na przykład na </w:t>
      </w:r>
      <w:hyperlink r:id="rId20" w:history="1">
        <w:r>
          <w:rPr>
            <w:rStyle w:val="Hyperlink"/>
            <w:rFonts w:ascii="Times New Roman" w:hAnsi="Times New Roman"/>
            <w:noProof/>
            <w:sz w:val="24"/>
            <w:szCs w:val="24"/>
          </w:rPr>
          <w:t>Słowacji</w:t>
        </w:r>
      </w:hyperlink>
      <w:r>
        <w:rPr>
          <w:rFonts w:ascii="Times New Roman" w:hAnsi="Times New Roman"/>
          <w:noProof/>
          <w:sz w:val="24"/>
          <w:szCs w:val="24"/>
        </w:rPr>
        <w:t xml:space="preserve"> w ramach reform wprowadzono zmiany w sposobie powoływania i odwoływania członków Rady Sądownictwa oraz rozszerzono uprawnienia Rady. We </w:t>
      </w:r>
      <w:hyperlink r:id="rId21" w:history="1">
        <w:r>
          <w:rPr>
            <w:rStyle w:val="Hyperlink"/>
            <w:rFonts w:ascii="Times New Roman" w:hAnsi="Times New Roman"/>
            <w:noProof/>
            <w:sz w:val="24"/>
            <w:szCs w:val="24"/>
          </w:rPr>
          <w:t>Włoszech</w:t>
        </w:r>
      </w:hyperlink>
      <w:r>
        <w:rPr>
          <w:rFonts w:ascii="Times New Roman" w:hAnsi="Times New Roman"/>
          <w:noProof/>
          <w:sz w:val="24"/>
          <w:szCs w:val="24"/>
        </w:rPr>
        <w:t xml:space="preserve"> w parlamencie trwa dyskusja nad reformą sposobu wyboru sędziów do Najwyższej Rady Sądownictwa, której celem będzie wzmocnienie niezależności Rady. Na </w:t>
      </w:r>
      <w:hyperlink r:id="rId22" w:history="1">
        <w:r>
          <w:rPr>
            <w:rStyle w:val="Hyperlink"/>
            <w:rFonts w:ascii="Times New Roman" w:hAnsi="Times New Roman"/>
            <w:noProof/>
            <w:sz w:val="24"/>
            <w:szCs w:val="24"/>
          </w:rPr>
          <w:t>Cyprze</w:t>
        </w:r>
      </w:hyperlink>
      <w:r>
        <w:rPr>
          <w:rFonts w:ascii="Times New Roman" w:hAnsi="Times New Roman"/>
          <w:noProof/>
          <w:sz w:val="24"/>
          <w:szCs w:val="24"/>
        </w:rPr>
        <w:t xml:space="preserve"> trwają prace nad reformami mającymi na celu zwiększenie reprezentatywności członków Rady Sądownictwa. W </w:t>
      </w:r>
      <w:hyperlink r:id="rId23" w:history="1">
        <w:r>
          <w:rPr>
            <w:rStyle w:val="Hyperlink"/>
            <w:rFonts w:ascii="Times New Roman" w:hAnsi="Times New Roman"/>
            <w:noProof/>
            <w:sz w:val="24"/>
            <w:szCs w:val="24"/>
          </w:rPr>
          <w:t>Niderlandach</w:t>
        </w:r>
      </w:hyperlink>
      <w:r>
        <w:rPr>
          <w:rFonts w:ascii="Times New Roman" w:hAnsi="Times New Roman"/>
          <w:noProof/>
          <w:sz w:val="24"/>
          <w:szCs w:val="24"/>
        </w:rPr>
        <w:t xml:space="preserve"> kontynuowano rozważania nad zmianą procedury powoływania członków Rady, aby zwiększyć jej niezależność od władzy wykonawczej. We </w:t>
      </w:r>
      <w:hyperlink r:id="rId24" w:history="1">
        <w:r>
          <w:rPr>
            <w:rStyle w:val="Hyperlink"/>
            <w:rFonts w:ascii="Times New Roman" w:hAnsi="Times New Roman"/>
            <w:noProof/>
            <w:sz w:val="24"/>
            <w:szCs w:val="24"/>
          </w:rPr>
          <w:t>Francji</w:t>
        </w:r>
      </w:hyperlink>
      <w:r>
        <w:rPr>
          <w:rFonts w:ascii="Times New Roman" w:hAnsi="Times New Roman"/>
          <w:noProof/>
          <w:sz w:val="24"/>
          <w:szCs w:val="24"/>
        </w:rPr>
        <w:t xml:space="preserve"> planowana reforma na rzecz wzmocnienia niezależności Rady nie posunęła się naprzód. W </w:t>
      </w:r>
      <w:hyperlink r:id="rId25" w:history="1">
        <w:r>
          <w:rPr>
            <w:rStyle w:val="Hyperlink"/>
            <w:rFonts w:ascii="Times New Roman" w:hAnsi="Times New Roman"/>
            <w:noProof/>
            <w:sz w:val="24"/>
            <w:szCs w:val="24"/>
          </w:rPr>
          <w:t>Bułgarii</w:t>
        </w:r>
      </w:hyperlink>
      <w:r>
        <w:rPr>
          <w:rFonts w:ascii="Times New Roman" w:hAnsi="Times New Roman"/>
          <w:noProof/>
          <w:sz w:val="24"/>
          <w:szCs w:val="24"/>
        </w:rPr>
        <w:t xml:space="preserve"> parlament nie zatwierdził reformy Rady, która była częścią bardziej kompleksowej reformy konstytucyjnej. Rada Europy ustanowiła standardy dotyczące składu i uprawnień Rad Sądownictwa, które mogą być ważnym przewodnikiem podczas przeprowadzania reform.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Metoda powoływania sędziów może mieć kluczowy wpływ na niezależność sądów i postrzeganie niezależności przez opinię publiczną. TSUE wyjaśnił, że zgodnie z prawem Unii, aby zagwarantować niezależność sądów, warunki materialne i przepisy proceduralne regulujące powoływanie sędziów muszą zapobiegać uzasadnionym wątpliwościom co do odporności przedmiotowych sędziów na czynniki zewnętrzne oraz co do ich neutralności jako sędziów</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Od czasu ostatniego sprawozdania w kilku państwach członkowskich kontynuowano reformy mające na celu wzmocnienie procedur powoływania sędziów. Na przykład </w:t>
      </w:r>
      <w:hyperlink r:id="rId26" w:history="1">
        <w:r>
          <w:rPr>
            <w:rStyle w:val="Hyperlink"/>
            <w:rFonts w:ascii="Times New Roman" w:hAnsi="Times New Roman"/>
            <w:noProof/>
            <w:sz w:val="24"/>
            <w:szCs w:val="24"/>
          </w:rPr>
          <w:t>Czechy</w:t>
        </w:r>
      </w:hyperlink>
      <w:r>
        <w:rPr>
          <w:rFonts w:ascii="Times New Roman" w:hAnsi="Times New Roman"/>
          <w:noProof/>
          <w:sz w:val="24"/>
          <w:szCs w:val="24"/>
        </w:rPr>
        <w:t xml:space="preserve"> przyjęły nowy, przejrzysty i jednolity system powoływania nowych sędziów i prezesów sądów. Na </w:t>
      </w:r>
      <w:hyperlink r:id="rId27" w:history="1">
        <w:r>
          <w:rPr>
            <w:rStyle w:val="Hyperlink"/>
            <w:rFonts w:ascii="Times New Roman" w:hAnsi="Times New Roman"/>
            <w:noProof/>
            <w:sz w:val="24"/>
            <w:szCs w:val="24"/>
          </w:rPr>
          <w:t>Łotwie</w:t>
        </w:r>
      </w:hyperlink>
      <w:r>
        <w:rPr>
          <w:rFonts w:ascii="Times New Roman" w:hAnsi="Times New Roman"/>
          <w:noProof/>
          <w:sz w:val="24"/>
          <w:szCs w:val="24"/>
        </w:rPr>
        <w:t xml:space="preserve"> wdrażane i stosowane są obecnie nowe procedury powoływania, ustanowione w ubiegłym roku. Na </w:t>
      </w:r>
      <w:hyperlink r:id="rId28" w:history="1">
        <w:r>
          <w:rPr>
            <w:rStyle w:val="Hyperlink"/>
            <w:rFonts w:ascii="Times New Roman" w:hAnsi="Times New Roman"/>
            <w:noProof/>
            <w:sz w:val="24"/>
            <w:szCs w:val="24"/>
          </w:rPr>
          <w:t>Malcie</w:t>
        </w:r>
      </w:hyperlink>
      <w:r>
        <w:rPr>
          <w:rFonts w:ascii="Times New Roman" w:hAnsi="Times New Roman"/>
          <w:noProof/>
          <w:sz w:val="24"/>
          <w:szCs w:val="24"/>
        </w:rPr>
        <w:t xml:space="preserve"> wprowadzono już kompleksowe reformy z 2020 r., które są obecnie stosowane i przyczyniły się do wzmocnienia niezależności sądów.</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Reformy procedur powoływania, zwłaszcza na wysokie stanowiska w systemie wymiaru sprawiedliwości, wywołały poważne debaty na szczeblu krajowym. Na przykład w </w:t>
      </w:r>
      <w:hyperlink r:id="rId29" w:history="1">
        <w:r>
          <w:rPr>
            <w:rStyle w:val="Hyperlink"/>
            <w:rFonts w:ascii="Times New Roman" w:hAnsi="Times New Roman"/>
            <w:noProof/>
            <w:sz w:val="24"/>
            <w:szCs w:val="24"/>
          </w:rPr>
          <w:t>Irlandii</w:t>
        </w:r>
      </w:hyperlink>
      <w:r>
        <w:rPr>
          <w:rStyle w:val="Hyperlink"/>
          <w:rFonts w:ascii="Times New Roman" w:hAnsi="Times New Roman"/>
          <w:noProof/>
          <w:color w:val="auto"/>
          <w:sz w:val="24"/>
          <w:szCs w:val="24"/>
          <w:u w:val="none"/>
        </w:rPr>
        <w:t xml:space="preserve"> </w:t>
      </w:r>
      <w:r>
        <w:rPr>
          <w:rFonts w:ascii="Times New Roman" w:hAnsi="Times New Roman"/>
          <w:noProof/>
          <w:sz w:val="24"/>
          <w:szCs w:val="24"/>
        </w:rPr>
        <w:t xml:space="preserve">projekt ustawy na rzecz reformy systemu powoływania i awansowania sędziów zmniejsza wcześniejsze obawy, jednak reforma ta nadal pozostawi rządowi dużą swobodę. W </w:t>
      </w:r>
      <w:hyperlink r:id="rId30" w:history="1">
        <w:r>
          <w:rPr>
            <w:rStyle w:val="Hyperlink"/>
            <w:rFonts w:ascii="Times New Roman" w:hAnsi="Times New Roman"/>
            <w:noProof/>
            <w:sz w:val="24"/>
            <w:szCs w:val="24"/>
          </w:rPr>
          <w:t>Niemczech</w:t>
        </w:r>
      </w:hyperlink>
      <w:r>
        <w:rPr>
          <w:rFonts w:ascii="Times New Roman" w:hAnsi="Times New Roman"/>
          <w:noProof/>
          <w:sz w:val="24"/>
          <w:szCs w:val="24"/>
        </w:rPr>
        <w:t xml:space="preserve"> trwają dyskusje na temat kryteriów wyboru sędziów przewodniczących składom w sądach federalnych, po tym jak pojawiły się pewne krytyczne uwagi. Na </w:t>
      </w:r>
      <w:hyperlink r:id="rId31" w:history="1">
        <w:r>
          <w:rPr>
            <w:rStyle w:val="Hyperlink"/>
            <w:rFonts w:ascii="Times New Roman" w:hAnsi="Times New Roman"/>
            <w:noProof/>
            <w:sz w:val="24"/>
            <w:szCs w:val="24"/>
          </w:rPr>
          <w:t>Cyprze</w:t>
        </w:r>
      </w:hyperlink>
      <w:r>
        <w:rPr>
          <w:rFonts w:ascii="Times New Roman" w:hAnsi="Times New Roman"/>
          <w:noProof/>
          <w:sz w:val="24"/>
          <w:szCs w:val="24"/>
        </w:rPr>
        <w:t xml:space="preserve"> parlament nadal omawia projekt przepisów dotyczących procedur powoływania sędziów i prezesów nowo proponowanego Trybunału Konstytucyjnego i Wysokiego Trybunału. W </w:t>
      </w:r>
      <w:hyperlink r:id="rId32" w:history="1">
        <w:r>
          <w:rPr>
            <w:rStyle w:val="Hyperlink"/>
            <w:rFonts w:ascii="Times New Roman" w:hAnsi="Times New Roman"/>
            <w:noProof/>
            <w:sz w:val="24"/>
            <w:szCs w:val="24"/>
          </w:rPr>
          <w:t>Austrii</w:t>
        </w:r>
      </w:hyperlink>
      <w:r>
        <w:rPr>
          <w:rFonts w:ascii="Times New Roman" w:hAnsi="Times New Roman"/>
          <w:noProof/>
          <w:sz w:val="24"/>
          <w:szCs w:val="24"/>
        </w:rPr>
        <w:t xml:space="preserve"> ograniczony udział sędziów w powoływaniu prezesów i wiceprezesów sądów administracyjnych nadal budzi pewne obawy.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Wzmacnianie autonomii i niezależności prokuratury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Chociaż w UE nie ma jednego modelu struktury instytucjonalnej prokuratury, zabezpieczenia instytucjonalne mogą pomóc w zapewnieniu prokuraturze wystarczającej niezależności i braku nadmiernych nacisków politycznych. Niezależność prokuratury ma istotny wpływ na zdolność do zwalczania przestępczości i korupcji. Na </w:t>
      </w:r>
      <w:hyperlink r:id="rId33" w:history="1">
        <w:r>
          <w:rPr>
            <w:rStyle w:val="Hyperlink"/>
            <w:rFonts w:ascii="Times New Roman" w:hAnsi="Times New Roman"/>
            <w:noProof/>
            <w:sz w:val="24"/>
            <w:szCs w:val="24"/>
          </w:rPr>
          <w:t>Cyprze</w:t>
        </w:r>
      </w:hyperlink>
      <w:r>
        <w:rPr>
          <w:rFonts w:ascii="Times New Roman" w:hAnsi="Times New Roman"/>
          <w:noProof/>
          <w:sz w:val="24"/>
          <w:szCs w:val="24"/>
        </w:rPr>
        <w:t xml:space="preserve"> prowadzona jest restrukturyzacja Biura Prawnego, w ramach której powstają oddzielne, samodzielne dyrekcje w celu skuteczniejszego rozdzielenia dwóch głównych funkcji Prokuratora Generalnego. W </w:t>
      </w:r>
      <w:hyperlink r:id="rId34" w:history="1">
        <w:r>
          <w:rPr>
            <w:rStyle w:val="Hyperlink"/>
            <w:rFonts w:ascii="Times New Roman" w:hAnsi="Times New Roman"/>
            <w:noProof/>
            <w:sz w:val="24"/>
            <w:szCs w:val="24"/>
          </w:rPr>
          <w:t>Austrii</w:t>
        </w:r>
      </w:hyperlink>
      <w:r>
        <w:rPr>
          <w:rFonts w:ascii="Times New Roman" w:hAnsi="Times New Roman"/>
          <w:noProof/>
          <w:sz w:val="24"/>
          <w:szCs w:val="24"/>
        </w:rPr>
        <w:t xml:space="preserve"> przygotowywana jest reforma mająca na celu utworzenie niezależnej prokuratury federalnej. W </w:t>
      </w:r>
      <w:hyperlink r:id="rId35" w:history="1">
        <w:r>
          <w:rPr>
            <w:rStyle w:val="Hyperlink"/>
            <w:rFonts w:ascii="Times New Roman" w:hAnsi="Times New Roman"/>
            <w:noProof/>
            <w:sz w:val="24"/>
            <w:szCs w:val="24"/>
          </w:rPr>
          <w:t>Luksemburgu</w:t>
        </w:r>
      </w:hyperlink>
      <w:r>
        <w:rPr>
          <w:rFonts w:ascii="Times New Roman" w:hAnsi="Times New Roman"/>
          <w:noProof/>
          <w:sz w:val="24"/>
          <w:szCs w:val="24"/>
        </w:rPr>
        <w:t xml:space="preserve"> przedstawiono propozycje ograniczenia możliwości wydawania poleceń przez organ wykonawczy w poszczególnych sprawach.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W </w:t>
      </w:r>
      <w:hyperlink r:id="rId36" w:history="1">
        <w:r>
          <w:rPr>
            <w:rStyle w:val="Hyperlink"/>
            <w:rFonts w:ascii="Times New Roman" w:hAnsi="Times New Roman"/>
            <w:noProof/>
            <w:sz w:val="24"/>
            <w:szCs w:val="24"/>
          </w:rPr>
          <w:t>Portugalii</w:t>
        </w:r>
      </w:hyperlink>
      <w:r>
        <w:rPr>
          <w:rFonts w:ascii="Times New Roman" w:hAnsi="Times New Roman"/>
          <w:noProof/>
          <w:sz w:val="24"/>
          <w:szCs w:val="24"/>
        </w:rPr>
        <w:t xml:space="preserve"> system hierarchicznych poleceń dla prokuratorów podlega kontroli sądowej w związku z obawami prokuratorów o ingerencję w ich wewnętrzną autonomię. W </w:t>
      </w:r>
      <w:hyperlink r:id="rId37" w:history="1">
        <w:r>
          <w:rPr>
            <w:rStyle w:val="Hyperlink"/>
            <w:rFonts w:ascii="Times New Roman" w:hAnsi="Times New Roman"/>
            <w:noProof/>
            <w:sz w:val="24"/>
            <w:szCs w:val="24"/>
          </w:rPr>
          <w:t>Hiszpanii</w:t>
        </w:r>
      </w:hyperlink>
      <w:r>
        <w:rPr>
          <w:rFonts w:ascii="Times New Roman" w:hAnsi="Times New Roman"/>
          <w:noProof/>
          <w:sz w:val="24"/>
          <w:szCs w:val="24"/>
        </w:rPr>
        <w:t xml:space="preserve"> pozostają nierozstrzygnięte kwestie dotyczące systemu powoływania Prokuratora Generalnego. W </w:t>
      </w:r>
      <w:hyperlink r:id="rId38" w:history="1">
        <w:r>
          <w:rPr>
            <w:rStyle w:val="Hyperlink"/>
            <w:rFonts w:ascii="Times New Roman" w:hAnsi="Times New Roman"/>
            <w:noProof/>
            <w:sz w:val="24"/>
            <w:szCs w:val="24"/>
          </w:rPr>
          <w:t>Polsce</w:t>
        </w:r>
      </w:hyperlink>
      <w:r>
        <w:rPr>
          <w:rFonts w:ascii="Times New Roman" w:hAnsi="Times New Roman"/>
          <w:noProof/>
          <w:sz w:val="24"/>
          <w:szCs w:val="24"/>
        </w:rPr>
        <w:t xml:space="preserve"> nie nastąpiły żadne zmiany w zakresie budzącej obawy podwójnej roli ministra sprawiedliwości, który jest również prokuratorem generalnym. </w:t>
      </w:r>
      <w:r>
        <w:rPr>
          <w:rFonts w:ascii="Times New Roman" w:hAnsi="Times New Roman"/>
          <w:noProof/>
          <w:color w:val="000000" w:themeColor="text1"/>
          <w:sz w:val="24"/>
          <w:szCs w:val="24"/>
        </w:rPr>
        <w:t xml:space="preserve">Na </w:t>
      </w:r>
      <w:hyperlink r:id="rId39" w:history="1">
        <w:r>
          <w:rPr>
            <w:rStyle w:val="Hyperlink"/>
            <w:rFonts w:ascii="Times New Roman" w:hAnsi="Times New Roman"/>
            <w:noProof/>
            <w:sz w:val="24"/>
            <w:szCs w:val="24"/>
          </w:rPr>
          <w:t xml:space="preserve">Węgrzech, </w:t>
        </w:r>
      </w:hyperlink>
      <w:r>
        <w:rPr>
          <w:rFonts w:ascii="Times New Roman" w:hAnsi="Times New Roman"/>
          <w:noProof/>
          <w:color w:val="000000" w:themeColor="text1"/>
          <w:sz w:val="24"/>
          <w:szCs w:val="24"/>
        </w:rPr>
        <w:t xml:space="preserve">mimo że niezależność prokuratury jest zapisana w ustawie, nie nastąpiły żadne zmiany, jeżeli chodzi o obawy dotyczące niektórych aspektów prokuratury, które nie są wystarczająco </w:t>
      </w:r>
      <w:r>
        <w:rPr>
          <w:rFonts w:ascii="Times New Roman" w:hAnsi="Times New Roman"/>
          <w:noProof/>
          <w:sz w:val="24"/>
          <w:szCs w:val="24"/>
        </w:rPr>
        <w:t>zabezpieczone przed wpływami politycznymi</w:t>
      </w:r>
      <w:r>
        <w:rPr>
          <w:rFonts w:ascii="Times New Roman" w:hAnsi="Times New Roman"/>
          <w:noProof/>
          <w:color w:val="000000" w:themeColor="text1"/>
          <w:sz w:val="24"/>
          <w:szCs w:val="24"/>
        </w:rPr>
        <w:t>.</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Zapewnienie rozliczalności w sądownictwie i zabezpieczenie niezależności sądów w postępowaniach dyscyplinarnych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Szereg państw członkowskich wzmocniło ramy uczciwości sędziów i prokuratorów. W </w:t>
      </w:r>
      <w:hyperlink r:id="rId40" w:history="1">
        <w:r>
          <w:rPr>
            <w:rStyle w:val="Hyperlink"/>
            <w:rFonts w:ascii="Times New Roman" w:hAnsi="Times New Roman"/>
            <w:noProof/>
            <w:sz w:val="24"/>
            <w:szCs w:val="24"/>
          </w:rPr>
          <w:t>Belgii</w:t>
        </w:r>
      </w:hyperlink>
      <w:r>
        <w:rPr>
          <w:rFonts w:ascii="Times New Roman" w:hAnsi="Times New Roman"/>
          <w:noProof/>
          <w:sz w:val="24"/>
          <w:szCs w:val="24"/>
        </w:rPr>
        <w:t xml:space="preserve"> ramy uczciwości wzmocniono poprzez zastosowanie ogólnych zasad etycznych do wszystkich kategorii pracowników wymiaru sprawiedliwości, a także poprzez szkolenia z zakresu etyki zawodowej zarówno dla sędziów, jak i ławników. W </w:t>
      </w:r>
      <w:hyperlink r:id="rId41" w:history="1">
        <w:r>
          <w:rPr>
            <w:rStyle w:val="Hyperlink"/>
            <w:rFonts w:ascii="Times New Roman" w:hAnsi="Times New Roman"/>
            <w:noProof/>
            <w:sz w:val="24"/>
            <w:szCs w:val="24"/>
          </w:rPr>
          <w:t>Austrii</w:t>
        </w:r>
      </w:hyperlink>
      <w:r>
        <w:rPr>
          <w:rFonts w:ascii="Times New Roman" w:hAnsi="Times New Roman"/>
          <w:noProof/>
          <w:sz w:val="24"/>
          <w:szCs w:val="24"/>
        </w:rPr>
        <w:t xml:space="preserve"> wdrażany jest kompleksowy system zarządzania zgodnością dla sądów i prokuratury, a na </w:t>
      </w:r>
      <w:hyperlink r:id="rId42" w:history="1">
        <w:r>
          <w:rPr>
            <w:rStyle w:val="Hyperlink"/>
            <w:rFonts w:ascii="Times New Roman" w:hAnsi="Times New Roman"/>
            <w:noProof/>
            <w:sz w:val="24"/>
            <w:szCs w:val="24"/>
          </w:rPr>
          <w:t>Łotwie</w:t>
        </w:r>
      </w:hyperlink>
      <w:r>
        <w:rPr>
          <w:rFonts w:ascii="Times New Roman" w:hAnsi="Times New Roman"/>
          <w:noProof/>
          <w:sz w:val="24"/>
          <w:szCs w:val="24"/>
        </w:rPr>
        <w:t xml:space="preserve"> przyjęto nowy kodeks etyczny dla sędziów. Na </w:t>
      </w:r>
      <w:hyperlink r:id="rId43" w:history="1">
        <w:r>
          <w:rPr>
            <w:rStyle w:val="Hyperlink"/>
            <w:rFonts w:ascii="Times New Roman" w:hAnsi="Times New Roman"/>
            <w:noProof/>
            <w:sz w:val="24"/>
            <w:szCs w:val="24"/>
          </w:rPr>
          <w:t>Litwie</w:t>
        </w:r>
      </w:hyperlink>
      <w:r>
        <w:rPr>
          <w:rFonts w:ascii="Times New Roman" w:hAnsi="Times New Roman"/>
          <w:noProof/>
          <w:sz w:val="24"/>
          <w:szCs w:val="24"/>
        </w:rPr>
        <w:t xml:space="preserve"> i we </w:t>
      </w:r>
      <w:hyperlink r:id="rId44" w:history="1">
        <w:r>
          <w:rPr>
            <w:rStyle w:val="Hyperlink"/>
            <w:rFonts w:ascii="Times New Roman" w:hAnsi="Times New Roman"/>
            <w:noProof/>
            <w:sz w:val="24"/>
            <w:szCs w:val="24"/>
          </w:rPr>
          <w:t>Włoszech</w:t>
        </w:r>
      </w:hyperlink>
      <w:r>
        <w:rPr>
          <w:rFonts w:ascii="Times New Roman" w:hAnsi="Times New Roman"/>
          <w:noProof/>
          <w:sz w:val="24"/>
          <w:szCs w:val="24"/>
        </w:rPr>
        <w:t xml:space="preserve"> trwają inicjatywy mające na celu wzmocnienie zasad uczciwości obejmujące środki dotyczące oświadczeń o stanie majątkowym. Takie inicjatywy mogą przyczynić się do zwiększenia zaufania publicznego do sądownictwa. W</w:t>
      </w:r>
      <w:r>
        <w:rPr>
          <w:noProof/>
        </w:rPr>
        <w:t xml:space="preserve"> </w:t>
      </w:r>
      <w:hyperlink r:id="rId45" w:history="1">
        <w:r>
          <w:rPr>
            <w:rStyle w:val="Hyperlink"/>
            <w:rFonts w:ascii="Times New Roman" w:hAnsi="Times New Roman"/>
            <w:noProof/>
            <w:sz w:val="24"/>
            <w:szCs w:val="24"/>
          </w:rPr>
          <w:t>Portugalii</w:t>
        </w:r>
      </w:hyperlink>
      <w:r>
        <w:rPr>
          <w:noProof/>
        </w:rPr>
        <w:t xml:space="preserve">, na </w:t>
      </w:r>
      <w:hyperlink r:id="rId46" w:history="1">
        <w:r>
          <w:rPr>
            <w:rStyle w:val="Hyperlink"/>
            <w:rFonts w:ascii="Times New Roman" w:hAnsi="Times New Roman"/>
            <w:noProof/>
            <w:sz w:val="24"/>
            <w:szCs w:val="24"/>
          </w:rPr>
          <w:t>Chorwacji</w:t>
        </w:r>
      </w:hyperlink>
      <w:r>
        <w:rPr>
          <w:noProof/>
        </w:rPr>
        <w:t xml:space="preserve">, </w:t>
      </w:r>
      <w:hyperlink r:id="rId47" w:history="1">
        <w:r>
          <w:rPr>
            <w:rStyle w:val="Hyperlink"/>
            <w:rFonts w:ascii="Times New Roman" w:hAnsi="Times New Roman"/>
            <w:noProof/>
            <w:sz w:val="24"/>
            <w:szCs w:val="24"/>
          </w:rPr>
          <w:t>Słowacji</w:t>
        </w:r>
      </w:hyperlink>
      <w:r>
        <w:rPr>
          <w:noProof/>
        </w:rPr>
        <w:t xml:space="preserve"> </w:t>
      </w:r>
      <w:r>
        <w:rPr>
          <w:rFonts w:ascii="Times New Roman" w:hAnsi="Times New Roman"/>
          <w:noProof/>
          <w:sz w:val="24"/>
          <w:szCs w:val="24"/>
        </w:rPr>
        <w:t>i we</w:t>
      </w:r>
      <w:r>
        <w:rPr>
          <w:noProof/>
        </w:rPr>
        <w:t xml:space="preserve"> </w:t>
      </w:r>
      <w:hyperlink r:id="rId48" w:history="1">
        <w:r>
          <w:rPr>
            <w:rStyle w:val="Hyperlink"/>
            <w:rFonts w:ascii="Times New Roman" w:hAnsi="Times New Roman"/>
            <w:noProof/>
            <w:sz w:val="24"/>
            <w:szCs w:val="24"/>
          </w:rPr>
          <w:t>Włoszech</w:t>
        </w:r>
      </w:hyperlink>
      <w:r>
        <w:rPr>
          <w:rFonts w:ascii="Times New Roman" w:hAnsi="Times New Roman"/>
          <w:noProof/>
          <w:sz w:val="24"/>
          <w:szCs w:val="24"/>
        </w:rPr>
        <w:t xml:space="preserve"> organy sądowe, w tym Rady Sądownictwa, podjęły istotne działania w odpowiedzi na zarzuty dotyczące naruszenia etyki sędziowskiej, uchybień dyscyplinarnych lub korupcji w sądownictwie.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szeregu państw członkowskich trwają reformy mające na celu wzmocnienie zabezpieczeń niezależności sądów w postępowaniach dyscyplinarnych. We </w:t>
      </w:r>
      <w:hyperlink r:id="rId49" w:history="1">
        <w:r>
          <w:rPr>
            <w:rStyle w:val="Hyperlink"/>
            <w:rFonts w:ascii="Times New Roman" w:hAnsi="Times New Roman"/>
            <w:noProof/>
            <w:sz w:val="24"/>
            <w:szCs w:val="24"/>
          </w:rPr>
          <w:t>Francji</w:t>
        </w:r>
      </w:hyperlink>
      <w:r>
        <w:rPr>
          <w:rFonts w:ascii="Times New Roman" w:hAnsi="Times New Roman"/>
          <w:noProof/>
          <w:sz w:val="24"/>
          <w:szCs w:val="24"/>
        </w:rPr>
        <w:t xml:space="preserve"> zaczęto zastanawiać się nad możliwymi reformami odpowiedzialności i ochrony sędziów pokoju, a jednocześnie trwają dyskusje nad szerszą reformą systemu dyscyplinarnego w celu zwiększenia niezależności sądów. W </w:t>
      </w:r>
      <w:hyperlink r:id="rId50" w:history="1">
        <w:r>
          <w:rPr>
            <w:rStyle w:val="Hyperlink"/>
            <w:rFonts w:ascii="Times New Roman" w:hAnsi="Times New Roman"/>
            <w:noProof/>
            <w:sz w:val="24"/>
            <w:szCs w:val="24"/>
          </w:rPr>
          <w:t>Irlandii</w:t>
        </w:r>
      </w:hyperlink>
      <w:r>
        <w:rPr>
          <w:rFonts w:ascii="Times New Roman" w:hAnsi="Times New Roman"/>
          <w:noProof/>
          <w:sz w:val="24"/>
          <w:szCs w:val="24"/>
        </w:rPr>
        <w:t xml:space="preserve"> trwają prace nad ustanowieniem systemu dyscyplinarnego dla sędziów, choć rola parlamentu w usuwaniu sędziów pozostaje niezmieniona. W </w:t>
      </w:r>
      <w:hyperlink r:id="rId51" w:history="1">
        <w:r>
          <w:rPr>
            <w:rStyle w:val="Hyperlink"/>
            <w:rFonts w:ascii="Times New Roman" w:hAnsi="Times New Roman"/>
            <w:noProof/>
            <w:sz w:val="24"/>
            <w:szCs w:val="24"/>
          </w:rPr>
          <w:t>Słowenii</w:t>
        </w:r>
      </w:hyperlink>
      <w:r>
        <w:rPr>
          <w:rFonts w:ascii="Times New Roman" w:hAnsi="Times New Roman"/>
          <w:noProof/>
          <w:sz w:val="24"/>
          <w:szCs w:val="24"/>
        </w:rPr>
        <w:t xml:space="preserve"> w sądownictwie rozpoczęto dyskusje na temat poprawy ram postępowania dyscyplinarnego. W </w:t>
      </w:r>
      <w:hyperlink r:id="rId52" w:history="1">
        <w:r>
          <w:rPr>
            <w:rStyle w:val="Hyperlink"/>
            <w:rFonts w:ascii="Times New Roman" w:hAnsi="Times New Roman"/>
            <w:noProof/>
            <w:sz w:val="24"/>
            <w:szCs w:val="24"/>
          </w:rPr>
          <w:t>Czechach</w:t>
        </w:r>
      </w:hyperlink>
      <w:r>
        <w:rPr>
          <w:rFonts w:ascii="Times New Roman" w:hAnsi="Times New Roman"/>
          <w:noProof/>
          <w:sz w:val="24"/>
          <w:szCs w:val="24"/>
        </w:rPr>
        <w:t xml:space="preserve"> w parlamencie omawiany jest projekt ustawy wprowadzającej możliwość kontroli w postępowaniach dyscyplinarnych. Na </w:t>
      </w:r>
      <w:hyperlink r:id="rId53" w:history="1">
        <w:r>
          <w:rPr>
            <w:rStyle w:val="Hyperlink"/>
            <w:rFonts w:ascii="Times New Roman" w:hAnsi="Times New Roman"/>
            <w:noProof/>
            <w:sz w:val="24"/>
            <w:szCs w:val="24"/>
          </w:rPr>
          <w:t>Malcie</w:t>
        </w:r>
      </w:hyperlink>
      <w:r>
        <w:rPr>
          <w:rFonts w:ascii="Times New Roman" w:hAnsi="Times New Roman"/>
          <w:noProof/>
          <w:sz w:val="24"/>
          <w:szCs w:val="24"/>
        </w:rPr>
        <w:t xml:space="preserve"> w ramach reformy procedury odwoływania sędziów pokoju i sędziów z 2020 r. przewidziano dodatkowe gwarancje.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Niezależność sądów w niektórych państwach członkowskich nadal budzi obawy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Obawy dotyczące niezależności sądów różnią się pod względem intensywności i zakresu. W kilku państwach członkowskich istnieją poważne problemy strukturalne, które się pogłębiły, natomiast w innych państwach członkowskich uwagi wymagają wyzwania o mniejszym znaczeniu.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kilku państwach członkowskich reforma zmierza w kierunku zmniejszenia zabezpieczeń niezależności sądów. Zmiany te wzbudziły poważne obawy, które w niektórych przypadkach nasiliły się, ponieważ zmiany te doprowadziły do zwiększenia wpływu władzy wykonawczej i ustawodawczej na funkcjonowanie systemu wymiaru sprawiedliwości. Szczególne obawy budzą reformy postępowań dyscyplinarnych i dotyczące odpowiedzialności sędziów. W odpowiedzi na te zmiany sędziowie krajowi zwrócili się do TSUE o wydanie orzeczeń w trybie prejudycjalnym. W </w:t>
      </w:r>
      <w:hyperlink r:id="rId54" w:history="1">
        <w:r>
          <w:rPr>
            <w:rStyle w:val="Hyperlink"/>
            <w:rFonts w:ascii="Times New Roman" w:hAnsi="Times New Roman"/>
            <w:noProof/>
            <w:sz w:val="24"/>
            <w:szCs w:val="24"/>
          </w:rPr>
          <w:t>Polsce</w:t>
        </w:r>
      </w:hyperlink>
      <w:r>
        <w:rPr>
          <w:rFonts w:ascii="Times New Roman" w:hAnsi="Times New Roman"/>
          <w:noProof/>
          <w:sz w:val="24"/>
          <w:szCs w:val="24"/>
        </w:rPr>
        <w:t xml:space="preserve"> reformy, w tym nowe zmiany, nadal budzą poważne obawy, omawiane w 2020 r. W szczególności nie można zagwarantować niezależności Izby Dyscyplinarnej Sądu Najwyższego, która nadal podejmuje decyzje mające bezpośredni wpływ na sędziów i sposób sprawowania przez nich funkcji, co ma „efekt mrożący” względem sędziów</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Ponadto nadal nie rozwiano obaw dotyczących niezależności i legitymacji Trybunału Konstytucyjnego, co potwierdziło stwierdzenie przez Europejski Trybunał Praw Człowieka, że skład orzekający Trybunału Konstytucyjnego nie spełnia wymogu „sądu ustanowionego ustawą”</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Na </w:t>
      </w:r>
      <w:hyperlink r:id="rId55" w:history="1">
        <w:r>
          <w:rPr>
            <w:rStyle w:val="Hyperlink"/>
            <w:rFonts w:ascii="Times New Roman" w:hAnsi="Times New Roman"/>
            <w:noProof/>
            <w:sz w:val="24"/>
            <w:szCs w:val="24"/>
          </w:rPr>
          <w:t>Węgrzech</w:t>
        </w:r>
      </w:hyperlink>
      <w:r>
        <w:rPr>
          <w:rFonts w:ascii="Times New Roman" w:hAnsi="Times New Roman"/>
          <w:noProof/>
          <w:sz w:val="24"/>
          <w:szCs w:val="24"/>
        </w:rPr>
        <w:t xml:space="preserve"> zmiany nadal zmierzają w kierunku obniżenia uprzednio istniejących zabezpieczeń. W systemie wymiaru sprawiedliwości zaszły nowe zmiany, na przykład w odniesieniu do nominacji nowego prezesa Sądu Najwyższego (Kúria). Pogłębiło to istniejące obawy dotyczące niezależności sądów, wyrażane również w kontekście wszczętej przez Parlament Europejski procedury przewidzianej w art. 7 ust. 1 TUE.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Z drugiej strony w </w:t>
      </w:r>
      <w:hyperlink r:id="rId56" w:history="1">
        <w:r>
          <w:rPr>
            <w:rStyle w:val="Hyperlink"/>
            <w:rFonts w:ascii="Times New Roman" w:hAnsi="Times New Roman"/>
            <w:noProof/>
            <w:sz w:val="24"/>
            <w:szCs w:val="24"/>
          </w:rPr>
          <w:t>Rumunii</w:t>
        </w:r>
      </w:hyperlink>
      <w:r>
        <w:rPr>
          <w:rFonts w:ascii="Times New Roman" w:hAnsi="Times New Roman"/>
          <w:noProof/>
          <w:sz w:val="24"/>
          <w:szCs w:val="24"/>
        </w:rPr>
        <w:t xml:space="preserve"> podejmuje się kroki w celu rozwiązania problemu zmian wprowadzonych w latach 2017–2019, które miały negatywny wpływ na niezależność sądów i walkę z korupcją. Niektóre z tych reform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zbadano w orzeczeniu w trybie prejudycjalnym TSUE, w którym przedstawiono kryteria, których należy przestrzegać, aby zapewnić zgodność z prawem Unii</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Trwają prace nad zmianami legislacyjnymi, które mają rozwiązać te problemy.</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innych państwach członkowskich nadal występują wyzwania związane z niezależnością sądów. W </w:t>
      </w:r>
      <w:hyperlink r:id="rId57" w:history="1">
        <w:r>
          <w:rPr>
            <w:rStyle w:val="Hyperlink"/>
            <w:rFonts w:ascii="Times New Roman" w:hAnsi="Times New Roman"/>
            <w:noProof/>
            <w:sz w:val="24"/>
            <w:szCs w:val="24"/>
          </w:rPr>
          <w:t>Bułgarii</w:t>
        </w:r>
      </w:hyperlink>
      <w:r>
        <w:rPr>
          <w:rFonts w:ascii="Times New Roman" w:hAnsi="Times New Roman"/>
          <w:noProof/>
          <w:sz w:val="24"/>
          <w:szCs w:val="24"/>
        </w:rPr>
        <w:t xml:space="preserve"> obawy budzą nadal skład i funkcjonowanie Najwyższej Rady Sądownictwa oraz Inspektoratu przy Najwyższej Radzie Sądownictwa. Za niezgodną z konstytucją uznano nową ustawę mającą na celu rozwiązanie długotrwałego problemu rozliczalności i braku skutecznej odpowiedzialności karnej Prokuratora Generalnego. Kwestia ta pozostaje zatem nierozwiązana, co niesie za sobą konsekwencje w odniesieniu do wpływu stanowiska Prokuratora Generalnego na system wymiaru sprawiedliwości. Na </w:t>
      </w:r>
      <w:hyperlink r:id="rId58" w:history="1">
        <w:r>
          <w:rPr>
            <w:rStyle w:val="Hyperlink"/>
            <w:rFonts w:ascii="Times New Roman" w:hAnsi="Times New Roman"/>
            <w:noProof/>
            <w:sz w:val="24"/>
            <w:szCs w:val="24"/>
          </w:rPr>
          <w:t>Słowacji</w:t>
        </w:r>
      </w:hyperlink>
      <w:r>
        <w:rPr>
          <w:rFonts w:ascii="Times New Roman" w:hAnsi="Times New Roman"/>
          <w:noProof/>
          <w:sz w:val="24"/>
          <w:szCs w:val="24"/>
        </w:rPr>
        <w:t xml:space="preserve"> podjęto istotne kroki w celu wzmocnienia uczciwości i niezależności sądownictwa, zarówno kroki legislacyjne, jak i działania mające na celu rozwiązanie problemu korupcji w sądownictwie. Pozostają jednak ważne wyzwania, w tym możliwy wpływ niektórych reform, takich jak reforma odwoływania członków Rady Sądownictwa i nowy system odpowiedzialności karnej sędziów, na niezależność sądów.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niektórych państwach członkowskich nadal mają miejsce ataki polityczne na sądownictwo i powtarzające się próby podważenia reputacji sędziów. Niekiedy ataki te są wymierzone w sędziów i prokuratorów, którzy zajęli publiczne stanowisko lub kierowali do sądu sprawy dotyczące reform sądownictwa, które ich zdaniem mają negatywny wpływ na niezależność sądów. Może to mieć efekt mrożący względem sędziów i prokuratorów oraz negatywnie wpłynąć na zaufanie publiczne do wymiaru sprawiedliwości.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Napięcia związane z niezależnością sądów widać również w impasach, opóźnieniach i debatach publicznych związanych z powoływaniem na wysokie stanowiska w sądownictwie. W </w:t>
      </w:r>
      <w:hyperlink r:id="rId59" w:history="1">
        <w:r>
          <w:rPr>
            <w:rStyle w:val="Hyperlink"/>
            <w:rFonts w:ascii="Times New Roman" w:hAnsi="Times New Roman"/>
            <w:noProof/>
            <w:sz w:val="24"/>
            <w:szCs w:val="24"/>
          </w:rPr>
          <w:t>Chorwacji</w:t>
        </w:r>
      </w:hyperlink>
      <w:r>
        <w:rPr>
          <w:rFonts w:ascii="Times New Roman" w:hAnsi="Times New Roman"/>
          <w:noProof/>
          <w:sz w:val="24"/>
          <w:szCs w:val="24"/>
        </w:rPr>
        <w:t xml:space="preserve"> kontrowersje wzbudził trwający proces powoływania nowego prezesa Sądu Najwyższego, podczas którego pod adresem sędziów wielokrotnie kierowano dyskredytujące wypowiedzi publiczne. W </w:t>
      </w:r>
      <w:hyperlink r:id="rId60" w:history="1">
        <w:r>
          <w:rPr>
            <w:rStyle w:val="Hyperlink"/>
            <w:rFonts w:ascii="Times New Roman" w:hAnsi="Times New Roman"/>
            <w:noProof/>
            <w:sz w:val="24"/>
            <w:szCs w:val="24"/>
          </w:rPr>
          <w:t>Słowenii</w:t>
        </w:r>
      </w:hyperlink>
      <w:r>
        <w:rPr>
          <w:rFonts w:ascii="Times New Roman" w:hAnsi="Times New Roman"/>
          <w:noProof/>
          <w:sz w:val="24"/>
          <w:szCs w:val="24"/>
        </w:rPr>
        <w:t xml:space="preserve"> powoływanie prokuratorów państwowych jest bezpodstawnie opóźniane, a obawy budzi brak nominacji delegowanych prokuratorów europejskich w odpowiednim czasie. W </w:t>
      </w:r>
      <w:hyperlink r:id="rId61" w:history="1">
        <w:r>
          <w:rPr>
            <w:rStyle w:val="Hyperlink"/>
            <w:rFonts w:ascii="Times New Roman" w:hAnsi="Times New Roman"/>
            <w:noProof/>
            <w:sz w:val="24"/>
            <w:szCs w:val="24"/>
          </w:rPr>
          <w:t>Hiszpanii</w:t>
        </w:r>
      </w:hyperlink>
      <w:r>
        <w:rPr>
          <w:rFonts w:ascii="Times New Roman" w:hAnsi="Times New Roman"/>
          <w:noProof/>
          <w:sz w:val="24"/>
          <w:szCs w:val="24"/>
        </w:rPr>
        <w:t xml:space="preserve"> Rada Sądownictwa wykonuje powierzone jej funkcje </w:t>
      </w:r>
      <w:r>
        <w:rPr>
          <w:rFonts w:ascii="Times New Roman" w:hAnsi="Times New Roman"/>
          <w:i/>
          <w:noProof/>
          <w:sz w:val="24"/>
          <w:szCs w:val="24"/>
        </w:rPr>
        <w:t>ad interim</w:t>
      </w:r>
      <w:r>
        <w:rPr>
          <w:rFonts w:ascii="Times New Roman" w:hAnsi="Times New Roman"/>
          <w:noProof/>
          <w:sz w:val="24"/>
          <w:szCs w:val="24"/>
        </w:rPr>
        <w:t xml:space="preserve"> od grudnia 2018 r., co podtrzymuje obawy, że może być postrzegana jako podatna na upolitycznienie. Na </w:t>
      </w:r>
      <w:hyperlink r:id="rId62" w:history="1">
        <w:r>
          <w:rPr>
            <w:rStyle w:val="Hyperlink"/>
            <w:rFonts w:ascii="Times New Roman" w:hAnsi="Times New Roman"/>
            <w:noProof/>
            <w:sz w:val="24"/>
            <w:szCs w:val="24"/>
          </w:rPr>
          <w:t>Litwie</w:t>
        </w:r>
      </w:hyperlink>
      <w:r>
        <w:rPr>
          <w:rFonts w:ascii="Times New Roman" w:hAnsi="Times New Roman"/>
          <w:noProof/>
          <w:sz w:val="24"/>
          <w:szCs w:val="24"/>
        </w:rPr>
        <w:t xml:space="preserve"> proces powoływania nowego prezesa Sądu Najwyższego trwa od września 2019 r., a urzędujący prezes pełni swoją funkcję </w:t>
      </w:r>
      <w:r>
        <w:rPr>
          <w:rFonts w:ascii="Times New Roman" w:hAnsi="Times New Roman"/>
          <w:i/>
          <w:noProof/>
          <w:sz w:val="24"/>
          <w:szCs w:val="24"/>
        </w:rPr>
        <w:t>ad interim</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Inwestowanie w wymiar sprawiedliwości i cyfryzację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Pandemia COVID-19 wpłynęła na funkcjonowanie krajowych systemów wymiaru sprawiedliwości i działalność sądów. W szczególności w pierwszej fazie pandemii wystąpiły przerwy lub opóźnienia w rozpatrywaniu spraw i postępowaniach sądowych, co prowadziło do znacznych dodatkowych zaległości w sądach w szeregu państw członkowskich. Pomimo działań podjętych przez państwa członkowskie i organy sądowe mających na celu pomoc systemom wymiaru sprawiedliwości w dostosowaniu się, uwidoczniło to podatność na zakłócenia w sytuacjach nadzwyczajnych. Prowadzenie dochodzeń i postępowań karnych w sądach w czasie pandemii było wyzwaniem dla wielu państw członkowskich, w szczególności zapewnienie pełnego poszanowania praw podejrzanych i oskarżonych, jak również praw ofiar, oraz przesłuchanie wszystkich świadków, bez powodowania nieuzasadnionych opóźnień. Dodatkowym wyzwaniem w pracy prokuratorów i policji były restrykcje ograniczające swobodę przemieszczania się i dostęp do obiektów.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 do zasady w tych państwach członkowskich, w których osiągnięto już wysoki poziom cyfryzacji oraz wprowadzono odpowiednie zasady i zabezpieczenia proceduralne, systemy wymiaru sprawiedliwości funkcjonowały skuteczniej, a ryzyko występowania zaległości zostało ograniczone. Na przykład w </w:t>
      </w:r>
      <w:hyperlink r:id="rId63" w:history="1">
        <w:r>
          <w:rPr>
            <w:rStyle w:val="Hyperlink"/>
            <w:rFonts w:ascii="Times New Roman" w:hAnsi="Times New Roman"/>
            <w:noProof/>
            <w:sz w:val="24"/>
            <w:szCs w:val="24"/>
          </w:rPr>
          <w:t>Estonii</w:t>
        </w:r>
      </w:hyperlink>
      <w:r>
        <w:rPr>
          <w:rFonts w:ascii="Times New Roman" w:hAnsi="Times New Roman"/>
          <w:noProof/>
          <w:sz w:val="24"/>
          <w:szCs w:val="24"/>
        </w:rPr>
        <w:t xml:space="preserve"> zaawansowana cyfryzacja systemu wymiaru sprawiedliwości – w tym stworzenie specjalnej wirtualnej sali sądowej – stanowiła czynnik decydujący pod względem zapewnienia odporności systemu wymiaru sprawiedliwości. Na </w:t>
      </w:r>
      <w:hyperlink r:id="rId64" w:history="1">
        <w:r>
          <w:rPr>
            <w:rStyle w:val="Hyperlink"/>
            <w:rFonts w:ascii="Times New Roman" w:hAnsi="Times New Roman"/>
            <w:noProof/>
            <w:sz w:val="24"/>
            <w:szCs w:val="24"/>
          </w:rPr>
          <w:t>Węgrzech</w:t>
        </w:r>
      </w:hyperlink>
      <w:r>
        <w:rPr>
          <w:rFonts w:ascii="Times New Roman" w:hAnsi="Times New Roman"/>
          <w:noProof/>
          <w:sz w:val="24"/>
          <w:szCs w:val="24"/>
        </w:rPr>
        <w:t xml:space="preserve"> wysoki poziom cyfryzacji postępowań w sprawach cywilnych/handlowych i administracyjnych oraz w sprawach karnych umożliwił dostosowanie się systemu wymiaru sprawiedliwości. W </w:t>
      </w:r>
      <w:hyperlink r:id="rId65" w:history="1">
        <w:r>
          <w:rPr>
            <w:rStyle w:val="Hyperlink"/>
            <w:rFonts w:ascii="Times New Roman" w:hAnsi="Times New Roman"/>
            <w:noProof/>
            <w:sz w:val="24"/>
            <w:szCs w:val="24"/>
          </w:rPr>
          <w:t>Finlandii</w:t>
        </w:r>
      </w:hyperlink>
      <w:r>
        <w:rPr>
          <w:rFonts w:ascii="Times New Roman" w:hAnsi="Times New Roman"/>
          <w:noProof/>
          <w:sz w:val="24"/>
          <w:szCs w:val="24"/>
        </w:rPr>
        <w:t xml:space="preserve"> Krajowy Urząd Administracji Sądowej zwrócił szczególną uwagę na zapewnienie wytycznych i pomocy technicznej w zakresie takich możliwości, jak połączenia zdalne na rozprawach.</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Ze względu na pandemię cyfryzacja systemów wymiaru sprawiedliwości</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zyskała nowy, pilny charakter i wzbudziła duże zainteresowanie uczeniem się na podstawie najlepszych praktyk. W wielu państwach członkowskich podejmowane są inicjatywy na rzecz zapewnienia elektronicznej komunikacji między sądami a użytkownikami sądów W </w:t>
      </w:r>
      <w:hyperlink r:id="rId66" w:history="1">
        <w:r>
          <w:rPr>
            <w:rStyle w:val="Hyperlink"/>
            <w:rFonts w:ascii="Times New Roman" w:hAnsi="Times New Roman"/>
            <w:noProof/>
            <w:sz w:val="24"/>
            <w:szCs w:val="24"/>
          </w:rPr>
          <w:t>Belgii</w:t>
        </w:r>
      </w:hyperlink>
      <w:r>
        <w:rPr>
          <w:rFonts w:ascii="Times New Roman" w:hAnsi="Times New Roman"/>
          <w:noProof/>
          <w:sz w:val="24"/>
          <w:szCs w:val="24"/>
        </w:rPr>
        <w:t xml:space="preserve"> program rządu federalnego obejmuje ambitne inicjatywy mające na celu zwiększenie cyfryzacji systemu wymiaru sprawiedliwości do 2025 r. We </w:t>
      </w:r>
      <w:hyperlink r:id="rId67" w:history="1">
        <w:r>
          <w:rPr>
            <w:rStyle w:val="Hyperlink"/>
            <w:rFonts w:ascii="Times New Roman" w:hAnsi="Times New Roman"/>
            <w:noProof/>
            <w:sz w:val="24"/>
            <w:szCs w:val="24"/>
          </w:rPr>
          <w:t>Francji</w:t>
        </w:r>
      </w:hyperlink>
      <w:r>
        <w:rPr>
          <w:rFonts w:ascii="Times New Roman" w:hAnsi="Times New Roman"/>
          <w:noProof/>
          <w:sz w:val="24"/>
          <w:szCs w:val="24"/>
        </w:rPr>
        <w:t xml:space="preserve"> realizowane są kompleksowe projekty cyfryzacji wszystkich obszarów wymiaru sprawiedliwości, w tym utworzenie cyfrowego urzędu karnego – pojedynczego punktu dostępu na potrzeby postępowań karnych – oraz możliwości składania przez internet wniosków w niektórych rodzajach postępowań i wniosków o udzielenie pomocy prawnej. W </w:t>
      </w:r>
      <w:hyperlink r:id="rId68" w:history="1">
        <w:r>
          <w:rPr>
            <w:rStyle w:val="Hyperlink"/>
            <w:rFonts w:ascii="Times New Roman" w:hAnsi="Times New Roman"/>
            <w:noProof/>
            <w:sz w:val="24"/>
            <w:szCs w:val="24"/>
          </w:rPr>
          <w:t>Danii</w:t>
        </w:r>
      </w:hyperlink>
      <w:r>
        <w:rPr>
          <w:noProof/>
        </w:rPr>
        <w:t xml:space="preserve"> </w:t>
      </w:r>
      <w:r>
        <w:rPr>
          <w:rFonts w:ascii="Times New Roman" w:hAnsi="Times New Roman"/>
          <w:noProof/>
          <w:sz w:val="24"/>
          <w:szCs w:val="24"/>
        </w:rPr>
        <w:t xml:space="preserve">nowa baza danych ułatwi dostęp do orzeczeń przez internet. Projekty realizowane w </w:t>
      </w:r>
      <w:hyperlink r:id="rId69" w:history="1">
        <w:r>
          <w:rPr>
            <w:rStyle w:val="Hyperlink"/>
            <w:rFonts w:ascii="Times New Roman" w:hAnsi="Times New Roman"/>
            <w:noProof/>
            <w:sz w:val="24"/>
            <w:szCs w:val="24"/>
          </w:rPr>
          <w:t>Hiszpanii</w:t>
        </w:r>
      </w:hyperlink>
      <w:r>
        <w:rPr>
          <w:rFonts w:ascii="Times New Roman" w:hAnsi="Times New Roman"/>
          <w:noProof/>
          <w:sz w:val="24"/>
          <w:szCs w:val="24"/>
        </w:rPr>
        <w:t xml:space="preserve"> dotyczą opracowania narzędzia informatycznego do automatycznego konwertowania nagrań z rozpraw i przesłuchań na tekst. W </w:t>
      </w:r>
      <w:hyperlink r:id="rId70" w:history="1">
        <w:r>
          <w:rPr>
            <w:rStyle w:val="Hyperlink"/>
            <w:rFonts w:ascii="Times New Roman" w:hAnsi="Times New Roman"/>
            <w:noProof/>
            <w:sz w:val="24"/>
            <w:szCs w:val="24"/>
          </w:rPr>
          <w:t>Niderlandach</w:t>
        </w:r>
      </w:hyperlink>
      <w:r>
        <w:rPr>
          <w:rFonts w:ascii="Times New Roman" w:hAnsi="Times New Roman"/>
          <w:noProof/>
          <w:sz w:val="24"/>
          <w:szCs w:val="24"/>
        </w:rPr>
        <w:t xml:space="preserve"> sądownictwo i prokuratura wspólnie przygotowują cyfrowy plan dla wymiaru sprawiedliwości w sprawach karnych. Zwiększenie odporności systemów wymiaru sprawiedliwości w drodze reformy strukturalnej i cyfryzacji jest priorytetem przewidzianym w Instrumencie na rzecz Odbudowy i Zwiększania Odporności i wiele państw członkowskich uwzględniło tę kwestię w swoich krajowych planach odbudowy i zwiększania odporności.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Podstawą skutecznych systemów wymiaru sprawiedliwości są odpowiednie zasoby ludzkie i finansowe. Systemy wymiaru sprawiedliwości na </w:t>
      </w:r>
      <w:hyperlink r:id="rId71" w:history="1">
        <w:r>
          <w:rPr>
            <w:rStyle w:val="Hyperlink"/>
            <w:rFonts w:ascii="Times New Roman" w:hAnsi="Times New Roman"/>
            <w:noProof/>
            <w:sz w:val="24"/>
            <w:szCs w:val="24"/>
          </w:rPr>
          <w:t>Malcie</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w Belgii</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we Włoszech</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w Grecji</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Portugalii</w:t>
        </w:r>
      </w:hyperlink>
      <w:r>
        <w:rPr>
          <w:rFonts w:ascii="Times New Roman" w:hAnsi="Times New Roman"/>
          <w:noProof/>
          <w:sz w:val="24"/>
          <w:szCs w:val="24"/>
        </w:rPr>
        <w:t xml:space="preserve"> i </w:t>
      </w:r>
      <w:hyperlink r:id="rId76" w:history="1">
        <w:r>
          <w:rPr>
            <w:rStyle w:val="Hyperlink"/>
            <w:rFonts w:ascii="Times New Roman" w:hAnsi="Times New Roman"/>
            <w:noProof/>
            <w:sz w:val="24"/>
            <w:szCs w:val="24"/>
          </w:rPr>
          <w:t>na Cyprze</w:t>
        </w:r>
      </w:hyperlink>
      <w:r>
        <w:rPr>
          <w:rFonts w:ascii="Times New Roman" w:hAnsi="Times New Roman"/>
          <w:noProof/>
          <w:sz w:val="24"/>
          <w:szCs w:val="24"/>
        </w:rPr>
        <w:t xml:space="preserve"> wciąż mierzą się z poważnymi wyzwaniami związanymi z efektywnością. Inwestowanie w zasoby ludzkie i finansowe oraz cyfryzacja systemu wymiaru sprawiedliwości, a także niwelowanie przeszkód strukturalnych są niezbędne do celów znacznego zwiększenia efektywności systemów wymiaru sprawiedliwości i skutecznej ochrony sądowej.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Ramy antykorupcyjne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Walka z korupcją ma zasadnicze znaczenie dla utrzymania praworządności i podtrzymania zaufania obywateli do instytucji publicznych. W niniejszej części skoncentrowano się na poszczególnych etapach działań krajowych niezbędnych do zwalczania korupcji, strategiach antykorupcyjnych, zdolności systemu sądownictwa karnego do walki z korupcją oraz środkach ustanowionych przez państwa członkowskie w celu zapobiegania korupcji.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Postrzeganie korupcji w całej UE</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Wskaźnik postrzegania korupcji z 2020 r.</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pokazuje, że państwa członkowskie UE nadal należą do krajów o najlepszych wynikach na świecie. Dziesięć państw członkowskich znajduje się wśród dwudziestu państw postrzeganych jako najmniej skorumpowane na świecie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Sześć państw członkowskich (Dania, Finlandia, Szwecja, Niderlandy, Niemcy i Luksemburg) uzyskało wynik wskaźnika powyżej 80/100, a kolejne pięć (Austria, Belgia, Estonia, Irlandia i Francja) ponad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Niektóre państwa członkowskie, utrzymując się poniżej średniej UE (63/100), poprawiły swoje wyniki w ciągu ostatnich pięciu lat (Hiszpania, Włochy i Grecja). Kilka innych państw odnotowało znaczne pogorszenie postrzeganego poziomu korupcji (Polska, Malta i Węgry)</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Krajowe strategie antykorupcyjne muszą prowadzić do rzeczywistych wyników</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Strategiczne ramy antykorupcyjne pozwalają przełożyć zaangażowanie polityczne na konkretne działania i pomagają zniwelować luki prawne lub instytucjonalne w spójny, kompleksowy i skoordynowany sposób. Jasno określone i mierzalne cele, odpowiednie zasoby budżetowe, regularne oceny i precyzyjnie określone obowiązki wyspecjalizowanych instytucji, a także znaczne zaangażowanie odpowiednich zainteresowanych stron to istotne elementy, dzięki którym strategie takie mogą być skutecznie wdrażane i prowadzić do wymiernych wyników.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Od września 2020 r. </w:t>
      </w:r>
      <w:hyperlink r:id="rId77" w:history="1">
        <w:r>
          <w:rPr>
            <w:rStyle w:val="Hyperlink"/>
            <w:rFonts w:ascii="Times New Roman" w:hAnsi="Times New Roman"/>
            <w:noProof/>
            <w:sz w:val="24"/>
            <w:szCs w:val="24"/>
          </w:rPr>
          <w:t>Finlandia</w:t>
        </w:r>
      </w:hyperlink>
      <w:r>
        <w:rPr>
          <w:rFonts w:ascii="Times New Roman" w:hAnsi="Times New Roman"/>
          <w:noProof/>
          <w:sz w:val="24"/>
          <w:szCs w:val="24"/>
        </w:rPr>
        <w:t xml:space="preserve"> i </w:t>
      </w:r>
      <w:hyperlink r:id="rId78" w:history="1">
        <w:r>
          <w:rPr>
            <w:rStyle w:val="Hyperlink"/>
            <w:rFonts w:ascii="Times New Roman" w:hAnsi="Times New Roman"/>
            <w:noProof/>
            <w:sz w:val="24"/>
            <w:szCs w:val="24"/>
          </w:rPr>
          <w:t>Szwecja</w:t>
        </w:r>
      </w:hyperlink>
      <w:r>
        <w:rPr>
          <w:rFonts w:ascii="Times New Roman" w:hAnsi="Times New Roman"/>
          <w:noProof/>
          <w:sz w:val="24"/>
          <w:szCs w:val="24"/>
        </w:rPr>
        <w:t xml:space="preserve"> po raz pierwszy przyjęły krajowe strategie antykorupcyjne lub plany działania, a w </w:t>
      </w:r>
      <w:hyperlink r:id="rId79" w:history="1">
        <w:r>
          <w:rPr>
            <w:rStyle w:val="Hyperlink"/>
            <w:rFonts w:ascii="Times New Roman" w:hAnsi="Times New Roman"/>
            <w:noProof/>
            <w:sz w:val="24"/>
            <w:szCs w:val="24"/>
          </w:rPr>
          <w:t>Portugalii</w:t>
        </w:r>
      </w:hyperlink>
      <w:r>
        <w:rPr>
          <w:rFonts w:ascii="Times New Roman" w:hAnsi="Times New Roman"/>
          <w:noProof/>
          <w:sz w:val="24"/>
          <w:szCs w:val="24"/>
        </w:rPr>
        <w:t xml:space="preserve"> rządowy wniosek w sprawie takiej strategii czeka na zatwierdzenie przez parlament. </w:t>
      </w:r>
      <w:hyperlink r:id="rId80" w:history="1">
        <w:r>
          <w:rPr>
            <w:rStyle w:val="Hyperlink"/>
            <w:rFonts w:ascii="Times New Roman" w:hAnsi="Times New Roman"/>
            <w:noProof/>
            <w:sz w:val="24"/>
            <w:szCs w:val="24"/>
          </w:rPr>
          <w:t>Bułgaria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Czechy</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Estonia</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Litwa</w:t>
        </w:r>
      </w:hyperlink>
      <w:r>
        <w:rPr>
          <w:rFonts w:ascii="Times New Roman" w:hAnsi="Times New Roman"/>
          <w:noProof/>
          <w:sz w:val="24"/>
          <w:szCs w:val="24"/>
        </w:rPr>
        <w:t xml:space="preserve"> i </w:t>
      </w:r>
      <w:hyperlink r:id="rId84" w:history="1">
        <w:r>
          <w:rPr>
            <w:rStyle w:val="Hyperlink"/>
            <w:rFonts w:ascii="Times New Roman" w:hAnsi="Times New Roman"/>
            <w:noProof/>
            <w:sz w:val="24"/>
            <w:szCs w:val="24"/>
          </w:rPr>
          <w:t>Malta</w:t>
        </w:r>
      </w:hyperlink>
      <w:r>
        <w:rPr>
          <w:rStyle w:val="Hyperlink"/>
          <w:rFonts w:ascii="Times New Roman" w:hAnsi="Times New Roman"/>
          <w:noProof/>
          <w:sz w:val="24"/>
          <w:szCs w:val="24"/>
        </w:rPr>
        <w:t xml:space="preserve"> </w:t>
      </w:r>
      <w:r>
        <w:rPr>
          <w:rFonts w:ascii="Times New Roman" w:hAnsi="Times New Roman"/>
          <w:noProof/>
          <w:sz w:val="24"/>
          <w:szCs w:val="24"/>
        </w:rPr>
        <w:t xml:space="preserve">przeprowadziły przegląd swoich obowiązujących strategii i planów działania, a na </w:t>
      </w:r>
      <w:hyperlink r:id="rId85" w:history="1">
        <w:r>
          <w:rPr>
            <w:rStyle w:val="Hyperlink"/>
            <w:rFonts w:ascii="Times New Roman" w:hAnsi="Times New Roman"/>
            <w:noProof/>
            <w:sz w:val="24"/>
            <w:szCs w:val="24"/>
          </w:rPr>
          <w:t>Chorwacji</w:t>
        </w:r>
      </w:hyperlink>
      <w:r>
        <w:rPr>
          <w:rFonts w:ascii="Times New Roman" w:hAnsi="Times New Roman"/>
          <w:noProof/>
          <w:sz w:val="24"/>
          <w:szCs w:val="24"/>
        </w:rPr>
        <w:t xml:space="preserve">, w </w:t>
      </w:r>
      <w:hyperlink r:id="rId86" w:history="1">
        <w:r>
          <w:rPr>
            <w:rStyle w:val="Hyperlink"/>
            <w:rFonts w:ascii="Times New Roman" w:hAnsi="Times New Roman"/>
            <w:noProof/>
            <w:sz w:val="24"/>
            <w:szCs w:val="24"/>
          </w:rPr>
          <w:t>Niemczech</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Grecji</w:t>
        </w:r>
      </w:hyperlink>
      <w:r>
        <w:rPr>
          <w:rFonts w:ascii="Times New Roman" w:hAnsi="Times New Roman"/>
          <w:noProof/>
          <w:sz w:val="24"/>
          <w:szCs w:val="24"/>
        </w:rPr>
        <w:t xml:space="preserve"> i na </w:t>
      </w:r>
      <w:hyperlink r:id="rId88" w:history="1">
        <w:r>
          <w:rPr>
            <w:rStyle w:val="Hyperlink"/>
            <w:rFonts w:ascii="Times New Roman" w:hAnsi="Times New Roman"/>
            <w:noProof/>
            <w:sz w:val="24"/>
            <w:szCs w:val="24"/>
          </w:rPr>
          <w:t>Łotwie</w:t>
        </w:r>
      </w:hyperlink>
      <w:r>
        <w:rPr>
          <w:rFonts w:ascii="Times New Roman" w:hAnsi="Times New Roman"/>
          <w:noProof/>
          <w:sz w:val="24"/>
          <w:szCs w:val="24"/>
        </w:rPr>
        <w:t xml:space="preserve"> przegląd trwa. </w:t>
      </w:r>
      <w:hyperlink r:id="rId89" w:history="1">
        <w:r>
          <w:rPr>
            <w:rStyle w:val="Hyperlink"/>
            <w:rFonts w:ascii="Times New Roman" w:hAnsi="Times New Roman"/>
            <w:noProof/>
            <w:sz w:val="24"/>
            <w:szCs w:val="24"/>
          </w:rPr>
          <w:t>Rumunia</w:t>
        </w:r>
      </w:hyperlink>
      <w:r>
        <w:rPr>
          <w:rFonts w:ascii="Times New Roman" w:hAnsi="Times New Roman"/>
          <w:noProof/>
          <w:sz w:val="24"/>
          <w:szCs w:val="24"/>
        </w:rPr>
        <w:t xml:space="preserve"> przeprowadziła ocenę wewnętrzną i audyt zewnętrzny oraz przygotowuje nową krajową strategię antykorupcyjną na lata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Na </w:t>
      </w:r>
      <w:hyperlink r:id="rId90" w:history="1">
        <w:r>
          <w:rPr>
            <w:rStyle w:val="Hyperlink"/>
            <w:rFonts w:ascii="Times New Roman" w:hAnsi="Times New Roman"/>
            <w:noProof/>
            <w:sz w:val="24"/>
            <w:szCs w:val="24"/>
          </w:rPr>
          <w:t>Węgrzech</w:t>
        </w:r>
      </w:hyperlink>
      <w:r>
        <w:rPr>
          <w:rFonts w:ascii="Times New Roman" w:hAnsi="Times New Roman"/>
          <w:noProof/>
          <w:sz w:val="24"/>
          <w:szCs w:val="24"/>
        </w:rPr>
        <w:t xml:space="preserve"> program antykorupcyjny ogranicza się do promowania uczciwości w służbie publicznej, a inne obszary ryzyka zostały w nim pominięte. W innych państwach członkowskich, mimo że strategie już istnieją, wystąpiły opóźnienia w ich wdrażaniu. Tak jest na przykład w przypadku </w:t>
      </w:r>
      <w:hyperlink r:id="rId91" w:history="1">
        <w:r>
          <w:rPr>
            <w:rStyle w:val="Hyperlink"/>
            <w:rFonts w:ascii="Times New Roman" w:hAnsi="Times New Roman"/>
            <w:noProof/>
            <w:sz w:val="24"/>
            <w:szCs w:val="24"/>
          </w:rPr>
          <w:t>Czech</w:t>
        </w:r>
      </w:hyperlink>
      <w:r>
        <w:rPr>
          <w:rFonts w:ascii="Times New Roman" w:hAnsi="Times New Roman"/>
          <w:noProof/>
          <w:sz w:val="24"/>
          <w:szCs w:val="24"/>
        </w:rPr>
        <w:t xml:space="preserve">, w których kilka istotnych inicjatyw dotyczących reform w obszarze zapobiegania korupcji wciąż czeka na realizację.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Reformy mające na celu zwiększenie zdolności do walki z korupcją</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W większości państw członkowskich obowiązują kompleksowe przepisy zapewniające systemowi sądownictwa karnego narzędzia do walki z korupcją we wszystkich jej formach. W kilku państwach członkowskich nadal dokładano starań, aby wypełnić luki i dostosować istniejące ramy do międzynarodowych norm antykorupcyjnych</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i prawa Unii</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Na przykład </w:t>
      </w:r>
      <w:hyperlink r:id="rId92" w:history="1">
        <w:r>
          <w:rPr>
            <w:rStyle w:val="Hyperlink"/>
            <w:rFonts w:ascii="Times New Roman" w:hAnsi="Times New Roman"/>
            <w:noProof/>
            <w:sz w:val="24"/>
            <w:szCs w:val="24"/>
          </w:rPr>
          <w:t>Słowacja</w:t>
        </w:r>
      </w:hyperlink>
      <w:r>
        <w:rPr>
          <w:rFonts w:ascii="Times New Roman" w:hAnsi="Times New Roman"/>
          <w:noProof/>
          <w:sz w:val="24"/>
          <w:szCs w:val="24"/>
        </w:rPr>
        <w:t xml:space="preserve"> uzupełniła swoje ramy prawa karnego, wprowadzając w życie nową ustawę o zajmowaniu mienia, a także przewidując nowe przestępstwa, takie jak przestępstwo polegające na przyjmowaniu lub oferowaniu nieuzasadnionych lub nienależnych korzyści. </w:t>
      </w:r>
      <w:hyperlink r:id="rId93" w:history="1">
        <w:r>
          <w:rPr>
            <w:rStyle w:val="Hyperlink"/>
            <w:rFonts w:ascii="Times New Roman" w:hAnsi="Times New Roman"/>
            <w:noProof/>
            <w:sz w:val="24"/>
            <w:szCs w:val="24"/>
          </w:rPr>
          <w:t>Włochy</w:t>
        </w:r>
      </w:hyperlink>
      <w:r>
        <w:rPr>
          <w:rFonts w:ascii="Times New Roman" w:hAnsi="Times New Roman"/>
          <w:noProof/>
          <w:sz w:val="24"/>
          <w:szCs w:val="24"/>
        </w:rPr>
        <w:t xml:space="preserve"> zaostrzyły sankcje za nadużycia finansowe i rozszerzyły zakres podmiotowy korupcji międzynarodowej. </w:t>
      </w:r>
      <w:hyperlink r:id="rId94" w:history="1">
        <w:r>
          <w:rPr>
            <w:rStyle w:val="Hyperlink"/>
            <w:rFonts w:ascii="Times New Roman" w:hAnsi="Times New Roman"/>
            <w:noProof/>
            <w:sz w:val="24"/>
            <w:szCs w:val="24"/>
          </w:rPr>
          <w:t>Węgry</w:t>
        </w:r>
      </w:hyperlink>
      <w:r>
        <w:rPr>
          <w:rFonts w:ascii="Times New Roman" w:hAnsi="Times New Roman"/>
          <w:b/>
          <w:noProof/>
          <w:sz w:val="24"/>
          <w:szCs w:val="24"/>
        </w:rPr>
        <w:t xml:space="preserve"> </w:t>
      </w:r>
      <w:r>
        <w:rPr>
          <w:rFonts w:ascii="Times New Roman" w:hAnsi="Times New Roman"/>
          <w:noProof/>
          <w:sz w:val="24"/>
          <w:szCs w:val="24"/>
        </w:rPr>
        <w:t xml:space="preserve">wprowadziły przepisy mające na celu zwalczanie przekupstwa zagranicznych funkcjonariuszy publicznych i kryminalizację opłat nieformalnych w opiece zdrowotnej. W innych państwach członkowskich prowadzone są dyskusje na temat reform w obszarze prawa karnego materialnego lub procesowego. </w:t>
      </w:r>
      <w:hyperlink r:id="rId95" w:history="1">
        <w:r>
          <w:rPr>
            <w:rStyle w:val="Hyperlink"/>
            <w:rFonts w:ascii="Times New Roman" w:hAnsi="Times New Roman"/>
            <w:noProof/>
            <w:sz w:val="24"/>
            <w:szCs w:val="24"/>
          </w:rPr>
          <w:t>Szwecja</w:t>
        </w:r>
      </w:hyperlink>
      <w:r>
        <w:rPr>
          <w:rFonts w:ascii="Times New Roman" w:hAnsi="Times New Roman"/>
          <w:noProof/>
          <w:sz w:val="24"/>
          <w:szCs w:val="24"/>
        </w:rPr>
        <w:t xml:space="preserve"> na przykład prowadzi obecnie przegląd przepisów dotyczących przedawnienia w odniesieniu do wszystkich przestępstw, w tym przestępstw korupcyjnych, co może wyeliminować przeszkody w skutecznym orzekaniu w złożonych sprawach o korupcję.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Niektóre państwa członkowskie wprowadziły środki służące zwiększeniu zdolności organów do walki z korupcją oraz ograniczeniu przeszkód w skutecznym prowadzeniu dochodzeń i ściganiu. </w:t>
      </w:r>
      <w:hyperlink r:id="rId96" w:history="1">
        <w:r>
          <w:rPr>
            <w:rStyle w:val="Hyperlink"/>
            <w:rFonts w:ascii="Times New Roman" w:hAnsi="Times New Roman"/>
            <w:noProof/>
            <w:sz w:val="24"/>
            <w:szCs w:val="24"/>
          </w:rPr>
          <w:t>Litwa</w:t>
        </w:r>
      </w:hyperlink>
      <w:r>
        <w:rPr>
          <w:rFonts w:ascii="Times New Roman" w:hAnsi="Times New Roman"/>
          <w:noProof/>
          <w:color w:val="000000" w:themeColor="text1"/>
          <w:sz w:val="24"/>
          <w:szCs w:val="24"/>
        </w:rPr>
        <w:t xml:space="preserve"> wzmocniła swoją specjalną jednostkę policji odpowiedzialną za prowadzenie dochodzeń w sprawach o korupcję, a także wykonywanie zadań analitycznych zapewniających organom wsparcie polityczne. Na </w:t>
      </w:r>
      <w:hyperlink r:id="rId97" w:history="1">
        <w:r>
          <w:rPr>
            <w:rStyle w:val="Hyperlink"/>
            <w:rFonts w:ascii="Times New Roman" w:hAnsi="Times New Roman"/>
            <w:noProof/>
            <w:sz w:val="24"/>
            <w:szCs w:val="24"/>
          </w:rPr>
          <w:t>Cyprze</w:t>
        </w:r>
      </w:hyperlink>
      <w:r>
        <w:rPr>
          <w:rFonts w:ascii="Times New Roman" w:hAnsi="Times New Roman"/>
          <w:noProof/>
          <w:color w:val="000000" w:themeColor="text1"/>
          <w:sz w:val="24"/>
          <w:szCs w:val="24"/>
        </w:rPr>
        <w:t xml:space="preserve"> zwiększono znacznie uprawnienia Biura Prokuratora Generalnego, tak aby mogło ścigać przestępstwa finansowe, w tym korupcję. </w:t>
      </w:r>
      <w:hyperlink r:id="rId98" w:history="1">
        <w:r>
          <w:rPr>
            <w:rStyle w:val="Hyperlink"/>
            <w:rFonts w:ascii="Times New Roman" w:hAnsi="Times New Roman"/>
            <w:noProof/>
            <w:sz w:val="24"/>
            <w:szCs w:val="24"/>
          </w:rPr>
          <w:t>Dania</w:t>
        </w:r>
      </w:hyperlink>
      <w:r>
        <w:rPr>
          <w:rFonts w:ascii="Times New Roman" w:hAnsi="Times New Roman"/>
          <w:noProof/>
          <w:sz w:val="24"/>
          <w:szCs w:val="24"/>
        </w:rPr>
        <w:t xml:space="preserve"> przygotowuje się do powołania nowej krajowej jednostki śledczej, aby umożliwić stosowanie bardziej efektywnego podejścia do poważnych przestępstw, w tym złożonych spraw o korupcję. W </w:t>
      </w:r>
      <w:hyperlink r:id="rId99" w:history="1">
        <w:r>
          <w:rPr>
            <w:rStyle w:val="Hyperlink"/>
            <w:rFonts w:ascii="Times New Roman" w:hAnsi="Times New Roman"/>
            <w:noProof/>
            <w:sz w:val="24"/>
            <w:szCs w:val="24"/>
          </w:rPr>
          <w:t>Słowenii</w:t>
        </w:r>
      </w:hyperlink>
      <w:r>
        <w:rPr>
          <w:rFonts w:ascii="Times New Roman" w:hAnsi="Times New Roman"/>
          <w:noProof/>
          <w:sz w:val="24"/>
          <w:szCs w:val="24"/>
        </w:rPr>
        <w:t xml:space="preserve"> zmiany legislacyjne zwiększyły niezależność, organizację i funkcjonowanie Komisji ds. Zapobiegania Korupcji.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niektórych państwach członkowskich nastąpiły lub są rozważane zmiany strukturalne i organizacyjne. </w:t>
      </w:r>
      <w:r>
        <w:rPr>
          <w:rFonts w:ascii="Times New Roman" w:hAnsi="Times New Roman"/>
          <w:noProof/>
          <w:color w:val="000000" w:themeColor="text1"/>
          <w:sz w:val="24"/>
          <w:szCs w:val="24"/>
        </w:rPr>
        <w:t xml:space="preserve">Na </w:t>
      </w:r>
      <w:hyperlink r:id="rId100" w:history="1">
        <w:r>
          <w:rPr>
            <w:rStyle w:val="Hyperlink"/>
            <w:rFonts w:ascii="Times New Roman" w:hAnsi="Times New Roman"/>
            <w:noProof/>
            <w:sz w:val="24"/>
            <w:szCs w:val="24"/>
          </w:rPr>
          <w:t>Malcie</w:t>
        </w:r>
      </w:hyperlink>
      <w:r>
        <w:rPr>
          <w:rFonts w:ascii="Times New Roman" w:hAnsi="Times New Roman"/>
          <w:noProof/>
          <w:color w:val="000000" w:themeColor="text1"/>
          <w:sz w:val="24"/>
          <w:szCs w:val="24"/>
        </w:rPr>
        <w:t xml:space="preserve"> Prokurator Generalny przejął ściganie określonych poważnych przestępstw, w tym korupcji na wysokim szczeblu, oraz powołano grupę zadaniową ds. złożonych przestępstw finansowych.</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Austria</w:t>
        </w:r>
      </w:hyperlink>
      <w:r>
        <w:rPr>
          <w:rFonts w:ascii="Times New Roman" w:hAnsi="Times New Roman"/>
          <w:noProof/>
          <w:sz w:val="24"/>
          <w:szCs w:val="24"/>
        </w:rPr>
        <w:t xml:space="preserve"> przeprowadza przegląd swojego systemu obowiązków sprawozdawczych, który jest postrzegany jako źródło niepotrzebnych obciążeń i opóźnień, mającego negatywny wpływ na dochodzenia antykorupcyjne.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Wyzwania związane z dochodzeniami, ściganiem i stosowaniem sankcji za korupcję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różnych państwach członkowskich nadal ujawniano poważne lub bardzo złożone sprawy o korupcję, czasami dotyczące urzędników wysokiego szczebla. </w:t>
      </w:r>
      <w:hyperlink r:id="rId102" w:history="1">
        <w:r>
          <w:rPr>
            <w:rStyle w:val="Hyperlink"/>
            <w:rFonts w:ascii="Times New Roman" w:hAnsi="Times New Roman"/>
            <w:noProof/>
            <w:sz w:val="24"/>
            <w:szCs w:val="24"/>
          </w:rPr>
          <w:t>Słowacja</w:t>
        </w:r>
      </w:hyperlink>
      <w:r>
        <w:rPr>
          <w:rFonts w:ascii="Times New Roman" w:hAnsi="Times New Roman"/>
          <w:noProof/>
          <w:sz w:val="24"/>
          <w:szCs w:val="24"/>
        </w:rPr>
        <w:t xml:space="preserve"> znacznie nasiliła swoje starania na rzecz zwalczania korupcji, które doprowadziły do szeregu dochodzeń w sprawach o korupcję na wysokim szczeblu oraz ścigania w takich sprawach.</w:t>
      </w:r>
      <w:r>
        <w:rPr>
          <w:rFonts w:ascii="Times New Roman" w:hAnsi="Times New Roman"/>
          <w:noProof/>
          <w:color w:val="000000" w:themeColor="text1"/>
          <w:sz w:val="24"/>
          <w:szCs w:val="24"/>
        </w:rPr>
        <w:t xml:space="preserve"> W </w:t>
      </w:r>
      <w:hyperlink r:id="rId103" w:history="1">
        <w:r>
          <w:rPr>
            <w:rStyle w:val="Hyperlink"/>
            <w:rFonts w:ascii="Times New Roman" w:hAnsi="Times New Roman"/>
            <w:noProof/>
            <w:sz w:val="24"/>
            <w:szCs w:val="24"/>
          </w:rPr>
          <w:t>Estonii</w:t>
        </w:r>
      </w:hyperlink>
      <w:r>
        <w:rPr>
          <w:rFonts w:ascii="Times New Roman" w:hAnsi="Times New Roman"/>
          <w:noProof/>
          <w:color w:val="000000" w:themeColor="text1"/>
          <w:sz w:val="24"/>
          <w:szCs w:val="24"/>
        </w:rPr>
        <w:t xml:space="preserve"> sprawa będąca obecnie przedmiotem dochodzenia doprowadziła do ustąpienia poprzedniego rządu w styczniu 2021 r. W </w:t>
      </w:r>
      <w:hyperlink r:id="rId104" w:history="1">
        <w:r>
          <w:rPr>
            <w:rStyle w:val="Hyperlink"/>
            <w:rFonts w:ascii="Times New Roman" w:hAnsi="Times New Roman"/>
            <w:noProof/>
            <w:sz w:val="24"/>
            <w:szCs w:val="24"/>
          </w:rPr>
          <w:t>Czechach</w:t>
        </w:r>
      </w:hyperlink>
      <w:r>
        <w:rPr>
          <w:rFonts w:ascii="Times New Roman" w:hAnsi="Times New Roman"/>
          <w:noProof/>
          <w:color w:val="000000" w:themeColor="text1"/>
          <w:sz w:val="24"/>
          <w:szCs w:val="24"/>
        </w:rPr>
        <w:t xml:space="preserve"> w toku dochodzeń i audytów na poziomie krajowym i europejskim związanych z wykorzystaniem funduszy UE odkryto niedawno dowody na występowanie konfliktu interesów na najwyższym szczeblu wykonawczym, a jedna ze spraw została przyjęta przez Prokuraturę Europejską. W </w:t>
      </w:r>
      <w:hyperlink r:id="rId105" w:history="1">
        <w:r>
          <w:rPr>
            <w:rStyle w:val="Hyperlink"/>
            <w:rFonts w:ascii="Times New Roman" w:hAnsi="Times New Roman"/>
            <w:noProof/>
            <w:sz w:val="24"/>
            <w:szCs w:val="24"/>
          </w:rPr>
          <w:t>Austrii</w:t>
        </w:r>
      </w:hyperlink>
      <w:r>
        <w:rPr>
          <w:rFonts w:ascii="Times New Roman" w:hAnsi="Times New Roman"/>
          <w:noProof/>
          <w:color w:val="000000" w:themeColor="text1"/>
          <w:sz w:val="24"/>
          <w:szCs w:val="24"/>
        </w:rPr>
        <w:t xml:space="preserve"> w następstwie niedawnych skandali politycznych wzmożono dochodzenia w sprawach korupcji politycznej na wysokim szczeblu. </w:t>
      </w:r>
      <w:r>
        <w:rPr>
          <w:rFonts w:ascii="Times New Roman" w:hAnsi="Times New Roman"/>
          <w:noProof/>
          <w:sz w:val="24"/>
          <w:szCs w:val="24"/>
        </w:rPr>
        <w:t xml:space="preserve">W </w:t>
      </w:r>
      <w:hyperlink r:id="rId106" w:history="1">
        <w:r>
          <w:rPr>
            <w:rStyle w:val="Hyperlink"/>
            <w:rFonts w:ascii="Times New Roman" w:hAnsi="Times New Roman"/>
            <w:noProof/>
            <w:sz w:val="24"/>
            <w:szCs w:val="24"/>
          </w:rPr>
          <w:t>Rumunii</w:t>
        </w:r>
      </w:hyperlink>
      <w:r>
        <w:rPr>
          <w:rFonts w:ascii="Times New Roman" w:hAnsi="Times New Roman"/>
          <w:noProof/>
          <w:sz w:val="24"/>
          <w:szCs w:val="24"/>
        </w:rPr>
        <w:t xml:space="preserve"> </w:t>
      </w:r>
      <w:r>
        <w:rPr>
          <w:rFonts w:ascii="Times New Roman" w:hAnsi="Times New Roman"/>
          <w:noProof/>
          <w:color w:val="000000"/>
          <w:sz w:val="24"/>
          <w:szCs w:val="24"/>
        </w:rPr>
        <w:t>nastąpiła poprawa skuteczności dochodzeń w sprawach o korupcję na wysokim szczeblu i nakładania za nią sankcji, chociaż</w:t>
      </w:r>
      <w:r>
        <w:rPr>
          <w:rFonts w:ascii="Times New Roman" w:hAnsi="Times New Roman"/>
          <w:noProof/>
          <w:sz w:val="24"/>
          <w:szCs w:val="24"/>
        </w:rPr>
        <w:t xml:space="preserve"> skuteczna walka z korupcją wciąż wymaga wprowadzenia zmian do kodeksu karnego i kodeksu postępowania karnego, a także ustaw o wymiarze sprawiedliwości.</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wielu państwach członkowskich zasoby przeznaczone na prowadzenie dochodzeń w sprawach o korupcję i na organy ścigania przysporzyły szczególnych trudności w zatrudnieniu lub zatrzymaniu wysoce wyspecjalizowanych pracowników. Na </w:t>
      </w:r>
      <w:hyperlink r:id="rId107" w:history="1">
        <w:r>
          <w:rPr>
            <w:rStyle w:val="Hyperlink"/>
            <w:rFonts w:ascii="Times New Roman" w:hAnsi="Times New Roman"/>
            <w:noProof/>
            <w:sz w:val="24"/>
            <w:szCs w:val="24"/>
          </w:rPr>
          <w:t>Łotwie</w:t>
        </w:r>
      </w:hyperlink>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odnotowano problemy z zasobami ludzkimi, które wpływają na efektywność operacyjną niektórych prokuratur</w:t>
      </w:r>
      <w:r>
        <w:rPr>
          <w:rFonts w:ascii="Times New Roman" w:hAnsi="Times New Roman"/>
          <w:noProof/>
          <w:color w:val="000000" w:themeColor="text1"/>
          <w:sz w:val="24"/>
          <w:szCs w:val="24"/>
        </w:rPr>
        <w:t xml:space="preserve">. </w:t>
      </w:r>
      <w:hyperlink r:id="rId108" w:history="1">
        <w:r>
          <w:rPr>
            <w:rStyle w:val="Hyperlink"/>
            <w:rFonts w:ascii="Times New Roman" w:hAnsi="Times New Roman"/>
            <w:noProof/>
            <w:sz w:val="24"/>
            <w:szCs w:val="24"/>
          </w:rPr>
          <w:t>Chorwacja</w:t>
        </w:r>
      </w:hyperlink>
      <w:r>
        <w:rPr>
          <w:rFonts w:ascii="Times New Roman" w:hAnsi="Times New Roman"/>
          <w:noProof/>
          <w:color w:val="000000" w:themeColor="text1"/>
          <w:sz w:val="24"/>
          <w:szCs w:val="24"/>
        </w:rPr>
        <w:t xml:space="preserve"> i </w:t>
      </w:r>
      <w:hyperlink r:id="rId109" w:history="1">
        <w:r>
          <w:rPr>
            <w:rStyle w:val="Hyperlink"/>
            <w:rFonts w:ascii="Times New Roman" w:hAnsi="Times New Roman"/>
            <w:noProof/>
            <w:sz w:val="24"/>
            <w:szCs w:val="24"/>
          </w:rPr>
          <w:t>Luksemburg</w:t>
        </w:r>
      </w:hyperlink>
      <w:r>
        <w:rPr>
          <w:rFonts w:ascii="Times New Roman" w:hAnsi="Times New Roman"/>
          <w:noProof/>
          <w:color w:val="000000" w:themeColor="text1"/>
          <w:sz w:val="24"/>
          <w:szCs w:val="24"/>
        </w:rPr>
        <w:t xml:space="preserve"> mają trudności z rekrutacją wykwalifikowanych kandydatów. W </w:t>
      </w:r>
      <w:hyperlink r:id="rId110" w:history="1">
        <w:r>
          <w:rPr>
            <w:rStyle w:val="Hyperlink"/>
            <w:rFonts w:ascii="Times New Roman" w:hAnsi="Times New Roman"/>
            <w:noProof/>
            <w:sz w:val="24"/>
            <w:szCs w:val="24"/>
          </w:rPr>
          <w:t>Hiszpanii</w:t>
        </w:r>
      </w:hyperlink>
      <w:r>
        <w:rPr>
          <w:rFonts w:ascii="Times New Roman" w:hAnsi="Times New Roman"/>
          <w:noProof/>
          <w:color w:val="000000" w:themeColor="text1"/>
          <w:sz w:val="24"/>
          <w:szCs w:val="24"/>
        </w:rPr>
        <w:t xml:space="preserve"> organy ścigania zwracają uwagę, że brak odpowiednich zasobów ma wpływ na tempo prowadzenia dochodzeń w sprawach o korupcję i ich ścigania. Obejmuje to sprawy o korupcję na wysokim szczeblu</w:t>
      </w:r>
      <w:r>
        <w:rPr>
          <w:noProof/>
        </w:rPr>
        <w:t xml:space="preserve">, </w:t>
      </w:r>
      <w:r>
        <w:rPr>
          <w:rFonts w:ascii="Times New Roman" w:hAnsi="Times New Roman"/>
          <w:noProof/>
          <w:color w:val="000000" w:themeColor="text1"/>
          <w:sz w:val="24"/>
          <w:szCs w:val="24"/>
        </w:rPr>
        <w:t>z</w:t>
      </w:r>
      <w:r>
        <w:rPr>
          <w:noProof/>
        </w:rPr>
        <w:t> </w:t>
      </w:r>
      <w:r>
        <w:rPr>
          <w:rFonts w:ascii="Times New Roman" w:hAnsi="Times New Roman"/>
          <w:noProof/>
          <w:color w:val="000000" w:themeColor="text1"/>
          <w:sz w:val="24"/>
          <w:szCs w:val="24"/>
        </w:rPr>
        <w:t>których wiele od kilku lat znajduje się na etapie dochodzenia. N</w:t>
      </w:r>
      <w:r>
        <w:rPr>
          <w:rFonts w:ascii="Times New Roman" w:hAnsi="Times New Roman"/>
          <w:noProof/>
          <w:sz w:val="24"/>
          <w:szCs w:val="24"/>
        </w:rPr>
        <w:t xml:space="preserve">a </w:t>
      </w:r>
      <w:hyperlink r:id="rId111" w:history="1">
        <w:r>
          <w:rPr>
            <w:rStyle w:val="Hyperlink"/>
            <w:rFonts w:ascii="Times New Roman" w:hAnsi="Times New Roman"/>
            <w:noProof/>
            <w:sz w:val="24"/>
            <w:szCs w:val="24"/>
          </w:rPr>
          <w:t>Słowacji</w:t>
        </w:r>
      </w:hyperlink>
      <w:r>
        <w:rPr>
          <w:rFonts w:ascii="Times New Roman" w:hAnsi="Times New Roman"/>
          <w:noProof/>
          <w:sz w:val="24"/>
          <w:szCs w:val="24"/>
        </w:rPr>
        <w:t xml:space="preserve"> i w </w:t>
      </w:r>
      <w:hyperlink r:id="rId112" w:history="1">
        <w:r>
          <w:rPr>
            <w:rStyle w:val="Hyperlink"/>
            <w:rFonts w:ascii="Times New Roman" w:hAnsi="Times New Roman"/>
            <w:noProof/>
            <w:sz w:val="24"/>
            <w:szCs w:val="24"/>
          </w:rPr>
          <w:t>Polsce</w:t>
        </w:r>
      </w:hyperlink>
      <w:r>
        <w:rPr>
          <w:rFonts w:ascii="Times New Roman" w:hAnsi="Times New Roman"/>
          <w:noProof/>
          <w:sz w:val="24"/>
          <w:szCs w:val="24"/>
        </w:rPr>
        <w:t xml:space="preserve"> odnotowano kilka przypadków, w których ograniczenia prawne dotyczące dostępu do danych finansowych stanowiły przeszkodę w prowadzeniu dochodzeń.</w:t>
      </w:r>
    </w:p>
    <w:p>
      <w:pPr>
        <w:spacing w:before="120" w:after="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W niektórych państwach członkowskich utrzymują się </w:t>
      </w:r>
      <w:r>
        <w:rPr>
          <w:rFonts w:ascii="Times New Roman" w:hAnsi="Times New Roman"/>
          <w:noProof/>
          <w:sz w:val="24"/>
          <w:szCs w:val="24"/>
        </w:rPr>
        <w:t>obawy co do skuteczności dochodzeń, ścigania i orzekania w sprawach o korupcję na wysokim szczeblu</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We </w:t>
      </w:r>
      <w:hyperlink r:id="rId113" w:history="1">
        <w:r>
          <w:rPr>
            <w:rStyle w:val="Hyperlink"/>
            <w:rFonts w:ascii="Times New Roman" w:hAnsi="Times New Roman"/>
            <w:noProof/>
            <w:sz w:val="24"/>
            <w:szCs w:val="24"/>
          </w:rPr>
          <w:t>Włoszech</w:t>
        </w:r>
      </w:hyperlink>
      <w:r>
        <w:rPr>
          <w:rFonts w:ascii="Times New Roman" w:hAnsi="Times New Roman"/>
          <w:noProof/>
          <w:sz w:val="24"/>
          <w:szCs w:val="24"/>
        </w:rPr>
        <w:t xml:space="preserve"> rozważane są środki mające na celu przyspieszenie wnoszenia aktów oskarżenia i rozpatrywania spraw na procesach sądowych. W </w:t>
      </w:r>
      <w:hyperlink r:id="rId114" w:history="1">
        <w:r>
          <w:rPr>
            <w:rStyle w:val="Hyperlink"/>
            <w:rFonts w:ascii="Times New Roman" w:hAnsi="Times New Roman"/>
            <w:noProof/>
            <w:sz w:val="24"/>
            <w:szCs w:val="24"/>
          </w:rPr>
          <w:t>Chorwacji</w:t>
        </w:r>
      </w:hyperlink>
      <w:r>
        <w:rPr>
          <w:rFonts w:ascii="Times New Roman" w:hAnsi="Times New Roman"/>
          <w:noProof/>
          <w:sz w:val="24"/>
          <w:szCs w:val="24"/>
        </w:rPr>
        <w:t xml:space="preserve"> wciąż ściga się przypadki korupcji na wysokim szczeblu i prowadzi dochodzenia w ich sprawie, jednak ze względu na przedłużające się postępowania często dochodzi do opóźnień w wydawaniu wyroków skazujących. Na </w:t>
      </w:r>
      <w:hyperlink r:id="rId115" w:history="1">
        <w:r>
          <w:rPr>
            <w:rStyle w:val="Hyperlink"/>
            <w:rFonts w:ascii="Times New Roman" w:hAnsi="Times New Roman"/>
            <w:noProof/>
            <w:sz w:val="24"/>
            <w:szCs w:val="24"/>
          </w:rPr>
          <w:t>Malcie</w:t>
        </w:r>
      </w:hyperlink>
      <w:r>
        <w:rPr>
          <w:rFonts w:ascii="Times New Roman" w:hAnsi="Times New Roman"/>
          <w:noProof/>
          <w:sz w:val="24"/>
          <w:szCs w:val="24"/>
        </w:rPr>
        <w:t xml:space="preserve">, mimo że organy dochodzeniowe i organy ścigania zwiększyły swoje zdolności do zajmowania się sprawami o korupcję, przy czym liczba wszczętych spraw wzrosła, dochodzenia są nadal długotrwałe i nie zanotowano jeszcze wyroków skazujących w sprawach na wysokim szczeblu. W </w:t>
      </w:r>
      <w:hyperlink r:id="rId116" w:history="1">
        <w:r>
          <w:rPr>
            <w:rStyle w:val="Hyperlink"/>
            <w:rFonts w:ascii="Times New Roman" w:hAnsi="Times New Roman"/>
            <w:noProof/>
            <w:sz w:val="24"/>
            <w:szCs w:val="24"/>
          </w:rPr>
          <w:t>Bułgarii</w:t>
        </w:r>
      </w:hyperlink>
      <w:r>
        <w:rPr>
          <w:rFonts w:ascii="Times New Roman" w:hAnsi="Times New Roman"/>
          <w:noProof/>
          <w:sz w:val="24"/>
          <w:szCs w:val="24"/>
        </w:rPr>
        <w:t>, pomimo wzmożenia działalności dochodzeniowej i lepszych zasobów, postępy w głośnych sprawach o korupcję pozostają nieznaczne i nie osiągnięto jeszcze solidnych wyników w postaci prawomocnych wyroków skazujących</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Na </w:t>
      </w:r>
      <w:hyperlink r:id="rId117" w:history="1">
        <w:r>
          <w:rPr>
            <w:rStyle w:val="Hyperlink"/>
            <w:rFonts w:ascii="Times New Roman" w:hAnsi="Times New Roman"/>
            <w:noProof/>
            <w:sz w:val="24"/>
            <w:szCs w:val="24"/>
          </w:rPr>
          <w:t>Węgrzech</w:t>
        </w:r>
      </w:hyperlink>
      <w:r>
        <w:rPr>
          <w:rFonts w:ascii="Times New Roman" w:hAnsi="Times New Roman"/>
          <w:noProof/>
          <w:sz w:val="24"/>
          <w:szCs w:val="24"/>
        </w:rPr>
        <w:t>, chociaż liczba aktów oskarżenia w sprawach o korupcję jest wysoka, a od 2020 r. otwarto kilka nowych spraw na wysokim szczeblu z udziałem polityków, osiągnięcia w zakresie prowadzenia dochodzeń w sprawie zarzutów dotyczących urzędników wysokiego szczebla i ich najbliższego otoczenia pozostają ograniczone.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Wzmocnienie ram uczciwości i zapobiegania korupcji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sprawozdaniu na temat praworządności z 2020 r. stwierdzono, że wiele państw członkowskich wprowadziło środki mające na celu wzmocnienie ram uczciwości zawodowej i zapobiegania korupcji, i wiele z tych starań jest kontynuowanych.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Zapobieganie konfliktom interesów i sprzyjanie uczciwości w instytucjach publicznych</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W niektórych państwach członkowskich ramy uczciwości uzupełniono o kodeksy postępowania dla parlamentarzystów, tak jak w </w:t>
      </w:r>
      <w:hyperlink r:id="rId118" w:history="1">
        <w:r>
          <w:rPr>
            <w:rStyle w:val="Hyperlink"/>
            <w:rFonts w:ascii="Times New Roman" w:hAnsi="Times New Roman"/>
            <w:noProof/>
            <w:sz w:val="24"/>
            <w:szCs w:val="24"/>
          </w:rPr>
          <w:t>Hiszpanii</w:t>
        </w:r>
      </w:hyperlink>
      <w:r>
        <w:rPr>
          <w:rFonts w:ascii="Times New Roman" w:hAnsi="Times New Roman"/>
          <w:noProof/>
          <w:sz w:val="24"/>
          <w:szCs w:val="24"/>
        </w:rPr>
        <w:t xml:space="preserve">, lub o wyraźniejsze bądź skonsolidowane przepisy dotyczące darowizn, konfliktów interesów i niepołączalności stanowisk obowiązujące urzędników wyższego i wysokiego szczebla, jak na przykład w </w:t>
      </w:r>
      <w:hyperlink r:id="rId119" w:history="1">
        <w:r>
          <w:rPr>
            <w:rStyle w:val="Hyperlink"/>
            <w:rFonts w:ascii="Times New Roman" w:hAnsi="Times New Roman"/>
            <w:noProof/>
            <w:sz w:val="24"/>
            <w:szCs w:val="24"/>
          </w:rPr>
          <w:t>Finlandii</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Włoszech</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i </w:t>
      </w:r>
      <w:hyperlink r:id="rId121" w:history="1">
        <w:r>
          <w:rPr>
            <w:rStyle w:val="Hyperlink"/>
            <w:rFonts w:ascii="Times New Roman" w:hAnsi="Times New Roman"/>
            <w:noProof/>
            <w:sz w:val="24"/>
            <w:szCs w:val="24"/>
          </w:rPr>
          <w:t>Portugalii</w:t>
        </w:r>
      </w:hyperlink>
      <w:r>
        <w:rPr>
          <w:rFonts w:ascii="Times New Roman" w:hAnsi="Times New Roman"/>
          <w:noProof/>
          <w:sz w:val="24"/>
          <w:szCs w:val="24"/>
        </w:rPr>
        <w:t xml:space="preserve">. Ponadto część </w:t>
      </w:r>
      <w:r>
        <w:rPr>
          <w:rFonts w:ascii="Times New Roman" w:hAnsi="Times New Roman"/>
          <w:bCs/>
          <w:noProof/>
          <w:sz w:val="24"/>
          <w:szCs w:val="24"/>
        </w:rPr>
        <w:t xml:space="preserve">państw członkowskich, w tym </w:t>
      </w:r>
      <w:hyperlink r:id="rId122" w:history="1">
        <w:r>
          <w:rPr>
            <w:rStyle w:val="Hyperlink"/>
            <w:rFonts w:ascii="Times New Roman" w:hAnsi="Times New Roman"/>
            <w:bCs/>
            <w:noProof/>
            <w:sz w:val="24"/>
            <w:szCs w:val="24"/>
          </w:rPr>
          <w:t>Belgia</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Cypr</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Niderlandy</w:t>
        </w:r>
      </w:hyperlink>
      <w:r>
        <w:rPr>
          <w:rFonts w:ascii="Times New Roman" w:hAnsi="Times New Roman"/>
          <w:noProof/>
          <w:sz w:val="24"/>
          <w:szCs w:val="24"/>
        </w:rPr>
        <w:t xml:space="preserve"> i </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wprowadziła programy uczciwości i kontroli lub powołała jednostki nadzorcze w organach ścigania, co przyczynia się do wzmocnienia uczciwości w policji.</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Lobbing i efekt „drzwi obrotowych”</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Lobbing to zgodny z prawem akt uczestnictwa w życiu politycznym</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Muszą mu towarzyszyć rygorystyczne wymogi dotyczące przejrzystości i uczciwości, aby zapewnić rozliczalność i włączanie w podejmowanie decyzji</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Niektóre państwa członkowskie przeprowadziły przegląd swoich ram w celu zwiększenia przejrzystości i ułatwienia dostępu do informacji na temat lobbingu. </w:t>
      </w:r>
      <w:hyperlink r:id="rId126" w:history="1">
        <w:r>
          <w:rPr>
            <w:rStyle w:val="Hyperlink"/>
            <w:rFonts w:ascii="Times New Roman" w:hAnsi="Times New Roman"/>
            <w:noProof/>
            <w:sz w:val="24"/>
            <w:szCs w:val="24"/>
          </w:rPr>
          <w:t>Niemcy</w:t>
        </w:r>
      </w:hyperlink>
      <w:r>
        <w:rPr>
          <w:rFonts w:ascii="Times New Roman" w:hAnsi="Times New Roman"/>
          <w:noProof/>
          <w:sz w:val="24"/>
          <w:szCs w:val="24"/>
        </w:rPr>
        <w:t xml:space="preserve"> na przykład</w:t>
      </w:r>
      <w:r>
        <w:rPr>
          <w:rFonts w:ascii="Times New Roman" w:hAnsi="Times New Roman"/>
          <w:b/>
          <w:noProof/>
          <w:sz w:val="24"/>
          <w:szCs w:val="24"/>
        </w:rPr>
        <w:t xml:space="preserve"> </w:t>
      </w:r>
      <w:r>
        <w:rPr>
          <w:rFonts w:ascii="Times New Roman" w:hAnsi="Times New Roman"/>
          <w:noProof/>
          <w:sz w:val="24"/>
          <w:szCs w:val="24"/>
        </w:rPr>
        <w:t xml:space="preserve">przyjęły nową ustawę ustanawiającą elektroniczny rejestr lobbystów na poziomie federalnym. Na </w:t>
      </w:r>
      <w:hyperlink r:id="rId127" w:history="1">
        <w:r>
          <w:rPr>
            <w:rStyle w:val="Hyperlink"/>
            <w:rFonts w:ascii="Times New Roman" w:hAnsi="Times New Roman"/>
            <w:noProof/>
            <w:sz w:val="24"/>
            <w:szCs w:val="24"/>
          </w:rPr>
          <w:t>Litwie</w:t>
        </w:r>
      </w:hyperlink>
      <w:r>
        <w:rPr>
          <w:rFonts w:ascii="Times New Roman" w:hAnsi="Times New Roman"/>
          <w:b/>
          <w:noProof/>
          <w:sz w:val="24"/>
          <w:szCs w:val="24"/>
        </w:rPr>
        <w:t xml:space="preserve"> </w:t>
      </w:r>
      <w:r>
        <w:rPr>
          <w:rFonts w:ascii="Times New Roman" w:hAnsi="Times New Roman"/>
          <w:noProof/>
          <w:sz w:val="24"/>
          <w:szCs w:val="24"/>
        </w:rPr>
        <w:t xml:space="preserve">weszły w życie nowe przepisy przewidujące system wzajemnych oświadczeń, w ramach którego lobbyści, politycy i urzędnicy służby cywilnej muszą odnotowywać swoje spotkania w rejestrze lobbingu. W </w:t>
      </w:r>
      <w:hyperlink r:id="rId128" w:history="1">
        <w:r>
          <w:rPr>
            <w:rStyle w:val="Hyperlink"/>
            <w:rFonts w:ascii="Times New Roman" w:hAnsi="Times New Roman"/>
            <w:noProof/>
            <w:sz w:val="24"/>
            <w:szCs w:val="24"/>
          </w:rPr>
          <w:t>Hiszpanii</w:t>
        </w:r>
      </w:hyperlink>
      <w:r>
        <w:rPr>
          <w:rFonts w:ascii="Times New Roman" w:hAnsi="Times New Roman"/>
          <w:b/>
          <w:noProof/>
          <w:sz w:val="24"/>
          <w:szCs w:val="24"/>
        </w:rPr>
        <w:t xml:space="preserve"> </w:t>
      </w:r>
      <w:r>
        <w:rPr>
          <w:rFonts w:ascii="Times New Roman" w:hAnsi="Times New Roman"/>
          <w:noProof/>
          <w:sz w:val="24"/>
          <w:szCs w:val="24"/>
        </w:rPr>
        <w:t xml:space="preserve">trwają dyskusje nad utworzeniem rejestru służącego przejrzystości. W </w:t>
      </w:r>
      <w:hyperlink r:id="rId129" w:history="1">
        <w:r>
          <w:rPr>
            <w:rStyle w:val="Hyperlink"/>
            <w:rFonts w:ascii="Times New Roman" w:hAnsi="Times New Roman"/>
            <w:noProof/>
            <w:sz w:val="24"/>
            <w:szCs w:val="24"/>
          </w:rPr>
          <w:t>Estonii</w:t>
        </w:r>
      </w:hyperlink>
      <w:r>
        <w:rPr>
          <w:rFonts w:ascii="Times New Roman" w:hAnsi="Times New Roman"/>
          <w:noProof/>
          <w:sz w:val="24"/>
          <w:szCs w:val="24"/>
        </w:rPr>
        <w:t xml:space="preserve"> wprowadzono niewiążące wytyczne dotyczące lobbingu i konfliktu interesów. W </w:t>
      </w:r>
      <w:hyperlink r:id="rId130" w:history="1">
        <w:r>
          <w:rPr>
            <w:rStyle w:val="Hyperlink"/>
            <w:rFonts w:ascii="Times New Roman" w:hAnsi="Times New Roman"/>
            <w:noProof/>
            <w:sz w:val="24"/>
            <w:szCs w:val="24"/>
          </w:rPr>
          <w:t>Czechach</w:t>
        </w:r>
      </w:hyperlink>
      <w:r>
        <w:rPr>
          <w:rFonts w:ascii="Times New Roman" w:hAnsi="Times New Roman"/>
          <w:noProof/>
          <w:sz w:val="24"/>
          <w:szCs w:val="24"/>
        </w:rPr>
        <w:t xml:space="preserve"> nowy projekt ustawy o lobbingu wciąż oczekuje na uchwalenie.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Innym obszarem poddawanym kontroli publicznej w wielu państwach członkowskich jest ustanowienie i egzekwowanie przepisów dotyczących efektu „drzwi obrotowych” między funkcjami publicznymi i prywatnymi. Na przykład w </w:t>
      </w:r>
      <w:hyperlink r:id="rId131" w:history="1">
        <w:r>
          <w:rPr>
            <w:rStyle w:val="Hyperlink"/>
            <w:rFonts w:ascii="Times New Roman" w:hAnsi="Times New Roman"/>
            <w:noProof/>
            <w:sz w:val="24"/>
            <w:szCs w:val="24"/>
          </w:rPr>
          <w:t>Finlandii</w:t>
        </w:r>
      </w:hyperlink>
      <w:r>
        <w:rPr>
          <w:rFonts w:ascii="Times New Roman" w:hAnsi="Times New Roman"/>
          <w:noProof/>
          <w:sz w:val="24"/>
          <w:szCs w:val="24"/>
        </w:rPr>
        <w:t xml:space="preserve"> i we </w:t>
      </w:r>
      <w:hyperlink r:id="rId132" w:history="1">
        <w:r>
          <w:rPr>
            <w:rStyle w:val="Hyperlink"/>
            <w:rFonts w:ascii="Times New Roman" w:hAnsi="Times New Roman"/>
            <w:noProof/>
            <w:sz w:val="24"/>
            <w:szCs w:val="24"/>
          </w:rPr>
          <w:t>Włoszech</w:t>
        </w:r>
      </w:hyperlink>
      <w:r>
        <w:rPr>
          <w:rFonts w:ascii="Times New Roman" w:hAnsi="Times New Roman"/>
          <w:noProof/>
          <w:sz w:val="24"/>
          <w:szCs w:val="24"/>
        </w:rPr>
        <w:t xml:space="preserve"> rozważa się wprowadzenie bardziej rygorystycznych ograniczeń w okresie po ustaniu zatrudnienia, takich jak okresy karencji. </w:t>
      </w:r>
      <w:hyperlink r:id="rId133" w:history="1">
        <w:r>
          <w:rPr>
            <w:rStyle w:val="Hyperlink"/>
            <w:rFonts w:ascii="Times New Roman" w:hAnsi="Times New Roman"/>
            <w:noProof/>
            <w:sz w:val="24"/>
            <w:szCs w:val="24"/>
          </w:rPr>
          <w:t>Francja</w:t>
        </w:r>
      </w:hyperlink>
      <w:r>
        <w:rPr>
          <w:rFonts w:ascii="Times New Roman" w:hAnsi="Times New Roman"/>
          <w:noProof/>
          <w:sz w:val="24"/>
          <w:szCs w:val="24"/>
        </w:rPr>
        <w:t xml:space="preserve"> wprowadziła niedawno zmiany w prawie, aby uwzględnić efekt „drzwi obrotowych” w mandacie agencji odpowiedzialnej za przejrzystość i uczciwość w życiu publicznym. Chociaż w </w:t>
      </w:r>
      <w:hyperlink r:id="rId134" w:history="1">
        <w:r>
          <w:rPr>
            <w:rStyle w:val="Hyperlink"/>
            <w:rFonts w:ascii="Times New Roman" w:hAnsi="Times New Roman"/>
            <w:noProof/>
            <w:sz w:val="24"/>
            <w:szCs w:val="24"/>
          </w:rPr>
          <w:t>Portugalii</w:t>
        </w:r>
      </w:hyperlink>
      <w:r>
        <w:rPr>
          <w:rFonts w:ascii="Times New Roman" w:hAnsi="Times New Roman"/>
          <w:noProof/>
          <w:sz w:val="24"/>
          <w:szCs w:val="24"/>
        </w:rPr>
        <w:t xml:space="preserve"> wprowadzono niedawno nowe przepisy ustanawiające stosunkowo długie okresy karencji oraz odstraszające sankcje za nieprzestrzeganie przepisów, należy je jeszcze monitorować i egzekwować.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Ujawnianie informacji majątkowych i konfliktów interesów</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We wszystkich państwach członkowskich obowiązują przepisy służące zapewnieniu, aby kategorie urzędników sektora publicznego podlegały obowiązkom ujawniania informacji majątkowych i konfliktów interesów. Różnią się one jednak co do zakresu, przejrzystości i dostępności ujawnianych informacji bądź pod względem systemu weryfikacji i egzekwowania. Najnowsze reformy w szeregu państw członkowskich mają na celu udoskonalenie systemu. </w:t>
      </w:r>
      <w:hyperlink r:id="rId135" w:history="1">
        <w:r>
          <w:rPr>
            <w:rStyle w:val="Hyperlink"/>
            <w:rFonts w:ascii="Times New Roman" w:hAnsi="Times New Roman"/>
            <w:noProof/>
            <w:sz w:val="24"/>
            <w:szCs w:val="24"/>
          </w:rPr>
          <w:t>Estonia</w:t>
        </w:r>
      </w:hyperlink>
      <w:r>
        <w:rPr>
          <w:rFonts w:ascii="Times New Roman" w:hAnsi="Times New Roman"/>
          <w:b/>
          <w:noProof/>
          <w:sz w:val="24"/>
          <w:szCs w:val="24"/>
        </w:rPr>
        <w:t xml:space="preserve"> </w:t>
      </w:r>
      <w:r>
        <w:rPr>
          <w:rFonts w:ascii="Times New Roman" w:hAnsi="Times New Roman"/>
          <w:noProof/>
          <w:sz w:val="24"/>
          <w:szCs w:val="24"/>
        </w:rPr>
        <w:t xml:space="preserve">rozszerzyła zakres osób zobowiązanych do złożenia oświadczenia majątkowego na doradców politycznych ministrów, a </w:t>
      </w:r>
      <w:hyperlink r:id="rId136" w:history="1">
        <w:r>
          <w:rPr>
            <w:rStyle w:val="Hyperlink"/>
            <w:rFonts w:ascii="Times New Roman" w:hAnsi="Times New Roman"/>
            <w:noProof/>
            <w:sz w:val="24"/>
            <w:szCs w:val="24"/>
          </w:rPr>
          <w:t>Chorwacja</w:t>
        </w:r>
      </w:hyperlink>
      <w:r>
        <w:rPr>
          <w:rFonts w:ascii="Times New Roman" w:hAnsi="Times New Roman"/>
          <w:noProof/>
          <w:sz w:val="24"/>
          <w:szCs w:val="24"/>
        </w:rPr>
        <w:t xml:space="preserve"> udostępniła publicznie oświadczenia o stanie majątkowym sędziów i prokuratorów państwowych. </w:t>
      </w:r>
      <w:hyperlink r:id="rId137" w:history="1">
        <w:r>
          <w:rPr>
            <w:rStyle w:val="Hyperlink"/>
            <w:rFonts w:ascii="Times New Roman" w:hAnsi="Times New Roman"/>
            <w:noProof/>
            <w:sz w:val="24"/>
            <w:szCs w:val="24"/>
          </w:rPr>
          <w:t>Portugalia</w:t>
        </w:r>
      </w:hyperlink>
      <w:r>
        <w:rPr>
          <w:rFonts w:ascii="Times New Roman" w:hAnsi="Times New Roman"/>
          <w:noProof/>
          <w:sz w:val="24"/>
          <w:szCs w:val="24"/>
        </w:rPr>
        <w:t xml:space="preserve"> wprowadziła obowiązek ujawniania w internecie kompletnych i skonsolidowanych informacji majątkowych. Na </w:t>
      </w:r>
      <w:hyperlink r:id="rId138" w:history="1">
        <w:r>
          <w:rPr>
            <w:rStyle w:val="Hyperlink"/>
            <w:rFonts w:ascii="Times New Roman" w:hAnsi="Times New Roman"/>
            <w:noProof/>
            <w:sz w:val="24"/>
            <w:szCs w:val="24"/>
          </w:rPr>
          <w:t>Litwie</w:t>
        </w:r>
      </w:hyperlink>
      <w:r>
        <w:rPr>
          <w:rFonts w:ascii="Times New Roman" w:hAnsi="Times New Roman"/>
          <w:noProof/>
          <w:sz w:val="24"/>
          <w:szCs w:val="24"/>
        </w:rPr>
        <w:t xml:space="preserve"> funkcjonuje już nowy rejestr umożliwiający powiązanie informacji podanych w deklaracjach o braku konfliktów interesów z kilkoma innymi rejestrami krajowymi. Ponadto inne państwa członkowskie, które w przeszłości przeprowadziły reformy, prowadzą rejestr w zakresie monitorowania i weryfikacji. We </w:t>
      </w:r>
      <w:hyperlink r:id="rId139" w:history="1">
        <w:r>
          <w:rPr>
            <w:rStyle w:val="Hyperlink"/>
            <w:rFonts w:ascii="Times New Roman" w:hAnsi="Times New Roman"/>
            <w:noProof/>
            <w:sz w:val="24"/>
            <w:szCs w:val="24"/>
          </w:rPr>
          <w:t>Francji</w:t>
        </w:r>
      </w:hyperlink>
      <w:r>
        <w:rPr>
          <w:rFonts w:ascii="Times New Roman" w:hAnsi="Times New Roman"/>
          <w:b/>
          <w:noProof/>
          <w:sz w:val="24"/>
          <w:szCs w:val="24"/>
        </w:rPr>
        <w:t xml:space="preserve"> </w:t>
      </w:r>
      <w:r>
        <w:rPr>
          <w:rFonts w:ascii="Times New Roman" w:hAnsi="Times New Roman"/>
          <w:noProof/>
          <w:sz w:val="24"/>
          <w:szCs w:val="24"/>
        </w:rPr>
        <w:t xml:space="preserve">właściwe organy przeprowadzają systematyczne i regularne kontrole, z których część prowadzi do przekazania sprawy prokuraturze w celu wyciągnięcia ewentualnych konsekwencji prawnych. W </w:t>
      </w:r>
      <w:hyperlink r:id="rId140" w:history="1">
        <w:r>
          <w:rPr>
            <w:rStyle w:val="Hyperlink"/>
            <w:rFonts w:ascii="Times New Roman" w:hAnsi="Times New Roman"/>
            <w:noProof/>
            <w:sz w:val="24"/>
            <w:szCs w:val="24"/>
          </w:rPr>
          <w:t>Rumunii</w:t>
        </w:r>
      </w:hyperlink>
      <w:r>
        <w:rPr>
          <w:rFonts w:ascii="Times New Roman" w:hAnsi="Times New Roman"/>
          <w:noProof/>
          <w:sz w:val="24"/>
          <w:szCs w:val="24"/>
        </w:rPr>
        <w:t xml:space="preserve"> przekazywanie ujawnianych informacji majątkowych i konfliktów interesów drogą elektroniczną uruchomiono w kwietniu 2021 r. i oczekuje się, że ułatwi to dodatkowo prace weryfikacyjne.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niektórych państwach członkowskich wciąż występują niedociągnięcia. W </w:t>
      </w:r>
      <w:hyperlink r:id="rId141" w:history="1">
        <w:r>
          <w:rPr>
            <w:rStyle w:val="Hyperlink"/>
            <w:rFonts w:ascii="Times New Roman" w:hAnsi="Times New Roman"/>
            <w:noProof/>
            <w:sz w:val="24"/>
            <w:szCs w:val="24"/>
          </w:rPr>
          <w:t>Belgii</w:t>
        </w:r>
      </w:hyperlink>
      <w:r>
        <w:rPr>
          <w:rFonts w:ascii="Times New Roman" w:hAnsi="Times New Roman"/>
          <w:noProof/>
          <w:sz w:val="24"/>
          <w:szCs w:val="24"/>
        </w:rPr>
        <w:t xml:space="preserve"> oświadczenia nie są publikowane ani weryfikowane pod względem poprawności i są dostępne jedynie dla sędziów śledczych w ramach dochodzeń. W </w:t>
      </w:r>
      <w:hyperlink r:id="rId142" w:history="1">
        <w:r>
          <w:rPr>
            <w:rStyle w:val="Hyperlink"/>
            <w:rFonts w:ascii="Times New Roman" w:hAnsi="Times New Roman"/>
            <w:noProof/>
            <w:sz w:val="24"/>
            <w:szCs w:val="24"/>
          </w:rPr>
          <w:t>Grecji</w:t>
        </w:r>
      </w:hyperlink>
      <w:r>
        <w:rPr>
          <w:rFonts w:ascii="Times New Roman" w:hAnsi="Times New Roman"/>
          <w:noProof/>
          <w:sz w:val="24"/>
          <w:szCs w:val="24"/>
        </w:rPr>
        <w:t xml:space="preserve">, chociaż oświadczenia o stanie majątkowym urzędników i członków parlamentu są udostępniane publicznie, występują opóźnienia, a dane dostępne do publikacji pozostają ograniczone. Na </w:t>
      </w:r>
      <w:hyperlink r:id="rId143" w:history="1">
        <w:r>
          <w:rPr>
            <w:rStyle w:val="Hyperlink"/>
            <w:rFonts w:ascii="Times New Roman" w:hAnsi="Times New Roman"/>
            <w:noProof/>
            <w:sz w:val="24"/>
            <w:szCs w:val="24"/>
          </w:rPr>
          <w:t>Węgrzech</w:t>
        </w:r>
      </w:hyperlink>
      <w:r>
        <w:rPr>
          <w:rFonts w:ascii="Times New Roman" w:hAnsi="Times New Roman"/>
          <w:noProof/>
          <w:sz w:val="24"/>
          <w:szCs w:val="24"/>
        </w:rPr>
        <w:t xml:space="preserve">, mimo że istnieją kompleksowe wymogi dotyczące ujawniania informacji, utrzymują się obawy co do braku systematycznych kontroli i niewystarczającego nadzoru nad oświadczeniami o stanie majątkowym i oświadczeniami o braku konfliktu interesów, a podejrzenia o nieuzasadnione wzbogacenie się mogą prowadzić do weryfikacji przez organy podatkowe wyłącznie w przypadku, gdy organy śledcze wszczęły również postępowanie karne. W </w:t>
      </w:r>
      <w:hyperlink r:id="rId144" w:history="1">
        <w:r>
          <w:rPr>
            <w:rStyle w:val="Hyperlink"/>
            <w:rFonts w:ascii="Times New Roman" w:hAnsi="Times New Roman"/>
            <w:noProof/>
            <w:sz w:val="24"/>
            <w:szCs w:val="24"/>
          </w:rPr>
          <w:t>Słowenii</w:t>
        </w:r>
      </w:hyperlink>
      <w:r>
        <w:rPr>
          <w:rFonts w:ascii="Times New Roman" w:hAnsi="Times New Roman"/>
          <w:noProof/>
          <w:sz w:val="24"/>
          <w:szCs w:val="24"/>
        </w:rPr>
        <w:t xml:space="preserve">, chociaż kategorie urzędników podlegających obowiązkowi ujawniania informacji stale są rozszerzane, zasoby przeznaczone na monitorowanie i weryfikację nie są wystarczająco szybko dostosowywane. Niedobór zasobów ludzkich utrzymuje się również w Komisji ds. Rozwiązywania Konfliktów Interesów w </w:t>
      </w:r>
      <w:hyperlink r:id="rId145" w:history="1">
        <w:r>
          <w:rPr>
            <w:rStyle w:val="Hyperlink"/>
            <w:rFonts w:ascii="Times New Roman" w:hAnsi="Times New Roman"/>
            <w:noProof/>
            <w:sz w:val="24"/>
            <w:szCs w:val="24"/>
          </w:rPr>
          <w:t>Chorwacji</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Ochrona sygnalistów</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W kontekście transpozycji dyrektywy UE z 2019 r. o ochronie sygnalistów</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państwa członkowskie są w trakcie zmieniania obowiązującego ustawodawstwa krajowego lub wprowadzania nowych przepisów. Niektóre państwa członkowskie usprawniły otoczenie instytucjonalne w odniesieniu do rozpatrywania zgłoszeń dokonywanych przez sygnalistów. Sytuacja taka miała miejsce na </w:t>
      </w:r>
      <w:hyperlink r:id="rId146" w:history="1">
        <w:r>
          <w:rPr>
            <w:rStyle w:val="Hyperlink"/>
            <w:rFonts w:ascii="Times New Roman" w:hAnsi="Times New Roman"/>
            <w:noProof/>
            <w:sz w:val="24"/>
            <w:szCs w:val="24"/>
          </w:rPr>
          <w:t>Słowacji</w:t>
        </w:r>
      </w:hyperlink>
      <w:r>
        <w:rPr>
          <w:rFonts w:ascii="Times New Roman" w:hAnsi="Times New Roman"/>
          <w:noProof/>
          <w:sz w:val="24"/>
          <w:szCs w:val="24"/>
        </w:rPr>
        <w:t xml:space="preserve">, gdzie parlament powołał szefa nowego niezależnego Urzędu Ochrony Sygnalistów obejmującego zarówno sektor prywatny, jak i publiczny. W </w:t>
      </w:r>
      <w:hyperlink r:id="rId147" w:history="1">
        <w:r>
          <w:rPr>
            <w:rStyle w:val="Hyperlink"/>
            <w:rFonts w:ascii="Times New Roman" w:hAnsi="Times New Roman"/>
            <w:noProof/>
            <w:sz w:val="24"/>
            <w:szCs w:val="24"/>
          </w:rPr>
          <w:t>Niderlandach</w:t>
        </w:r>
      </w:hyperlink>
      <w:r>
        <w:rPr>
          <w:rFonts w:ascii="Times New Roman" w:hAnsi="Times New Roman"/>
          <w:noProof/>
          <w:sz w:val="24"/>
          <w:szCs w:val="24"/>
        </w:rPr>
        <w:t xml:space="preserve">, po przeprowadzeniu oceny, ustawa o Organie ds. Sygnalistów zostanie zmieniona w celu zwiększenia ochrony prawnej sygnalistów.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Finansowanie partii politycznych</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Finansowanie partii politycznych może być wykorzystywane jako narzędzie korupcji, w związku z czym przejrzystość i rygorystyczne przepisy są istotnym czynnikiem. Reformy mające na celu zwiększenie przejrzystości i nadzoru nad finansowaniem partii politycznych zostały przeprowadzone w kilku państwach członkowskich lub są przedmiotem dyskusji. W </w:t>
      </w:r>
      <w:hyperlink r:id="rId148" w:history="1">
        <w:r>
          <w:rPr>
            <w:rStyle w:val="Hyperlink"/>
            <w:rFonts w:ascii="Times New Roman" w:hAnsi="Times New Roman"/>
            <w:noProof/>
            <w:sz w:val="24"/>
            <w:szCs w:val="24"/>
          </w:rPr>
          <w:t>Luksemburgu</w:t>
        </w:r>
      </w:hyperlink>
      <w:r>
        <w:rPr>
          <w:rFonts w:ascii="Times New Roman" w:hAnsi="Times New Roman"/>
          <w:noProof/>
          <w:sz w:val="24"/>
          <w:szCs w:val="24"/>
        </w:rPr>
        <w:t xml:space="preserve"> rozporządzenie w sprawie finansowania partii politycznych zostało zmienione w celu zapewnienia większej przejrzystości. W </w:t>
      </w:r>
      <w:hyperlink r:id="rId149" w:history="1">
        <w:r>
          <w:rPr>
            <w:rStyle w:val="Hyperlink"/>
            <w:rFonts w:ascii="Times New Roman" w:hAnsi="Times New Roman"/>
            <w:noProof/>
            <w:sz w:val="24"/>
            <w:szCs w:val="24"/>
          </w:rPr>
          <w:t>Finlandii</w:t>
        </w:r>
      </w:hyperlink>
      <w:r>
        <w:rPr>
          <w:rFonts w:ascii="Times New Roman" w:hAnsi="Times New Roman"/>
          <w:noProof/>
          <w:sz w:val="24"/>
          <w:szCs w:val="24"/>
        </w:rPr>
        <w:t xml:space="preserve"> parlamentarna grupa robocza prowadzi przegląd opracowywania odpowiednich przepisów. W </w:t>
      </w:r>
      <w:hyperlink r:id="rId150" w:history="1">
        <w:r>
          <w:rPr>
            <w:rStyle w:val="Hyperlink"/>
            <w:rFonts w:ascii="Times New Roman" w:hAnsi="Times New Roman"/>
            <w:noProof/>
            <w:sz w:val="24"/>
            <w:szCs w:val="24"/>
          </w:rPr>
          <w:t>Czechach</w:t>
        </w:r>
      </w:hyperlink>
      <w:r>
        <w:rPr>
          <w:rFonts w:ascii="Times New Roman" w:hAnsi="Times New Roman"/>
          <w:noProof/>
          <w:sz w:val="24"/>
          <w:szCs w:val="24"/>
        </w:rPr>
        <w:t xml:space="preserve"> przewidziano bardziej szczegółową analizę systemu finansowania partii służącą zidentyfikowaniu luk prawnych i wyzwań w praktyce. W </w:t>
      </w:r>
      <w:hyperlink r:id="rId151" w:history="1">
        <w:r>
          <w:rPr>
            <w:rStyle w:val="Hyperlink"/>
            <w:rFonts w:ascii="Times New Roman" w:hAnsi="Times New Roman"/>
            <w:noProof/>
            <w:sz w:val="24"/>
            <w:szCs w:val="24"/>
          </w:rPr>
          <w:t>Niderlandach</w:t>
        </w:r>
      </w:hyperlink>
      <w:r>
        <w:rPr>
          <w:rFonts w:ascii="Times New Roman" w:hAnsi="Times New Roman"/>
          <w:noProof/>
          <w:sz w:val="24"/>
          <w:szCs w:val="24"/>
        </w:rPr>
        <w:t xml:space="preserve"> proponowane ustawodawstwo będące obecnie przedmiotem dyskusji w parlamencie ma na celu ochronę funkcjonowania i organizacji partii politycznych przed ingerencją z zewnątrz.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Przeciwdziałanie wpływowi pandemii na korupcję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Pandemia COVID-19 wywarła wpływ na tempo reform lub orzekania w sprawach o korupcję w niektórych państwach członkowskich, ponieważ organy i sądy musiały pilnie zająć się stanem zagrożenia zdrowia. GRECO zaleciła uproszczenie środków antykorupcyjnych w ramach procesów związanych z pandemią, takich jak przyznawanie i wypłacanie środków na odbudowę, uchwalanie przepisów w czasie stanu nadzwyczajnego i opieka medyczna</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Jednocześnie Komisja i Rada podkreśliły, że zwalczanie korupcji wciąż jest istotne</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Podobnie OECD ostrzegła, że naruszenia uczciwości i praktyki korupcyjne mogą utrudnić odbudowę, wskazując w szczególności na konieczność zniwelowania bezpośredniego ryzyka w zamówieniach publicznych w sytuacjach nadzwyczajnych oraz uwzględnienia ocen ryzyka w zakresie zwalczania korupcji w środkach odbudowy gospodarczej</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Wydaje się, że ryzyko korupcji wzrosło w czasie pandemii, w szczególności ze względu na częstsze stosowanie przyspieszonych i uproszczonych procedur udzielania zamówień publicznych, co powodowało bezpośrednie udzielanie zamówień lub przeprowadzanie niekonkurencyjnych procedur udzielania zamówień publicznych. Te wyjątkowe okoliczności skłoniły instytucje audytowe i organy kontrolne w kilku państwach członkowskich, na przykład na </w:t>
      </w:r>
      <w:hyperlink r:id="rId152" w:history="1">
        <w:r>
          <w:rPr>
            <w:rStyle w:val="Hyperlink"/>
            <w:rFonts w:ascii="Times New Roman" w:hAnsi="Times New Roman"/>
            <w:noProof/>
            <w:sz w:val="24"/>
            <w:szCs w:val="24"/>
          </w:rPr>
          <w:t>Cyprze</w:t>
        </w:r>
      </w:hyperlink>
      <w:r>
        <w:rPr>
          <w:rFonts w:ascii="Times New Roman" w:hAnsi="Times New Roman"/>
          <w:noProof/>
          <w:sz w:val="24"/>
          <w:szCs w:val="24"/>
        </w:rPr>
        <w:t xml:space="preserve">, w </w:t>
      </w:r>
      <w:hyperlink r:id="rId153" w:history="1">
        <w:r>
          <w:rPr>
            <w:rStyle w:val="Hyperlink"/>
            <w:rFonts w:ascii="Times New Roman" w:hAnsi="Times New Roman"/>
            <w:noProof/>
            <w:sz w:val="24"/>
            <w:szCs w:val="24"/>
          </w:rPr>
          <w:t>Portugalii</w:t>
        </w:r>
      </w:hyperlink>
      <w:r>
        <w:rPr>
          <w:rFonts w:ascii="Times New Roman" w:hAnsi="Times New Roman"/>
          <w:noProof/>
          <w:sz w:val="24"/>
          <w:szCs w:val="24"/>
        </w:rPr>
        <w:t xml:space="preserve">, we </w:t>
      </w:r>
      <w:hyperlink r:id="rId154" w:history="1">
        <w:r>
          <w:rPr>
            <w:rStyle w:val="Hyperlink"/>
            <w:rFonts w:ascii="Times New Roman" w:hAnsi="Times New Roman"/>
            <w:noProof/>
            <w:sz w:val="24"/>
            <w:szCs w:val="24"/>
          </w:rPr>
          <w:t>Francji</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Włoszech</w:t>
        </w:r>
      </w:hyperlink>
      <w:r>
        <w:rPr>
          <w:rFonts w:ascii="Times New Roman" w:hAnsi="Times New Roman"/>
          <w:noProof/>
          <w:sz w:val="24"/>
          <w:szCs w:val="24"/>
        </w:rPr>
        <w:t xml:space="preserve"> i na </w:t>
      </w:r>
      <w:hyperlink r:id="rId156" w:history="1">
        <w:r>
          <w:rPr>
            <w:rStyle w:val="Hyperlink"/>
            <w:rFonts w:ascii="Times New Roman" w:hAnsi="Times New Roman"/>
            <w:noProof/>
            <w:sz w:val="24"/>
            <w:szCs w:val="24"/>
          </w:rPr>
          <w:t>Litwie</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do wydania wytycznych dotyczących zwalczania tego ryzyka lub do przeprowadzenia ukierunkowanych audytów, takich jak w </w:t>
      </w:r>
      <w:hyperlink r:id="rId157" w:history="1">
        <w:r>
          <w:rPr>
            <w:rStyle w:val="Hyperlink"/>
            <w:rFonts w:ascii="Times New Roman" w:hAnsi="Times New Roman"/>
            <w:noProof/>
            <w:sz w:val="24"/>
            <w:szCs w:val="24"/>
          </w:rPr>
          <w:t>Austrii</w:t>
        </w:r>
      </w:hyperlink>
      <w:r>
        <w:rPr>
          <w:noProof/>
        </w:rPr>
        <w:t xml:space="preserve"> </w:t>
      </w:r>
      <w:r>
        <w:rPr>
          <w:rFonts w:ascii="Times New Roman" w:hAnsi="Times New Roman"/>
          <w:noProof/>
          <w:sz w:val="24"/>
          <w:szCs w:val="24"/>
        </w:rPr>
        <w:t>lub</w:t>
      </w:r>
      <w:r>
        <w:rPr>
          <w:noProof/>
        </w:rPr>
        <w:t xml:space="preserve"> </w:t>
      </w:r>
      <w:hyperlink r:id="rId158" w:history="1">
        <w:r>
          <w:rPr>
            <w:rStyle w:val="Hyperlink"/>
            <w:rFonts w:ascii="Times New Roman" w:hAnsi="Times New Roman"/>
            <w:noProof/>
            <w:sz w:val="24"/>
            <w:szCs w:val="24"/>
          </w:rPr>
          <w:t>Rumunii</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Pluralizm mediów i wolność mediów</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Pluralizm mediów i wolność mediów to kluczowe czynniki sprzyjające praworządności, demokratycznej rozliczalności i walce z korupcją. Państwa członkowskie mają obowiązek zapewnienia sprzyjających warunków dla dziennikarzy</w:t>
      </w:r>
      <w:r>
        <w:rPr>
          <w:rFonts w:ascii="Times New Roman" w:hAnsi="Times New Roman"/>
          <w:noProof/>
          <w:color w:val="404040"/>
          <w:sz w:val="24"/>
          <w:szCs w:val="24"/>
        </w:rPr>
        <w:t xml:space="preserve">, </w:t>
      </w:r>
      <w:r>
        <w:rPr>
          <w:rFonts w:ascii="Times New Roman" w:hAnsi="Times New Roman"/>
          <w:noProof/>
          <w:color w:val="000000" w:themeColor="text1"/>
          <w:sz w:val="24"/>
          <w:szCs w:val="24"/>
        </w:rPr>
        <w:t xml:space="preserve">ochrony ich bezpieczeństwa </w:t>
      </w:r>
      <w:r>
        <w:rPr>
          <w:rFonts w:ascii="Times New Roman" w:hAnsi="Times New Roman"/>
          <w:noProof/>
          <w:sz w:val="24"/>
          <w:szCs w:val="24"/>
        </w:rPr>
        <w:t>i</w:t>
      </w:r>
      <w:r>
        <w:rPr>
          <w:rFonts w:ascii="Times New Roman" w:hAnsi="Times New Roman"/>
          <w:noProof/>
          <w:color w:val="000000" w:themeColor="text1"/>
          <w:sz w:val="24"/>
          <w:szCs w:val="24"/>
        </w:rPr>
        <w:t> </w:t>
      </w:r>
      <w:r>
        <w:rPr>
          <w:rFonts w:ascii="Times New Roman" w:hAnsi="Times New Roman"/>
          <w:noProof/>
          <w:sz w:val="24"/>
          <w:szCs w:val="24"/>
        </w:rPr>
        <w:t>promowania wolności mediów i pluralizmu mediów. W niniejszej sekcji skoncentrowano się na obszarach, w których decyzje polityczne i polityka mogą mieć potężny wpływ na zdolność mediów do odgrywania swojej roli.</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Monitor pluralizmu mediów </w:t>
      </w:r>
    </w:p>
    <w:p>
      <w:pPr>
        <w:spacing w:after="120" w:line="240" w:lineRule="auto"/>
        <w:jc w:val="both"/>
        <w:rPr>
          <w:noProof/>
        </w:rPr>
      </w:pPr>
      <w:r>
        <w:rPr>
          <w:rFonts w:ascii="Times New Roman" w:hAnsi="Times New Roman"/>
          <w:noProof/>
          <w:sz w:val="24"/>
          <w:szCs w:val="24"/>
        </w:rPr>
        <w:t>Monitor pluralizmu mediów</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ocenia zagrożenia dla wolności i pluralizmu mediów we wszystkich państwach członkowskich, koncentrując się na czterech obszarach: podstawowej ochronie wolności mediów, pluralizmie rynku, niezależności politycznej i włączeniu społecznym mediów. Wyniki zawarte w najnowszym monitorze (MPM 2021) wskazują na pogorszenie się sytuacji w porównaniu z wynikami z MPM 2020 w zakresie trzech głównych wskaźników: wolność wypowiedzi, ochrona prawa do informacji i zawodu dziennikarza oraz ochrona dziennikarzy. Po raz kolejny reakcja kilku rządów na pandemię COVID-19 miała wpływ na ten wynik. Chociaż wyniki potwierdzają, że nie wszystkie organy regulacyjne ds. mediów można uznać za wolne od wpływów zarówno ze względu na sposób powoływania ich zarządów, jak i w czasie wykonywania ich kompetencji, nastąpiła nieznaczna poprawa. Przejrzystość własności mediów w państwach członkowskich nadal stanowi średnio umiarkowane ryzyko wynikające z braku skuteczności przepisów prawnych oraz faktu, że informacje są udostępniane jedynie podmiotom publicznym, ale nie społeczeństwu. Jak stwierdzono w rozdziałach dotyczących poszczególnych państw, w tych samych sześciu państwach członkowskich, które wskazano w 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niezależność polityczna mediów jest z wielu powodów uważana za obszar wysokiego ryzyka. </w:t>
      </w:r>
    </w:p>
    <w:p>
      <w:pPr>
        <w:pStyle w:val="Heading3"/>
        <w:spacing w:after="0"/>
        <w:rPr>
          <w:noProof/>
        </w:rPr>
      </w:pPr>
      <w:r>
        <w:rPr>
          <w:noProof/>
        </w:rPr>
        <w:t xml:space="preserve">Wdrażane reformy mające na celu wzmocnienie niezależności organów regulacyjnych ds. mediów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Krajowe organy regulacyjne ds. mediów odgrywają kluczową rolę w zapewnianiu poszanowania pluralizmu mediów. Jak podkreślono w sprawozdaniu na temat praworządności z 2020 r., przy wdrażaniu regulacji dotyczących mediów i podejmowaniu decyzji dotyczących polityki medialnej niezależność mediów od interesów ekonomicznych i politycznych ma bezpośredni wpływ na pluralizm rynku i polityczną niezależność środowiska medialnego. We wszystkich państwach członkowskich obowiązują przepisy określające kompetencje i niezależność organów regulacyjnych ds. mediów. </w:t>
      </w:r>
      <w:r>
        <w:rPr>
          <w:rFonts w:ascii="Times New Roman" w:hAnsi="Times New Roman"/>
          <w:noProof/>
          <w:sz w:val="24"/>
          <w:szCs w:val="24"/>
        </w:rPr>
        <w:t>Dyrektywa o audiowizualnych usługach medialnych</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zawiera szczegółowe wymogi służące wzmocnieniu niezależności krajowych organów ds. mediów</w:t>
      </w:r>
      <w:r>
        <w:rPr>
          <w:rFonts w:ascii="Times New Roman" w:hAnsi="Times New Roman"/>
          <w:noProof/>
          <w:color w:val="000000" w:themeColor="text1"/>
          <w:sz w:val="24"/>
          <w:szCs w:val="24"/>
        </w:rPr>
        <w:t xml:space="preserve">. Od czasu publikacji pierwszego sprawozdania, w kontekście transpozycji dyrektywy, niektóre państwa członkowskie, takie jak </w:t>
      </w:r>
      <w:hyperlink r:id="rId159" w:history="1">
        <w:r>
          <w:rPr>
            <w:rStyle w:val="Hyperlink"/>
            <w:rFonts w:ascii="Times New Roman" w:hAnsi="Times New Roman"/>
            <w:noProof/>
            <w:sz w:val="24"/>
            <w:szCs w:val="24"/>
          </w:rPr>
          <w:t>Belgia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Bułgaria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Grecja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Łotwa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Luksemburg</w:t>
        </w:r>
      </w:hyperlink>
      <w:r>
        <w:rPr>
          <w:rFonts w:ascii="Times New Roman" w:hAnsi="Times New Roman"/>
          <w:noProof/>
          <w:color w:val="000000" w:themeColor="text1"/>
          <w:sz w:val="24"/>
          <w:szCs w:val="24"/>
        </w:rPr>
        <w:t xml:space="preserve"> i </w:t>
      </w:r>
      <w:hyperlink r:id="rId164" w:history="1">
        <w:r>
          <w:rPr>
            <w:rStyle w:val="Hyperlink"/>
            <w:rFonts w:ascii="Times New Roman" w:hAnsi="Times New Roman"/>
            <w:noProof/>
            <w:sz w:val="24"/>
            <w:szCs w:val="24"/>
          </w:rPr>
          <w:t>Szwecja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wprowadziły nowe ustawodawstwo, które powinno dodatkowo wzmocnić niezależność ich organów regulacyjnych ds. mediów. Inne państwa członkowskie (</w:t>
      </w:r>
      <w:hyperlink r:id="rId165" w:history="1">
        <w:r>
          <w:rPr>
            <w:rStyle w:val="Hyperlink"/>
            <w:rFonts w:ascii="Times New Roman" w:hAnsi="Times New Roman"/>
            <w:noProof/>
            <w:sz w:val="24"/>
            <w:szCs w:val="24"/>
          </w:rPr>
          <w:t>Czechy</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Cypr</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Estonia</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Francja</w:t>
        </w:r>
      </w:hyperlink>
      <w:r>
        <w:rPr>
          <w:rFonts w:ascii="Times New Roman" w:hAnsi="Times New Roman"/>
          <w:noProof/>
          <w:color w:val="000000" w:themeColor="text1"/>
          <w:sz w:val="24"/>
          <w:szCs w:val="24"/>
        </w:rPr>
        <w:t xml:space="preserve"> i </w:t>
      </w:r>
      <w:hyperlink r:id="rId169" w:history="1">
        <w:r>
          <w:rPr>
            <w:rStyle w:val="Hyperlink"/>
            <w:rFonts w:ascii="Times New Roman" w:hAnsi="Times New Roman"/>
            <w:noProof/>
            <w:sz w:val="24"/>
            <w:szCs w:val="24"/>
          </w:rPr>
          <w:t>Polska</w:t>
        </w:r>
      </w:hyperlink>
      <w:r>
        <w:rPr>
          <w:rFonts w:ascii="Times New Roman" w:hAnsi="Times New Roman"/>
          <w:noProof/>
          <w:color w:val="000000" w:themeColor="text1"/>
          <w:sz w:val="24"/>
          <w:szCs w:val="24"/>
        </w:rPr>
        <w:t xml:space="preserve">) przedstawiły takie ustawodawstwo lub są w trakcie jego przygotowywania.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Utrzymują się obawy co do funkcjonalnej niezależności i skuteczności niektórych organów regulacyjnych. Na przykład w </w:t>
      </w:r>
      <w:hyperlink r:id="rId170" w:history="1">
        <w:r>
          <w:rPr>
            <w:rStyle w:val="Hyperlink"/>
            <w:rFonts w:ascii="Times New Roman" w:hAnsi="Times New Roman"/>
            <w:noProof/>
            <w:sz w:val="24"/>
            <w:szCs w:val="24"/>
          </w:rPr>
          <w:t>Rumunii</w:t>
        </w:r>
      </w:hyperlink>
      <w:r>
        <w:rPr>
          <w:rFonts w:ascii="Times New Roman" w:hAnsi="Times New Roman"/>
          <w:noProof/>
          <w:color w:val="000000" w:themeColor="text1"/>
          <w:sz w:val="24"/>
          <w:szCs w:val="24"/>
        </w:rPr>
        <w:t xml:space="preserve"> pracę organu regulacyjnego utrudniał fakt, że nie powołano nowych członków po wygaśnięciu mandatów kilku poprzednich, i niewystarczające zasoby. W </w:t>
      </w:r>
      <w:hyperlink r:id="rId171" w:history="1">
        <w:r>
          <w:rPr>
            <w:rStyle w:val="Hyperlink"/>
            <w:rFonts w:ascii="Times New Roman" w:hAnsi="Times New Roman"/>
            <w:noProof/>
            <w:sz w:val="24"/>
            <w:szCs w:val="24"/>
          </w:rPr>
          <w:t>Hiszpanii</w:t>
        </w:r>
      </w:hyperlink>
      <w:r>
        <w:rPr>
          <w:rFonts w:ascii="Times New Roman" w:hAnsi="Times New Roman"/>
          <w:noProof/>
          <w:color w:val="000000" w:themeColor="text1"/>
          <w:sz w:val="24"/>
          <w:szCs w:val="24"/>
        </w:rPr>
        <w:t xml:space="preserve"> i </w:t>
      </w:r>
      <w:hyperlink r:id="rId172" w:history="1">
        <w:r>
          <w:rPr>
            <w:rStyle w:val="Hyperlink"/>
            <w:rFonts w:ascii="Times New Roman" w:hAnsi="Times New Roman"/>
            <w:noProof/>
            <w:sz w:val="24"/>
            <w:szCs w:val="24"/>
          </w:rPr>
          <w:t>Słowenii</w:t>
        </w:r>
      </w:hyperlink>
      <w:r>
        <w:rPr>
          <w:rFonts w:ascii="Times New Roman" w:hAnsi="Times New Roman"/>
          <w:noProof/>
          <w:color w:val="000000" w:themeColor="text1"/>
          <w:sz w:val="24"/>
          <w:szCs w:val="24"/>
        </w:rPr>
        <w:t xml:space="preserve"> również wystąpiły obawy co do adekwatności zasobów organu regulacyjnego. Wpływ polityczny w procesie nominacji lub brak skutecznych zabezpieczeń przed ingerencją polityczną nadal wzbudzają obawy w niektórych państwach członkowskich, pomimo formalnej niezależności zapisanej w prawie. Dotyczy to takich państw członkowskich jak </w:t>
      </w:r>
      <w:hyperlink r:id="rId173" w:history="1">
        <w:r>
          <w:rPr>
            <w:rStyle w:val="Hyperlink"/>
            <w:rFonts w:ascii="Times New Roman" w:hAnsi="Times New Roman"/>
            <w:noProof/>
            <w:sz w:val="24"/>
            <w:szCs w:val="24"/>
          </w:rPr>
          <w:t>Chorwacja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Słowacja</w:t>
        </w:r>
      </w:hyperlink>
      <w:r>
        <w:rPr>
          <w:rFonts w:ascii="Times New Roman" w:hAnsi="Times New Roman"/>
          <w:noProof/>
          <w:color w:val="000000" w:themeColor="text1"/>
          <w:sz w:val="24"/>
          <w:szCs w:val="24"/>
        </w:rPr>
        <w:t xml:space="preserve"> i </w:t>
      </w:r>
      <w:hyperlink r:id="rId176" w:history="1">
        <w:r>
          <w:rPr>
            <w:rStyle w:val="Hyperlink"/>
            <w:rFonts w:ascii="Times New Roman" w:hAnsi="Times New Roman"/>
            <w:noProof/>
            <w:sz w:val="24"/>
            <w:szCs w:val="24"/>
          </w:rPr>
          <w:t>Węgry</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Usprawnienia i przeszkody związane z przejrzystością własności mediów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Przejrzystość własności mediów jest podstawowym warunkiem wstępnym każdej wiarygodnej analizy pluralizmu rynków medialnych oraz umożliwienia społeczeństwu oceny informacji i opinii rozpowszechnianych przez media. W normach międzynarodowych</w:t>
      </w:r>
      <w:r>
        <w:rPr>
          <w:rStyle w:val="FootnoteReference"/>
          <w:rFonts w:ascii="Times New Roman" w:hAnsi="Times New Roman" w:cs="Times New Roman"/>
          <w:noProof/>
          <w:sz w:val="24"/>
          <w:szCs w:val="24"/>
        </w:rPr>
        <w:footnoteReference w:id="46"/>
      </w:r>
      <w:r>
        <w:rPr>
          <w:rFonts w:ascii="Times New Roman" w:hAnsi="Times New Roman"/>
          <w:noProof/>
          <w:color w:val="000000" w:themeColor="text1"/>
          <w:sz w:val="24"/>
          <w:szCs w:val="24"/>
        </w:rPr>
        <w:t xml:space="preserve"> i przepisach UE</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państwa członkowskie zachęca się do przyjęcia szczególnych środków w tym obszarze. Od czasu opublikowania ostatniego sprawozdania w </w:t>
      </w:r>
      <w:hyperlink r:id="rId177" w:history="1">
        <w:r>
          <w:rPr>
            <w:rStyle w:val="Hyperlink"/>
            <w:rFonts w:ascii="Times New Roman" w:hAnsi="Times New Roman"/>
            <w:noProof/>
            <w:sz w:val="24"/>
            <w:szCs w:val="24"/>
          </w:rPr>
          <w:t>Grecji</w:t>
        </w:r>
      </w:hyperlink>
      <w:r>
        <w:rPr>
          <w:rFonts w:ascii="Times New Roman" w:hAnsi="Times New Roman"/>
          <w:noProof/>
          <w:color w:val="000000" w:themeColor="text1"/>
          <w:sz w:val="24"/>
          <w:szCs w:val="24"/>
        </w:rPr>
        <w:t xml:space="preserve"> przyjęto nowe ustawodawstwo mające na celu zwiększenie przejrzystości własności mediów i publicznej dostępności informacji na temat własności mediów. W </w:t>
      </w:r>
      <w:hyperlink r:id="rId178" w:history="1">
        <w:r>
          <w:rPr>
            <w:rStyle w:val="Hyperlink"/>
            <w:rFonts w:ascii="Times New Roman" w:hAnsi="Times New Roman"/>
            <w:noProof/>
            <w:sz w:val="24"/>
            <w:szCs w:val="24"/>
          </w:rPr>
          <w:t>Finlandii</w:t>
        </w:r>
      </w:hyperlink>
      <w:r>
        <w:rPr>
          <w:rFonts w:ascii="Times New Roman" w:hAnsi="Times New Roman"/>
          <w:noProof/>
          <w:color w:val="000000" w:themeColor="text1"/>
          <w:sz w:val="24"/>
          <w:szCs w:val="24"/>
        </w:rPr>
        <w:t xml:space="preserve"> nowe szczególne przepisy zobowiązują dostawców usług medialnych do publicznego udostępniania informacji dotyczących ich struktury właścicielskiej. W innych państwach członkowskich przygotowywane są przepisy mające na celu zwiększenie przejrzystości własności mediów, a w kilku nastąpiła poprawa dostępności informacji. Na przykład w </w:t>
      </w:r>
      <w:hyperlink r:id="rId179" w:history="1">
        <w:r>
          <w:rPr>
            <w:rStyle w:val="Hyperlink"/>
            <w:rFonts w:ascii="Times New Roman" w:hAnsi="Times New Roman"/>
            <w:noProof/>
            <w:sz w:val="24"/>
            <w:szCs w:val="24"/>
          </w:rPr>
          <w:t>Irlandii</w:t>
        </w:r>
      </w:hyperlink>
      <w:r>
        <w:rPr>
          <w:rFonts w:ascii="Times New Roman" w:hAnsi="Times New Roman"/>
          <w:noProof/>
          <w:color w:val="000000" w:themeColor="text1"/>
          <w:sz w:val="24"/>
          <w:szCs w:val="24"/>
        </w:rPr>
        <w:t xml:space="preserve"> utworzono bazę danych z możliwością wyszukiwania zawierającą informacje na temat własności mediów, co ułatwia sprawowanie nadzoru publicznego. </w:t>
      </w:r>
      <w:hyperlink r:id="rId180" w:history="1">
        <w:r>
          <w:rPr>
            <w:rStyle w:val="Hyperlink"/>
            <w:rFonts w:ascii="Times New Roman" w:hAnsi="Times New Roman"/>
            <w:noProof/>
            <w:sz w:val="24"/>
            <w:szCs w:val="24"/>
          </w:rPr>
          <w:t>Litwa</w:t>
        </w:r>
      </w:hyperlink>
      <w:r>
        <w:rPr>
          <w:rFonts w:ascii="Times New Roman" w:hAnsi="Times New Roman"/>
          <w:noProof/>
          <w:color w:val="000000" w:themeColor="text1"/>
          <w:sz w:val="24"/>
          <w:szCs w:val="24"/>
        </w:rPr>
        <w:t xml:space="preserve"> opracowuje publicznie dostępny system informacyjny służący ujawnianiu informacji na temat własności oraz, docelowo, na temat dochodów uzyskiwanych z reklam państwowych.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kilku państwach członkowskich istnieją obawy związane z brakiem przejrzystości rzeczywistych struktur własności, wynikające w szczególności z praktycznych problemów z identyfikacją właścicieli rzeczywistych. </w:t>
      </w:r>
      <w:r>
        <w:rPr>
          <w:rFonts w:ascii="Times New Roman" w:hAnsi="Times New Roman"/>
          <w:noProof/>
          <w:sz w:val="24"/>
          <w:szCs w:val="24"/>
        </w:rPr>
        <w:t>W</w:t>
      </w:r>
      <w:r>
        <w:rPr>
          <w:noProof/>
        </w:rPr>
        <w:t xml:space="preserve"> </w:t>
      </w:r>
      <w:hyperlink r:id="rId181" w:history="1">
        <w:r>
          <w:rPr>
            <w:rStyle w:val="Hyperlink"/>
            <w:rFonts w:ascii="Times New Roman" w:hAnsi="Times New Roman"/>
            <w:noProof/>
            <w:sz w:val="24"/>
            <w:szCs w:val="24"/>
          </w:rPr>
          <w:t xml:space="preserve">Słowenii </w:t>
        </w:r>
      </w:hyperlink>
      <w:r>
        <w:rPr>
          <w:rFonts w:ascii="Times New Roman" w:hAnsi="Times New Roman"/>
          <w:noProof/>
          <w:sz w:val="24"/>
          <w:szCs w:val="24"/>
        </w:rPr>
        <w:t xml:space="preserve"> obowiązują przepisy szczegółowe dotyczące przejrzystości, ale nadal istnieją obawy, że zidentyfikowanie właścicieli rzeczywistych w rejestrze mediów może nie zawsze być możliwe.</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Czechy</w:t>
        </w:r>
      </w:hyperlink>
      <w:r>
        <w:rPr>
          <w:rFonts w:ascii="Times New Roman" w:hAnsi="Times New Roman"/>
          <w:noProof/>
          <w:color w:val="000000" w:themeColor="text1"/>
          <w:sz w:val="24"/>
          <w:szCs w:val="24"/>
        </w:rPr>
        <w:t xml:space="preserve"> przyjęły ustawodawstwo, które gwarantuje publiczny dostęp za pośrednictwem rejestru do ograniczonej ilości informacji na temat własności wszystkich przedsiębiorstw, w tym mediów, ale nadal pozostają obawy, że system ten nie zobowiązuje przedsiębiorstw medialnych do ujawnienia ich pełnej struktury właścicielskiej. W </w:t>
      </w:r>
      <w:hyperlink r:id="rId183" w:history="1">
        <w:r>
          <w:rPr>
            <w:rStyle w:val="Hyperlink"/>
            <w:rFonts w:ascii="Times New Roman" w:hAnsi="Times New Roman"/>
            <w:noProof/>
            <w:sz w:val="24"/>
            <w:szCs w:val="24"/>
          </w:rPr>
          <w:t>Bułgarii</w:t>
        </w:r>
      </w:hyperlink>
      <w:r>
        <w:rPr>
          <w:rFonts w:ascii="Times New Roman" w:hAnsi="Times New Roman"/>
          <w:noProof/>
          <w:color w:val="000000" w:themeColor="text1"/>
          <w:sz w:val="24"/>
          <w:szCs w:val="24"/>
        </w:rPr>
        <w:t xml:space="preserve"> powodem do obaw pozostaje brak przejrzystości w zakresie własności mediów, ponieważ dane dotyczące własności mediów nadal nie są w pełni ujawniane opinii publicznej.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Ryzyko dla przejrzystości i sprawiedliwy przydział reklam państwowych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Przejrzyste zasady i sprawiedliwe kryteria zmniejszają ryzyko faworyzowania przy podziale reklam państwowych. Brak takich zasad zwiększa ryzyko, że środki publiczne będą przyznawane konkretnym środkom masowego przekazu w sposób stronniczy i może umożliwić wywieranie pośredniego wpływu politycznego na media, co naruszy ich niezależność.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sprawozdaniu z 2020 r. zwrócono uwagę na brak szczególnych przepisów w tej kwestii w wielu państwach członkowskich. Sytuacja ta nie uległa zmianie pomimo faktu, że władze centralne lub lokalne w szeregu państw członkowskich wciąż przeznaczały znaczne sumy dochodów z reklam na rzecz mediów. W </w:t>
      </w:r>
      <w:hyperlink r:id="rId184" w:history="1">
        <w:r>
          <w:rPr>
            <w:rStyle w:val="Hyperlink"/>
            <w:rFonts w:ascii="Times New Roman" w:hAnsi="Times New Roman"/>
            <w:noProof/>
            <w:sz w:val="24"/>
            <w:szCs w:val="24"/>
          </w:rPr>
          <w:t>Austrii</w:t>
        </w:r>
      </w:hyperlink>
      <w:r>
        <w:rPr>
          <w:rFonts w:ascii="Times New Roman" w:hAnsi="Times New Roman"/>
          <w:noProof/>
          <w:sz w:val="24"/>
          <w:szCs w:val="24"/>
        </w:rPr>
        <w:t xml:space="preserve"> </w:t>
      </w:r>
      <w:r>
        <w:rPr>
          <w:rFonts w:ascii="Times New Roman" w:hAnsi="Times New Roman"/>
          <w:noProof/>
          <w:color w:val="000000" w:themeColor="text1"/>
          <w:sz w:val="24"/>
          <w:szCs w:val="24"/>
        </w:rPr>
        <w:t xml:space="preserve">dużym ilościom reklam państwowych w mediach towarzyszą nieustanne obawy o przejrzystość i sprawiedliwość przydziału oraz niedostateczną uwagę poświęcaną pluralizmowi mediów. W </w:t>
      </w:r>
      <w:hyperlink r:id="rId185" w:history="1">
        <w:r>
          <w:rPr>
            <w:rStyle w:val="Hyperlink"/>
            <w:rFonts w:ascii="Times New Roman" w:hAnsi="Times New Roman"/>
            <w:noProof/>
            <w:sz w:val="24"/>
            <w:szCs w:val="24"/>
          </w:rPr>
          <w:t>Chorwacji</w:t>
        </w:r>
      </w:hyperlink>
      <w:r>
        <w:rPr>
          <w:rFonts w:ascii="Times New Roman" w:hAnsi="Times New Roman"/>
          <w:noProof/>
          <w:color w:val="000000" w:themeColor="text1"/>
          <w:sz w:val="24"/>
          <w:szCs w:val="24"/>
        </w:rPr>
        <w:t xml:space="preserve">, chociaż kwestia reklam państwowych jest częściowo uregulowana, zainteresowane strony zgłaszają, że często naruszają one niezależność polityczną środków masowego przekazu, które są ekonomicznie zależne od takiego finansowania, w szczególności na poziomie lokalnym. W </w:t>
      </w:r>
      <w:hyperlink r:id="rId186" w:history="1">
        <w:r>
          <w:rPr>
            <w:rStyle w:val="Hyperlink"/>
            <w:rFonts w:ascii="Times New Roman" w:hAnsi="Times New Roman"/>
            <w:noProof/>
            <w:sz w:val="24"/>
            <w:szCs w:val="24"/>
          </w:rPr>
          <w:t>Bułgarii</w:t>
        </w:r>
      </w:hyperlink>
      <w:r>
        <w:rPr>
          <w:rFonts w:ascii="Times New Roman" w:hAnsi="Times New Roman"/>
          <w:noProof/>
          <w:color w:val="000000" w:themeColor="text1"/>
          <w:sz w:val="24"/>
          <w:szCs w:val="24"/>
        </w:rPr>
        <w:t xml:space="preserve"> brak regulacyjnych zabezpieczeń sprawiedliwego i przejrzystego przydziału reklam państwowych łączy się z obawami dotyczącymi przejrzystości przy przyznawaniu finansowania publicznego środkom masowego przekazu. Na </w:t>
      </w:r>
      <w:hyperlink r:id="rId187" w:history="1">
        <w:r>
          <w:rPr>
            <w:rStyle w:val="Hyperlink"/>
            <w:rFonts w:ascii="Times New Roman" w:hAnsi="Times New Roman"/>
            <w:noProof/>
            <w:sz w:val="24"/>
            <w:szCs w:val="24"/>
          </w:rPr>
          <w:t>Węgrzech</w:t>
        </w:r>
      </w:hyperlink>
      <w:r>
        <w:rPr>
          <w:rFonts w:ascii="Times New Roman" w:hAnsi="Times New Roman"/>
          <w:noProof/>
          <w:color w:val="000000" w:themeColor="text1"/>
          <w:sz w:val="24"/>
          <w:szCs w:val="24"/>
        </w:rPr>
        <w:t xml:space="preserve"> przydział reklam państwowych nadal umożliwia rządowi wywieranie pośredniego wpływu politycznego na media, przy czym państwo jest największym reklamodawcą w kraju, a zdecydowana większość dochodów trafia do przedsiębiorstw medialnych popierających rząd. W </w:t>
      </w:r>
      <w:hyperlink r:id="rId188" w:history="1">
        <w:r>
          <w:rPr>
            <w:rStyle w:val="Hyperlink"/>
            <w:rFonts w:ascii="Times New Roman" w:hAnsi="Times New Roman"/>
            <w:noProof/>
            <w:sz w:val="24"/>
            <w:szCs w:val="24"/>
          </w:rPr>
          <w:t>Polsce</w:t>
        </w:r>
      </w:hyperlink>
      <w:r>
        <w:rPr>
          <w:rFonts w:ascii="Times New Roman" w:hAnsi="Times New Roman"/>
          <w:noProof/>
          <w:color w:val="000000" w:themeColor="text1"/>
          <w:sz w:val="24"/>
          <w:szCs w:val="24"/>
        </w:rPr>
        <w:t xml:space="preserve"> reklamy państwowe wydają się być kierowane głównie do tych środków masowego przekazu, które uważa się za popierające rząd.</w:t>
      </w:r>
    </w:p>
    <w:p>
      <w:pPr>
        <w:pStyle w:val="Heading3"/>
        <w:spacing w:after="0"/>
        <w:rPr>
          <w:noProof/>
        </w:rPr>
      </w:pPr>
      <w:r>
        <w:rPr>
          <w:noProof/>
        </w:rPr>
        <w:t xml:space="preserve">Presja polityczna i wpływ polityczny wywierane na media </w:t>
      </w:r>
    </w:p>
    <w:p>
      <w:pPr>
        <w:pStyle w:val="BodyText3"/>
        <w:spacing w:line="240" w:lineRule="auto"/>
        <w:rPr>
          <w:noProof/>
        </w:rPr>
      </w:pPr>
      <w:r>
        <w:rPr>
          <w:noProof/>
        </w:rPr>
        <w:t xml:space="preserve">Podatność na zagrożenia wzrasta, gdy w niebezpieczeństwie jest polityczna niezależność mediów, w obliczu braku regulacji zabezpieczającej przed ingerencją polityczną lub jeżeli przepisy umożliwiają podmiotom politycznym obejmowanie własności mediów. Od czasu publikacji ostatniego sprawozdania wywieranie presji politycznej na media miało miejsce w wielu przypadkach. W </w:t>
      </w:r>
      <w:hyperlink r:id="rId189" w:history="1">
        <w:r>
          <w:rPr>
            <w:rStyle w:val="Hyperlink"/>
            <w:noProof/>
          </w:rPr>
          <w:t>Czechach</w:t>
        </w:r>
      </w:hyperlink>
      <w:r>
        <w:rPr>
          <w:noProof/>
        </w:rPr>
        <w:t xml:space="preserve"> kontrowersje polityczne wciąż wywierają wpływ na radę nadzorczą czeskiej telewizji. Na </w:t>
      </w:r>
      <w:hyperlink r:id="rId190" w:history="1">
        <w:r>
          <w:rPr>
            <w:rStyle w:val="Hyperlink"/>
            <w:noProof/>
          </w:rPr>
          <w:t>Malcie</w:t>
        </w:r>
      </w:hyperlink>
      <w:r>
        <w:rPr>
          <w:noProof/>
        </w:rPr>
        <w:t xml:space="preserve">, ze względu na fakt że dwie główne partie polityczne posiadają własne stacje telewizyjne i radiowe, wniesiono sprawę konstytucyjną, w której zaskarżono odpowiednią sekcję maltańskiej ustawy o radiofonii i telewizji, argumentując to sposobem, w jaki przepisy te są stosowane przez organ regulacyjny ds. mediów. W </w:t>
      </w:r>
      <w:hyperlink r:id="rId191" w:history="1">
        <w:r>
          <w:rPr>
            <w:rStyle w:val="Hyperlink"/>
            <w:noProof/>
          </w:rPr>
          <w:t>Słowenii</w:t>
        </w:r>
      </w:hyperlink>
      <w:r>
        <w:rPr>
          <w:noProof/>
        </w:rPr>
        <w:t xml:space="preserve"> zainteresowane strony postrzegają możliwe zmiany w finansowaniu nadawcy publicznego oraz presję wywieraną na krajową agencję prasową jako umotywowane politycznie. W </w:t>
      </w:r>
      <w:hyperlink r:id="rId192" w:history="1">
        <w:r>
          <w:rPr>
            <w:rStyle w:val="Hyperlink"/>
            <w:noProof/>
          </w:rPr>
          <w:t>Polsce</w:t>
        </w:r>
      </w:hyperlink>
      <w:r>
        <w:rPr>
          <w:noProof/>
        </w:rPr>
        <w:t xml:space="preserve"> potencjalne przejęcie dużej prywatnej grupy prasowej przez kontrolowany przez państwo koncern naftowy wzbudziło obawy jako potencjalne zagrożenie dla pluralizmu na rynku mediów. W </w:t>
      </w:r>
      <w:hyperlink r:id="rId193" w:history="1">
        <w:r>
          <w:rPr>
            <w:rStyle w:val="Hyperlink"/>
            <w:noProof/>
          </w:rPr>
          <w:t>Bułgarii</w:t>
        </w:r>
      </w:hyperlink>
      <w:r>
        <w:rPr>
          <w:noProof/>
        </w:rPr>
        <w:t xml:space="preserve"> wpływ polityczny na media nadal wywołuje obawy, również ze względu na brak przepisów uniemożliwiających politykom i partiom politycznym posiadanie środków masowego przekazu. Na </w:t>
      </w:r>
      <w:hyperlink r:id="rId194" w:history="1">
        <w:r>
          <w:rPr>
            <w:rStyle w:val="Hyperlink"/>
            <w:noProof/>
          </w:rPr>
          <w:t>Węgrzech</w:t>
        </w:r>
      </w:hyperlink>
      <w:r>
        <w:rPr>
          <w:noProof/>
        </w:rPr>
        <w:t xml:space="preserve"> Rada ds. Mediów przyjęła szereg decyzji, których skutkiem było zamknięcie jednej z ostatnich niezależnych węgierskich stacji radiowych</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Dostęp do informacji jest podstawowym narzędziem mediów, społeczeństwa obywatelskiego i zaufania publicznego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Prawo dostępu do informacji będących w posiadaniu organów publicznych jest głównym warunkiem wstępnym, aby media, jak również społeczeństwo obywatelskie i ogół społeczeństwa mogły odgrywać swoją rolę w debacie demokratycznej i kontroli instytucji publicznych. Na </w:t>
      </w:r>
      <w:hyperlink r:id="rId195" w:history="1">
        <w:r>
          <w:rPr>
            <w:rStyle w:val="Hyperlink"/>
            <w:rFonts w:ascii="Times New Roman" w:hAnsi="Times New Roman"/>
            <w:noProof/>
            <w:sz w:val="24"/>
            <w:szCs w:val="24"/>
          </w:rPr>
          <w:t>Cyprze</w:t>
        </w:r>
      </w:hyperlink>
      <w:r>
        <w:rPr>
          <w:rFonts w:ascii="Times New Roman" w:hAnsi="Times New Roman"/>
          <w:noProof/>
          <w:sz w:val="24"/>
          <w:szCs w:val="24"/>
        </w:rPr>
        <w:t xml:space="preserve"> w 2020 r. weszły w życie nowe przepisy ustanawiające ramy i warunki dostępu do informacji publicznej, a kilka innych państw członkowskich zamierza uchwalić kompleksowe przepisy dotyczące dostępu do informacji (</w:t>
      </w:r>
      <w:hyperlink r:id="rId196" w:history="1">
        <w:r>
          <w:rPr>
            <w:rStyle w:val="Hyperlink"/>
            <w:rFonts w:ascii="Times New Roman" w:hAnsi="Times New Roman"/>
            <w:noProof/>
            <w:sz w:val="24"/>
            <w:szCs w:val="24"/>
          </w:rPr>
          <w:t>Austria</w:t>
        </w:r>
      </w:hyperlink>
      <w:r>
        <w:rPr>
          <w:rFonts w:ascii="Times New Roman" w:hAnsi="Times New Roman"/>
          <w:noProof/>
          <w:sz w:val="24"/>
          <w:szCs w:val="24"/>
        </w:rPr>
        <w:t>) lub wprowadzające mechanizmy mediacji w sprawie skarg (</w:t>
      </w:r>
      <w:hyperlink r:id="rId197" w:history="1">
        <w:r>
          <w:rPr>
            <w:rStyle w:val="Hyperlink"/>
            <w:rFonts w:ascii="Times New Roman" w:hAnsi="Times New Roman"/>
            <w:noProof/>
            <w:sz w:val="24"/>
            <w:szCs w:val="24"/>
          </w:rPr>
          <w:t>Niderlandy</w:t>
        </w:r>
      </w:hyperlink>
      <w:r>
        <w:rPr>
          <w:rFonts w:ascii="Times New Roman" w:hAnsi="Times New Roman"/>
          <w:noProof/>
          <w:sz w:val="24"/>
          <w:szCs w:val="24"/>
        </w:rPr>
        <w:t xml:space="preserve">). Chociaż dostęp do informacji jest zagwarantowany przepisami prawa we wszystkich państwach członkowskich, w wielu przypadkach wciąż występują praktyczne przeszkody. W </w:t>
      </w:r>
      <w:hyperlink r:id="rId198" w:history="1">
        <w:r>
          <w:rPr>
            <w:rStyle w:val="Hyperlink"/>
            <w:rFonts w:ascii="Times New Roman" w:hAnsi="Times New Roman"/>
            <w:noProof/>
            <w:sz w:val="24"/>
            <w:szCs w:val="24"/>
          </w:rPr>
          <w:t>Rumunii</w:t>
        </w:r>
      </w:hyperlink>
      <w:r>
        <w:rPr>
          <w:rFonts w:ascii="Times New Roman" w:hAnsi="Times New Roman"/>
          <w:noProof/>
          <w:sz w:val="24"/>
          <w:szCs w:val="24"/>
        </w:rPr>
        <w:t xml:space="preserve"> w wyniku regularnego monitorowania przez organy krajowe ujawniono różne sposoby wdrażania w administracji, a także niedostateczne priorytetowe traktowanie środków przejrzystości przez podmioty publiczne, przy czym poziom zgodności z przepisami jest najniższy w przypadku organów lokalnych. W </w:t>
      </w:r>
      <w:hyperlink r:id="rId199" w:history="1">
        <w:r>
          <w:rPr>
            <w:rStyle w:val="Hyperlink"/>
            <w:rFonts w:ascii="Times New Roman" w:hAnsi="Times New Roman"/>
            <w:noProof/>
            <w:sz w:val="24"/>
            <w:szCs w:val="24"/>
          </w:rPr>
          <w:t>Chorwacji</w:t>
        </w:r>
      </w:hyperlink>
      <w:r>
        <w:rPr>
          <w:rFonts w:ascii="Times New Roman" w:hAnsi="Times New Roman"/>
          <w:noProof/>
          <w:sz w:val="24"/>
          <w:szCs w:val="24"/>
        </w:rPr>
        <w:t xml:space="preserve"> podkreślono nieprawidłowości w wykonywaniu decyzji Komisarz ds. Informacji. W </w:t>
      </w:r>
      <w:hyperlink r:id="rId200" w:history="1">
        <w:r>
          <w:rPr>
            <w:rStyle w:val="Hyperlink"/>
            <w:rFonts w:ascii="Times New Roman" w:hAnsi="Times New Roman"/>
            <w:noProof/>
            <w:sz w:val="24"/>
            <w:szCs w:val="24"/>
          </w:rPr>
          <w:t>Luksemburgu</w:t>
        </w:r>
      </w:hyperlink>
      <w:r>
        <w:rPr>
          <w:rFonts w:ascii="Times New Roman" w:hAnsi="Times New Roman"/>
          <w:noProof/>
          <w:sz w:val="24"/>
          <w:szCs w:val="24"/>
        </w:rPr>
        <w:t xml:space="preserve"> utrzymują się obawy dotyczące długich procedur uzyskiwania dostępu do dokumentów urzędowych. W </w:t>
      </w:r>
      <w:hyperlink r:id="rId201" w:history="1">
        <w:r>
          <w:rPr>
            <w:rStyle w:val="Hyperlink"/>
            <w:rFonts w:ascii="Times New Roman" w:hAnsi="Times New Roman"/>
            <w:noProof/>
            <w:sz w:val="24"/>
            <w:szCs w:val="24"/>
          </w:rPr>
          <w:t>Danii</w:t>
        </w:r>
      </w:hyperlink>
      <w:r>
        <w:rPr>
          <w:rFonts w:ascii="Times New Roman" w:hAnsi="Times New Roman"/>
          <w:noProof/>
          <w:sz w:val="24"/>
          <w:szCs w:val="24"/>
        </w:rPr>
        <w:t xml:space="preserve"> trwa debata nad istniejącymi ograniczeniami w korzystaniu z prawa dostępu do akt publicznych.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Ochrona dziennikarzy przed groźbami i atakami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szCs w:val="24"/>
        </w:rPr>
        <w:t>Konieczność rozwiązania kwestii bezpieczeństwa dziennikarzy w całej UE uwidoczniły niedawne sprawy, w których toczy się obecnie dochodzenie, takie jak zabójstwo</w:t>
      </w:r>
      <w:r>
        <w:rPr>
          <w:rFonts w:ascii="Times New Roman" w:hAnsi="Times New Roman"/>
          <w:noProof/>
          <w:color w:val="000000" w:themeColor="text1"/>
          <w:sz w:val="24"/>
          <w:szCs w:val="24"/>
        </w:rPr>
        <w:t xml:space="preserve"> greckiego dziennikarza Giorgiosa Karaivaza w kwietniu 2021 r. oraz zabójstwo niderlandzkiego dziennikarza Petera R. de Vriesa w lipcu 2021 r. Wielu dziennikarzy wciąż jest obiektem gróźb i ataków, w szczególności podczas prowadzenia dochodzeń w sprawach przestępstw i korupcji. Na </w:t>
      </w:r>
      <w:hyperlink r:id="rId202" w:history="1">
        <w:r>
          <w:rPr>
            <w:rStyle w:val="Hyperlink"/>
            <w:rFonts w:ascii="Times New Roman" w:hAnsi="Times New Roman"/>
            <w:noProof/>
            <w:sz w:val="24"/>
            <w:szCs w:val="24"/>
          </w:rPr>
          <w:t>Słowacji</w:t>
        </w:r>
      </w:hyperlink>
      <w:r>
        <w:rPr>
          <w:rFonts w:ascii="Times New Roman" w:hAnsi="Times New Roman"/>
          <w:noProof/>
          <w:color w:val="000000" w:themeColor="text1"/>
          <w:sz w:val="24"/>
          <w:szCs w:val="24"/>
        </w:rPr>
        <w:t xml:space="preserve"> zapadł wyrok skazujący wobec szeregu osób uczestniczących w zabójstwie dziennikarza śledczego Jána Kuciaka i jego narzeczonej w 2018 r., a proces domniemanego pomysłodawcy jest w toku. Na </w:t>
      </w:r>
      <w:hyperlink r:id="rId203" w:history="1">
        <w:r>
          <w:rPr>
            <w:rStyle w:val="Hyperlink"/>
            <w:rFonts w:ascii="Times New Roman" w:hAnsi="Times New Roman"/>
            <w:noProof/>
            <w:sz w:val="24"/>
            <w:szCs w:val="24"/>
          </w:rPr>
          <w:t>Malcie</w:t>
        </w:r>
      </w:hyperlink>
      <w:r>
        <w:rPr>
          <w:rFonts w:ascii="Times New Roman" w:hAnsi="Times New Roman"/>
          <w:noProof/>
          <w:color w:val="000000" w:themeColor="text1"/>
          <w:sz w:val="24"/>
          <w:szCs w:val="24"/>
        </w:rPr>
        <w:t xml:space="preserve"> zakończyło się właśnie publiczne śledztwo w sprawie zabójstwa dziennikarki śledczej Daphne Caruany Galizii w 2017 r. W postępowaniu karnym związanym z jej zabójstwem nastąpił szereg zmian.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W 2020 r. na platformie Rady Europy propagującej ochronę dziennikarstwa i bezpieczeństwo dziennikarzy odnotowano najwyższą w historii liczbę wpisów, co stanowi wzrost o 40 % w porównaniu z 2019 r.</w:t>
      </w:r>
      <w:r>
        <w:rPr>
          <w:rStyle w:val="FootnoteReference"/>
          <w:rFonts w:ascii="Times New Roman" w:eastAsia="Times New Roman" w:hAnsi="Times New Roman" w:cs="Times New Roman"/>
          <w:noProof/>
          <w:color w:val="000000" w:themeColor="text1"/>
          <w:sz w:val="24"/>
          <w:szCs w:val="24"/>
          <w:lang w:eastAsia="en-GB"/>
        </w:rPr>
        <w:footnoteReference w:id="49"/>
      </w:r>
      <w:r>
        <w:rPr>
          <w:rFonts w:ascii="Times New Roman" w:hAnsi="Times New Roman"/>
          <w:noProof/>
          <w:color w:val="000000" w:themeColor="text1"/>
          <w:sz w:val="24"/>
          <w:szCs w:val="24"/>
        </w:rPr>
        <w:t xml:space="preserve"> W 2020 r. platforma Mapping Media Freedom</w:t>
      </w:r>
      <w:r>
        <w:rPr>
          <w:rStyle w:val="FootnoteReference"/>
          <w:rFonts w:ascii="Times New Roman" w:eastAsia="Times New Roman" w:hAnsi="Times New Roman" w:cs="Times New Roman"/>
          <w:noProof/>
          <w:color w:val="000000" w:themeColor="text1"/>
          <w:sz w:val="24"/>
          <w:szCs w:val="24"/>
          <w:lang w:eastAsia="en-GB"/>
        </w:rPr>
        <w:footnoteReference w:id="50"/>
      </w:r>
      <w:r>
        <w:rPr>
          <w:rFonts w:ascii="Times New Roman" w:hAnsi="Times New Roman"/>
          <w:noProof/>
          <w:color w:val="000000" w:themeColor="text1"/>
          <w:sz w:val="24"/>
          <w:szCs w:val="24"/>
        </w:rPr>
        <w:t xml:space="preserve"> monitorowała również 280 przypadków naruszeń wolności mediów, które dotyczyły łącznie 908 osób lub podmiotów medialnych w 23 państwach członkowskich. Do naruszeń tych należały nękanie lub znęcanie się psychiczne, groźby prawne, akty przemocy fizycznej, ataki na mienie, nawoływanie do nienawiści, kampanie oszczerstw i cenzura. Do aktów przemocy fizycznej dochodziło w szczególności w kontekście protestów społecznych i dziennikarze we </w:t>
      </w:r>
      <w:hyperlink r:id="rId204" w:history="1">
        <w:r>
          <w:rPr>
            <w:rStyle w:val="Hyperlink"/>
            <w:rFonts w:ascii="Times New Roman" w:hAnsi="Times New Roman"/>
            <w:noProof/>
            <w:sz w:val="24"/>
            <w:szCs w:val="24"/>
          </w:rPr>
          <w:t>Francji</w:t>
        </w:r>
      </w:hyperlink>
      <w:r>
        <w:rPr>
          <w:rFonts w:ascii="Times New Roman" w:hAnsi="Times New Roman"/>
          <w:noProof/>
          <w:color w:val="000000" w:themeColor="text1"/>
          <w:sz w:val="24"/>
          <w:szCs w:val="24"/>
        </w:rPr>
        <w:t xml:space="preserve">, w </w:t>
      </w:r>
      <w:hyperlink r:id="rId205" w:history="1">
        <w:r>
          <w:rPr>
            <w:rStyle w:val="Hyperlink"/>
            <w:rFonts w:ascii="Times New Roman" w:hAnsi="Times New Roman"/>
            <w:noProof/>
            <w:sz w:val="24"/>
            <w:szCs w:val="24"/>
          </w:rPr>
          <w:t>Niemczech</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Grecji</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i</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Polsce</w:t>
        </w:r>
      </w:hyperlink>
      <w:r>
        <w:rPr>
          <w:rFonts w:ascii="Times New Roman" w:hAnsi="Times New Roman"/>
          <w:noProof/>
          <w:color w:val="000000" w:themeColor="text1"/>
          <w:sz w:val="24"/>
          <w:szCs w:val="24"/>
        </w:rPr>
        <w:t xml:space="preserve"> byli obiektem agresji ze strony protestujących, a w niektórych przypadkach także służb policyjnych. W całej UE wzrasta poziom zagrożenia w internecie, a szczególnie zagrożone są dziennikarki oraz osoby zajmujące się dziennikarstwem należące do mniejszości. Sytuacja ta jest szczególnie niepokojąca, jeśli ataki takie podejmowane są z inicjatywy polityków lub wpływowych osób publicznych. Na przykład w </w:t>
      </w:r>
      <w:hyperlink r:id="rId208" w:history="1">
        <w:r>
          <w:rPr>
            <w:rStyle w:val="Hyperlink"/>
            <w:rFonts w:ascii="Times New Roman" w:hAnsi="Times New Roman"/>
            <w:noProof/>
            <w:sz w:val="24"/>
            <w:szCs w:val="24"/>
          </w:rPr>
          <w:t>Słowenii</w:t>
        </w:r>
      </w:hyperlink>
      <w:r>
        <w:rPr>
          <w:rFonts w:ascii="Times New Roman" w:hAnsi="Times New Roman"/>
          <w:noProof/>
          <w:color w:val="000000" w:themeColor="text1"/>
          <w:sz w:val="24"/>
          <w:szCs w:val="24"/>
        </w:rPr>
        <w:t xml:space="preserve"> wiele głośnych spraw dotyczyło nękania w internecie i gróźb kierowanych pod adresem dziennikarzy przez polityków. W </w:t>
      </w:r>
      <w:hyperlink r:id="rId209" w:history="1">
        <w:r>
          <w:rPr>
            <w:rStyle w:val="Hyperlink"/>
            <w:rFonts w:ascii="Times New Roman" w:hAnsi="Times New Roman"/>
            <w:noProof/>
            <w:sz w:val="24"/>
            <w:szCs w:val="24"/>
          </w:rPr>
          <w:t>Portugalii</w:t>
        </w:r>
      </w:hyperlink>
      <w:r>
        <w:rPr>
          <w:rFonts w:ascii="Times New Roman" w:hAnsi="Times New Roman"/>
          <w:noProof/>
          <w:color w:val="000000" w:themeColor="text1"/>
          <w:sz w:val="24"/>
          <w:szCs w:val="24"/>
        </w:rPr>
        <w:t xml:space="preserve"> toczy się dochodzenie w sprawie obserwacji przez policję mającej na celu zidentyfikowanie źródeł dziennikarzy i prowadzonej bez pozwolenia sądowego. We </w:t>
      </w:r>
      <w:hyperlink r:id="rId210" w:history="1">
        <w:r>
          <w:rPr>
            <w:rStyle w:val="Hyperlink"/>
            <w:rFonts w:ascii="Times New Roman" w:hAnsi="Times New Roman"/>
            <w:noProof/>
            <w:sz w:val="24"/>
            <w:szCs w:val="24"/>
          </w:rPr>
          <w:t>Włoszech</w:t>
        </w:r>
      </w:hyperlink>
      <w:r>
        <w:rPr>
          <w:rFonts w:ascii="Times New Roman" w:hAnsi="Times New Roman"/>
          <w:noProof/>
          <w:color w:val="000000" w:themeColor="text1"/>
          <w:sz w:val="24"/>
          <w:szCs w:val="24"/>
        </w:rPr>
        <w:t xml:space="preserve"> najnowszy wpis dotyczy domniemanego podsłuchiwania kilku dziennikarzy pracujących nad kwestiami migracji w ramach dochodzenia prowadzonego przez prokuraturę w sprawie związków między organizacjami pozarządowymi a handlarzami ludźmi.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Mechanizmy zapewniające praktyczne wsparcie dla dziennikarzy potrzebujących pomocy funkcjonują w kilku państwach członkowskich. W </w:t>
      </w:r>
      <w:hyperlink r:id="rId211" w:history="1">
        <w:r>
          <w:rPr>
            <w:rStyle w:val="Hyperlink"/>
            <w:rFonts w:ascii="Times New Roman" w:hAnsi="Times New Roman"/>
            <w:noProof/>
            <w:sz w:val="24"/>
            <w:szCs w:val="24"/>
          </w:rPr>
          <w:t>Niderlandach</w:t>
        </w:r>
      </w:hyperlink>
      <w:r>
        <w:rPr>
          <w:rFonts w:ascii="Times New Roman" w:hAnsi="Times New Roman"/>
          <w:noProof/>
          <w:color w:val="000000" w:themeColor="text1"/>
          <w:sz w:val="24"/>
          <w:szCs w:val="24"/>
        </w:rPr>
        <w:t xml:space="preserve"> w 2021 r. przeprowadzono przegląd projektu „Pers Veilig”, mającego na celu ograniczenie zagrożeń, przemocy i agresji wobec dziennikarzy, i przedstawiono propozycje udoskonaleń. We </w:t>
      </w:r>
      <w:hyperlink r:id="rId212" w:history="1">
        <w:r>
          <w:rPr>
            <w:rStyle w:val="Hyperlink"/>
            <w:rFonts w:ascii="Times New Roman" w:hAnsi="Times New Roman"/>
            <w:noProof/>
            <w:sz w:val="24"/>
            <w:szCs w:val="24"/>
          </w:rPr>
          <w:t>Włoszech</w:t>
        </w:r>
      </w:hyperlink>
      <w:r>
        <w:rPr>
          <w:rFonts w:ascii="Times New Roman" w:hAnsi="Times New Roman"/>
          <w:noProof/>
          <w:color w:val="000000" w:themeColor="text1"/>
          <w:sz w:val="24"/>
          <w:szCs w:val="24"/>
        </w:rPr>
        <w:t xml:space="preserve"> centrum koordynacyjne zajmujące się działaniami wymierzonymi przeciwko dziennikarzom utworzone w 2017 r. nadal jest uznawane za najlepszą praktykę na poziomie UE. Inne państwa członkowskie rozważają wprowadzenie nowych zabezpieczeń prawnych służących ochronie dziennikarzy. W </w:t>
      </w:r>
      <w:hyperlink r:id="rId213" w:history="1">
        <w:r>
          <w:rPr>
            <w:rStyle w:val="Hyperlink"/>
            <w:rFonts w:ascii="Times New Roman" w:hAnsi="Times New Roman"/>
            <w:noProof/>
            <w:sz w:val="24"/>
            <w:szCs w:val="24"/>
          </w:rPr>
          <w:t>Finlandii</w:t>
        </w:r>
      </w:hyperlink>
      <w:r>
        <w:rPr>
          <w:rFonts w:ascii="Times New Roman" w:hAnsi="Times New Roman"/>
          <w:noProof/>
          <w:color w:val="000000" w:themeColor="text1"/>
          <w:sz w:val="24"/>
          <w:szCs w:val="24"/>
        </w:rPr>
        <w:t xml:space="preserve"> rząd planuje zmianę kodeksu karnego, aby ułatwić ściganie przypadków gróźb karalnych i ataków na bezbronne ofiary, takie jak niezależni dziennikarze, oraz zaostrzyć kary za przestępstwa na tle płciowym, w celu zwalczania nawoływania do nienawiści skierowanego przeciwko dziennikarkom. </w:t>
      </w:r>
      <w:hyperlink r:id="rId214" w:history="1">
        <w:r>
          <w:rPr>
            <w:rStyle w:val="Hyperlink"/>
            <w:rFonts w:ascii="Times New Roman" w:hAnsi="Times New Roman"/>
            <w:noProof/>
            <w:sz w:val="24"/>
            <w:szCs w:val="24"/>
          </w:rPr>
          <w:t>Szwecja</w:t>
        </w:r>
      </w:hyperlink>
      <w:r>
        <w:rPr>
          <w:rFonts w:ascii="Times New Roman" w:hAnsi="Times New Roman"/>
          <w:noProof/>
          <w:color w:val="000000" w:themeColor="text1"/>
          <w:sz w:val="24"/>
          <w:szCs w:val="24"/>
        </w:rPr>
        <w:t xml:space="preserve"> także podejmuje kroki w kierunku zwiększenia ochrony dziennikarzy w ramach trwającego przeglądu ochrony prawnokarnej niektórych istotnych funkcji społecznych.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Strategiczne powództwa zmierzające do stłumienia debaty publicznej, szczególna forma nękania stosowana wobec dziennikarzy i innych osób zaangażowanych w ochronę interesu publicznego, często w połączeniu z groźbami dotyczącymi bezpieczeństwa fizycznego, są poważnym problemem w kilku państwach członkowskich. Na przykład w </w:t>
      </w:r>
      <w:hyperlink r:id="rId215" w:history="1">
        <w:r>
          <w:rPr>
            <w:rStyle w:val="Hyperlink"/>
            <w:rFonts w:ascii="Times New Roman" w:hAnsi="Times New Roman"/>
            <w:noProof/>
            <w:sz w:val="24"/>
            <w:szCs w:val="24"/>
          </w:rPr>
          <w:t>Chorwacji</w:t>
        </w:r>
      </w:hyperlink>
      <w:r>
        <w:rPr>
          <w:rFonts w:ascii="Times New Roman" w:hAnsi="Times New Roman"/>
          <w:noProof/>
          <w:color w:val="000000" w:themeColor="text1"/>
          <w:sz w:val="24"/>
          <w:szCs w:val="24"/>
        </w:rPr>
        <w:t xml:space="preserve"> częste wykorzystywanie strategicznych powództw zmierzających do stłumienia debaty publicznej miało poważny wpływ na środki masowego przekazu, w szczególności te mniejsze lub lokalne, jak również na niezależnych dziennikarzy. W innych państwach, w tym w </w:t>
      </w:r>
      <w:hyperlink r:id="rId216" w:history="1">
        <w:r>
          <w:rPr>
            <w:rStyle w:val="Hyperlink"/>
            <w:rFonts w:ascii="Times New Roman" w:hAnsi="Times New Roman"/>
            <w:noProof/>
            <w:sz w:val="24"/>
            <w:szCs w:val="24"/>
          </w:rPr>
          <w:t>Polsce</w:t>
        </w:r>
      </w:hyperlink>
      <w:r>
        <w:rPr>
          <w:rFonts w:ascii="Times New Roman" w:hAnsi="Times New Roman"/>
          <w:noProof/>
          <w:color w:val="000000" w:themeColor="text1"/>
          <w:sz w:val="24"/>
          <w:szCs w:val="24"/>
        </w:rPr>
        <w:t xml:space="preserve">, społeczność mediów informacyjnych odnotowała wzrost liczby pozwów wnoszonych przeciwko dziennikarzom w celu ich zastraszenia, powiązanych z ostrzeżeniami kierowanymi do dziennikarzy i redakcji w celu wstrzymania krytycznych doniesień dotyczących przedsiębiorstw lub instytucji publicznych. Problem ten wydaje się dotyczyć w szczególności mniejszych serwisów informacyjnych i niezależnych dziennikarzy, w przypadku których występuje wysokie ryzyko autocenzury. </w:t>
      </w:r>
    </w:p>
    <w:p>
      <w:pPr>
        <w:pStyle w:val="Heading3"/>
        <w:spacing w:after="0"/>
        <w:rPr>
          <w:noProof/>
        </w:rPr>
      </w:pPr>
      <w:r>
        <w:rPr>
          <w:noProof/>
        </w:rPr>
        <w:t>Wpływ pandemii na wolność mediów i pluralizm mediów</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Europejskie media informacyjne odegrały zasadniczą rolę w przekazywaniu informacji obywatelom w czasie pandemii COVID-19. Jak zauważono w planie działania Komisji dotyczącym sektora audiowizualnego i mediów, zapotrzebowanie na zweryfikowane informacje i wiadomości znacznie wzrosło</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Jednocześnie pandemia doprowadziła do powstania poważnych wyzwań ekonomicznych dla sektora mediów, a także dla pojedynczych dziennikarzy i pracowników mediów.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kilku rozdziałach dotyczących poszczególnych państw wskazano na bezprecedensową utratę dochodów i problemy z płynnością finansową domów mediowych, lub wręcz ich upadłość i zamknięcie. Wydaje się, że najbardziej poszkodowane zostały regionalne i lokalne środki masowego przekazu, co spowodowało, że w niektórych państwach członkowskich na dużych obszarach nie istnieją obecnie lokalne serwisy informacyjne. W kilku państwach członkowskich pojedynczy dziennikarze stanęli w obliczu pogarszających się warunków ekonomicznych i warunków pracy. W sektorze tym wzrosło bezrobocie, a wielu pracowników mediów i dziennikarzy – w szczególności tych o niepewnej formie zatrudnienia lub wykonujących wolny zawód – zostało bez dochodów. Wszystkie te czynniki zwiększyły ich podatność na presję.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Aby przeciwdziałać skutkom pandemii i je złagodzić, około połowa państw członkowskich wprowadziła specjalne programy wsparcia mediów, głównie zapewniające fundusze lub dotacje dla wszystkich lub niektórych sektorów mediów. Media lokalne zostały wyraźnie uwzględnione we wspomnianych programach w takich państwach członkowskich jak </w:t>
      </w:r>
      <w:hyperlink r:id="rId217" w:history="1">
        <w:r>
          <w:rPr>
            <w:rStyle w:val="Hyperlink"/>
            <w:rFonts w:ascii="Times New Roman" w:hAnsi="Times New Roman"/>
            <w:noProof/>
            <w:sz w:val="24"/>
            <w:szCs w:val="24"/>
          </w:rPr>
          <w:t>Estonia</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Szwecja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Finlandia</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Dania</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Niderlandy</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Francja</w:t>
        </w:r>
      </w:hyperlink>
      <w:r>
        <w:rPr>
          <w:rFonts w:ascii="Times New Roman" w:hAnsi="Times New Roman"/>
          <w:noProof/>
          <w:sz w:val="24"/>
          <w:szCs w:val="24"/>
        </w:rPr>
        <w:t xml:space="preserve"> i</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Włochy</w:t>
        </w:r>
      </w:hyperlink>
      <w:r>
        <w:rPr>
          <w:rStyle w:val="Hyperlink"/>
          <w:rFonts w:ascii="Times New Roman" w:hAnsi="Times New Roman"/>
          <w:bCs/>
          <w:noProof/>
          <w:color w:val="auto"/>
          <w:sz w:val="24"/>
          <w:szCs w:val="24"/>
          <w:u w:val="none"/>
        </w:rPr>
        <w:t>.</w:t>
      </w:r>
      <w:r>
        <w:rPr>
          <w:rFonts w:ascii="Times New Roman" w:hAnsi="Times New Roman"/>
          <w:noProof/>
          <w:sz w:val="24"/>
          <w:szCs w:val="24"/>
        </w:rPr>
        <w:t xml:space="preserve"> Szereg państw członkowskich, w tym </w:t>
      </w:r>
      <w:hyperlink r:id="rId224" w:history="1">
        <w:r>
          <w:rPr>
            <w:rStyle w:val="Hyperlink"/>
            <w:rFonts w:ascii="Times New Roman" w:hAnsi="Times New Roman"/>
            <w:noProof/>
            <w:sz w:val="24"/>
            <w:szCs w:val="24"/>
          </w:rPr>
          <w:t>Cypr</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Litwa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Portugalia</w:t>
        </w:r>
      </w:hyperlink>
      <w:r>
        <w:rPr>
          <w:rFonts w:ascii="Times New Roman" w:hAnsi="Times New Roman"/>
          <w:noProof/>
          <w:sz w:val="24"/>
          <w:szCs w:val="24"/>
        </w:rPr>
        <w:t xml:space="preserve"> i </w:t>
      </w:r>
      <w:hyperlink r:id="rId227" w:history="1">
        <w:r>
          <w:rPr>
            <w:rStyle w:val="Hyperlink"/>
            <w:rFonts w:ascii="Times New Roman" w:hAnsi="Times New Roman"/>
            <w:noProof/>
            <w:sz w:val="24"/>
            <w:szCs w:val="24"/>
          </w:rPr>
          <w:t>Rumunia</w:t>
        </w:r>
      </w:hyperlink>
      <w:r>
        <w:rPr>
          <w:rFonts w:ascii="Times New Roman" w:hAnsi="Times New Roman"/>
          <w:noProof/>
          <w:sz w:val="24"/>
          <w:szCs w:val="24"/>
        </w:rPr>
        <w:t>, wspierało zarówno media, jak i informacje publiczne za pośrednictwem reklam publicznych na potrzeby kampanii zwiększających świadomość na temat COVID-19. W niektórych państwach dziennikarze mogli skorzystać z ogólnego wsparcia dla bezrobotnych (</w:t>
      </w:r>
      <w:hyperlink r:id="rId228" w:history="1">
        <w:r>
          <w:rPr>
            <w:rStyle w:val="Hyperlink"/>
            <w:rFonts w:ascii="Times New Roman" w:hAnsi="Times New Roman"/>
            <w:noProof/>
            <w:sz w:val="24"/>
            <w:szCs w:val="24"/>
          </w:rPr>
          <w:t>Irlandia</w:t>
        </w:r>
      </w:hyperlink>
      <w:r>
        <w:rPr>
          <w:rFonts w:ascii="Times New Roman" w:hAnsi="Times New Roman"/>
          <w:noProof/>
          <w:sz w:val="24"/>
          <w:szCs w:val="24"/>
        </w:rPr>
        <w:t>), natomiast w innych państwach członkowskich sytuacja często okazywała się trudna dla niezależnych dziennikarzy. Większość z tych środków została przyjęta z zadowoleniem przez zainteresowane strony z sektora mediów, chociaż niektóre aspekty zostały zakwestionowane, na przykład ich przejrzystość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sprawiedliwość kryteriów przydziału (</w:t>
      </w:r>
      <w:hyperlink r:id="rId230" w:history="1">
        <w:r>
          <w:rPr>
            <w:rStyle w:val="Hyperlink"/>
            <w:rFonts w:ascii="Times New Roman" w:hAnsi="Times New Roman"/>
            <w:noProof/>
            <w:sz w:val="24"/>
            <w:szCs w:val="24"/>
          </w:rPr>
          <w:t>Austria</w:t>
        </w:r>
      </w:hyperlink>
      <w:r>
        <w:rPr>
          <w:rFonts w:ascii="Times New Roman" w:hAnsi="Times New Roman"/>
          <w:noProof/>
          <w:sz w:val="24"/>
          <w:szCs w:val="24"/>
        </w:rPr>
        <w:t>) lub potencjalny wpływ na zaufanie obywateli do mediów (</w:t>
      </w:r>
      <w:hyperlink r:id="rId231" w:history="1">
        <w:r>
          <w:rPr>
            <w:rStyle w:val="Hyperlink"/>
            <w:rFonts w:ascii="Times New Roman" w:hAnsi="Times New Roman"/>
            <w:noProof/>
            <w:sz w:val="24"/>
            <w:szCs w:val="24"/>
          </w:rPr>
          <w:t>Rumunia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Wpływ pandemii na media i środki przyjęte w celu jego złagodzenia nie ograniczają się jednak do aspektów ekonomicznych. </w:t>
      </w:r>
      <w:r>
        <w:rPr>
          <w:rFonts w:ascii="Times New Roman" w:hAnsi="Times New Roman"/>
          <w:noProof/>
          <w:sz w:val="24"/>
          <w:szCs w:val="24"/>
        </w:rPr>
        <w:t xml:space="preserve">Szereg ograniczeń wprowadzonych w celu zwalczania pandemii utrudniło pracę dziennikarzy, a niekiedy wpłynęło na ich dostęp do informacji publicznej Chociaż zakłócenia lub odstępstwa od ogólnych zasad dostępu do informacji zasadniczo ograniczały się do bardzo wczesnych etapów pandemii (np. </w:t>
      </w:r>
      <w:hyperlink r:id="rId232" w:history="1">
        <w:r>
          <w:rPr>
            <w:rStyle w:val="Hyperlink"/>
            <w:rFonts w:ascii="Times New Roman" w:hAnsi="Times New Roman"/>
            <w:noProof/>
            <w:sz w:val="24"/>
            <w:szCs w:val="24"/>
          </w:rPr>
          <w:t>Hiszpania</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Włochy</w:t>
        </w:r>
      </w:hyperlink>
      <w:r>
        <w:rPr>
          <w:rFonts w:ascii="Times New Roman" w:hAnsi="Times New Roman"/>
          <w:noProof/>
          <w:sz w:val="24"/>
          <w:szCs w:val="24"/>
        </w:rPr>
        <w:t xml:space="preserve">), w państwach członkowskich takich jak </w:t>
      </w:r>
      <w:hyperlink r:id="rId234" w:history="1">
        <w:r>
          <w:rPr>
            <w:rStyle w:val="Hyperlink"/>
            <w:rFonts w:ascii="Times New Roman" w:hAnsi="Times New Roman"/>
            <w:noProof/>
            <w:sz w:val="24"/>
            <w:szCs w:val="24"/>
          </w:rPr>
          <w:t>Węgry</w:t>
        </w:r>
      </w:hyperlink>
      <w:r>
        <w:rPr>
          <w:rFonts w:ascii="Times New Roman" w:hAnsi="Times New Roman"/>
          <w:noProof/>
          <w:sz w:val="24"/>
          <w:szCs w:val="24"/>
        </w:rPr>
        <w:t xml:space="preserve"> dostęp do informacji publicznych ograniczono poprzez środki nadzwyczajne wprowadzone podczas pandemii, co utrudniło niezależnym środkom masowego przekazu szybki dostęp do takich informacji. W niektórych państwach członkowskich dziennikarze również napotykali przeszkody związane z dostępem do miejsc, w których odbywały się konferencje prasowe, lub z selektywnym dostępem do konferencji prasowych w internecie lub w przestrzeni fizycznej. </w:t>
      </w:r>
      <w:r>
        <w:rPr>
          <w:rFonts w:ascii="Times New Roman" w:hAnsi="Times New Roman"/>
          <w:noProof/>
          <w:color w:val="000000" w:themeColor="text1"/>
          <w:sz w:val="24"/>
          <w:szCs w:val="24"/>
        </w:rPr>
        <w:t>W</w:t>
      </w:r>
      <w:r>
        <w:rPr>
          <w:noProof/>
        </w:rPr>
        <w:t xml:space="preserve"> </w:t>
      </w:r>
      <w:hyperlink r:id="rId235" w:history="1">
        <w:r>
          <w:rPr>
            <w:rStyle w:val="Hyperlink"/>
            <w:rFonts w:ascii="Times New Roman" w:hAnsi="Times New Roman"/>
            <w:noProof/>
            <w:sz w:val="24"/>
            <w:szCs w:val="24"/>
          </w:rPr>
          <w:t>Polsce</w:t>
        </w:r>
      </w:hyperlink>
      <w:r>
        <w:rPr>
          <w:noProof/>
        </w:rPr>
        <w:t xml:space="preserve"> </w:t>
      </w:r>
      <w:r>
        <w:rPr>
          <w:rFonts w:ascii="Times New Roman" w:hAnsi="Times New Roman"/>
          <w:noProof/>
          <w:color w:val="000000" w:themeColor="text1"/>
          <w:sz w:val="24"/>
          <w:szCs w:val="24"/>
        </w:rPr>
        <w:t xml:space="preserve">wykonywanie prawa dostępu do informacji publicznej niesie ze sobą ryzyko dalszych ograniczeń wynikające z trwającego kwestionowania zapisu w Konstytucji, a pandemia doprowadziła do zawieszenia terminów określonych w prawie administracyjnym, co ograniczyło lub opóźniło dostęp do informacji publicznej. </w:t>
      </w:r>
      <w:r>
        <w:rPr>
          <w:rFonts w:ascii="Times New Roman" w:hAnsi="Times New Roman"/>
          <w:noProof/>
          <w:sz w:val="24"/>
          <w:szCs w:val="24"/>
        </w:rPr>
        <w:t>W</w:t>
      </w:r>
      <w:r>
        <w:rPr>
          <w:noProof/>
        </w:rPr>
        <w:t xml:space="preserve"> </w:t>
      </w:r>
      <w:hyperlink r:id="rId236" w:history="1">
        <w:r>
          <w:rPr>
            <w:rStyle w:val="Hyperlink"/>
            <w:rFonts w:ascii="Times New Roman" w:hAnsi="Times New Roman"/>
            <w:noProof/>
            <w:sz w:val="24"/>
            <w:szCs w:val="24"/>
          </w:rPr>
          <w:t>Rumunii</w:t>
        </w:r>
      </w:hyperlink>
      <w:r>
        <w:rPr>
          <w:noProof/>
        </w:rPr>
        <w:t xml:space="preserve"> </w:t>
      </w:r>
      <w:r>
        <w:rPr>
          <w:rFonts w:ascii="Times New Roman" w:hAnsi="Times New Roman"/>
          <w:noProof/>
          <w:sz w:val="24"/>
          <w:szCs w:val="24"/>
        </w:rPr>
        <w:t>pandemia była postrzegana jako uzasadnienie opóźnień lub odmowy udzielenia informacji, a przepisy o ochronie danych wykorzystywano do ograniczania dostępu. Państwa członkowskie, w tym</w:t>
      </w:r>
      <w:r>
        <w:rPr>
          <w:noProof/>
        </w:rPr>
        <w:t xml:space="preserve"> </w:t>
      </w:r>
      <w:hyperlink r:id="rId237" w:history="1">
        <w:r>
          <w:rPr>
            <w:rStyle w:val="Hyperlink"/>
            <w:rFonts w:ascii="Times New Roman" w:hAnsi="Times New Roman"/>
            <w:noProof/>
            <w:sz w:val="24"/>
            <w:szCs w:val="24"/>
          </w:rPr>
          <w:t>Litwa</w:t>
        </w:r>
      </w:hyperlink>
      <w:r>
        <w:rPr>
          <w:rFonts w:ascii="Times New Roman" w:hAnsi="Times New Roman"/>
          <w:noProof/>
          <w:sz w:val="24"/>
          <w:szCs w:val="24"/>
        </w:rPr>
        <w:t xml:space="preserve"> i</w:t>
      </w:r>
      <w:r>
        <w:rPr>
          <w:noProof/>
        </w:rPr>
        <w:t xml:space="preserve"> </w:t>
      </w:r>
      <w:hyperlink r:id="rId238" w:history="1">
        <w:r>
          <w:rPr>
            <w:rStyle w:val="Hyperlink"/>
            <w:rFonts w:ascii="Times New Roman" w:hAnsi="Times New Roman"/>
            <w:noProof/>
            <w:sz w:val="24"/>
            <w:szCs w:val="24"/>
          </w:rPr>
          <w:t>Niderlandy</w:t>
        </w:r>
      </w:hyperlink>
      <w:r>
        <w:rPr>
          <w:rFonts w:ascii="Times New Roman" w:hAnsi="Times New Roman"/>
          <w:noProof/>
          <w:sz w:val="24"/>
          <w:szCs w:val="24"/>
        </w:rPr>
        <w:t>, zwolniły natomiast dziennikarzy z zakazów podróżowania w związku z COVID-19, aby mogli oni nadal śledzić wydarzenia i przekazywać informacje z pierwszej ręki.</w:t>
      </w:r>
    </w:p>
    <w:p>
      <w:pPr>
        <w:spacing w:before="24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 xml:space="preserve">3.4 Inne kwestie instytucjonalne </w:t>
      </w:r>
      <w:r>
        <w:rPr>
          <w:rFonts w:ascii="Times New Roman" w:hAnsi="Times New Roman"/>
          <w:b/>
          <w:i/>
          <w:noProof/>
          <w:sz w:val="24"/>
          <w:szCs w:val="24"/>
        </w:rPr>
        <w:t xml:space="preserve">związane z mechanizmami </w:t>
      </w:r>
      <w:r>
        <w:rPr>
          <w:rFonts w:ascii="Times New Roman" w:hAnsi="Times New Roman"/>
          <w:b/>
          <w:bCs/>
          <w:i/>
          <w:noProof/>
          <w:sz w:val="24"/>
          <w:szCs w:val="24"/>
        </w:rPr>
        <w:t>kontroli i równowagi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Praworządność w demokracji opiera się na instytucjonalnych mechanizmach kontroli i równowagi między organami państwa, gwarantujących ich funkcjonowanie, współpracę i wzajemną kontrolę, tak aby władza była wykonywana przez jeden organ państwowy pod kontrolą innych, zgodnie z tradycją polityczną i prawną każdego państwa członkowskiego. Społeczeństwo obywatelskie również odgrywa kluczową rolę w mechanizmach kontroli i równowagi.</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W niniejszej sekcji przeanalizowano istotne zmiany, jakie zaszły w odniesieniu do takich mechanizmów kontroli i równowagi. Obejmuje to proces przygotowywania, uchwalania i przeglądu ustaw oraz rolę niezależnych organów w zabezpieczaniu praworządności</w:t>
      </w:r>
      <w:r>
        <w:rPr>
          <w:rFonts w:ascii="Times New Roman" w:hAnsi="Times New Roman"/>
          <w:i/>
          <w:iCs/>
          <w:noProof/>
          <w:sz w:val="24"/>
          <w:szCs w:val="24"/>
        </w:rPr>
        <w:t>.</w:t>
      </w:r>
      <w:r>
        <w:rPr>
          <w:rFonts w:ascii="Times New Roman" w:hAnsi="Times New Roman"/>
          <w:noProof/>
          <w:sz w:val="24"/>
          <w:szCs w:val="24"/>
        </w:rPr>
        <w:t xml:space="preserve"> Podstawowym zagadnieniem w tym względzie jest jakość administracji publicznej oraz sposób, w jaki organy stosują prawo i wykonują orzeczenia sądów. W przypadku społeczeństwa obywatelskiego ramy wspomagające umożliwiają debatę i sprawowanie kontroli nad rządzącymi; a kiedy ich przestrzeń do działania się kurczy, jest to znak, że zagrożona jest praworządność. W niniejszej sekcji przedstawiono również zmiany w systemie prawnym, w ramach którego wprowadzono środki związane z COVID-19, oraz rolę parlamentów, trybunałów konstytucyjnych, sądów i rzeczników praw obywatelskich.</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Reformy konstytucyjne i debaty w celu wzmocnienia instytucjonalnych mechanizmów kontroli i równowagi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Odnotowano dalsze postępy w procesie reform konstytucyjnych mających na celu wzmocnienie zabezpieczeń oraz mechanizmów kontroli i równowagi, o których była mowa w ubiegłym roku. Na </w:t>
      </w:r>
      <w:hyperlink r:id="rId239" w:history="1">
        <w:r>
          <w:rPr>
            <w:rStyle w:val="Hyperlink"/>
            <w:rFonts w:ascii="Times New Roman" w:hAnsi="Times New Roman"/>
            <w:noProof/>
            <w:sz w:val="24"/>
            <w:szCs w:val="24"/>
          </w:rPr>
          <w:t>Cyprze</w:t>
        </w:r>
      </w:hyperlink>
      <w:r>
        <w:rPr>
          <w:noProof/>
        </w:rPr>
        <w:t xml:space="preserve"> </w:t>
      </w:r>
      <w:r>
        <w:rPr>
          <w:rFonts w:ascii="Times New Roman" w:hAnsi="Times New Roman"/>
          <w:noProof/>
          <w:sz w:val="24"/>
          <w:szCs w:val="24"/>
        </w:rPr>
        <w:t>oczekuje się obecnie na rozpatrzenie przez Parlament ustawy o utworzeniu osobnego Trybunału Konstytucyjnego przejmującego od Sądu Najwyższego zadania dotyczące kontroli w zakresie konstytucjonalności</w:t>
      </w:r>
      <w:r>
        <w:rPr>
          <w:noProof/>
        </w:rPr>
        <w:t>.</w:t>
      </w:r>
      <w:r>
        <w:rPr>
          <w:rFonts w:ascii="Times New Roman" w:hAnsi="Times New Roman"/>
          <w:noProof/>
          <w:sz w:val="24"/>
          <w:szCs w:val="24"/>
        </w:rPr>
        <w:t xml:space="preserve"> Na</w:t>
      </w:r>
      <w:r>
        <w:rPr>
          <w:noProof/>
        </w:rPr>
        <w:t xml:space="preserve"> </w:t>
      </w:r>
      <w:hyperlink r:id="rId240" w:history="1">
        <w:r>
          <w:rPr>
            <w:rStyle w:val="Hyperlink"/>
            <w:rFonts w:ascii="Times New Roman" w:hAnsi="Times New Roman"/>
            <w:noProof/>
            <w:sz w:val="24"/>
            <w:szCs w:val="24"/>
          </w:rPr>
          <w:t>Malcie</w:t>
        </w:r>
      </w:hyperlink>
      <w:r>
        <w:rPr>
          <w:noProof/>
        </w:rPr>
        <w:t xml:space="preserve"> </w:t>
      </w:r>
      <w:r>
        <w:rPr>
          <w:rFonts w:ascii="Times New Roman" w:hAnsi="Times New Roman"/>
          <w:noProof/>
          <w:sz w:val="24"/>
          <w:szCs w:val="24"/>
        </w:rPr>
        <w:t>zakończono reformę konstytucyjną dotyczącą mianowania członków niektórych niezależnych komisji, ale postępy w pracach nad konwencją konstytucyjną, która miałaby zająć się wzmocnieniem roli Parlamentu, były małe. W</w:t>
      </w:r>
      <w:r>
        <w:rPr>
          <w:noProof/>
        </w:rPr>
        <w:t xml:space="preserve"> </w:t>
      </w:r>
      <w:hyperlink r:id="rId241" w:history="1">
        <w:r>
          <w:rPr>
            <w:rStyle w:val="Hyperlink"/>
            <w:rFonts w:ascii="Times New Roman" w:hAnsi="Times New Roman"/>
            <w:noProof/>
            <w:sz w:val="24"/>
            <w:szCs w:val="24"/>
          </w:rPr>
          <w:t>Luksemburgu</w:t>
        </w:r>
      </w:hyperlink>
      <w:r>
        <w:rPr>
          <w:noProof/>
        </w:rPr>
        <w:t xml:space="preserve"> </w:t>
      </w:r>
      <w:r>
        <w:rPr>
          <w:rFonts w:ascii="Times New Roman" w:hAnsi="Times New Roman"/>
          <w:noProof/>
          <w:sz w:val="24"/>
          <w:szCs w:val="24"/>
        </w:rPr>
        <w:t xml:space="preserve">zapowiadana wcześniej reforma konstytucyjna nie będzie kontynuowana: podejście polega obecnie na wprowadzeniu ukierunkowanych przeglądów dotyczących konkretnych tematów, na przykład w odniesieniu do Rady Sądownictwa. </w:t>
      </w:r>
      <w:r>
        <w:rPr>
          <w:rFonts w:ascii="Times New Roman" w:hAnsi="Times New Roman"/>
          <w:bCs/>
          <w:noProof/>
          <w:sz w:val="24"/>
          <w:szCs w:val="24"/>
        </w:rPr>
        <w:t>W</w:t>
      </w:r>
      <w:r>
        <w:rPr>
          <w:noProof/>
        </w:rPr>
        <w:t xml:space="preserve"> </w:t>
      </w:r>
      <w:hyperlink r:id="rId242" w:history="1">
        <w:r>
          <w:rPr>
            <w:rStyle w:val="Hyperlink"/>
            <w:rFonts w:ascii="Times New Roman" w:hAnsi="Times New Roman"/>
            <w:bCs/>
            <w:noProof/>
            <w:sz w:val="24"/>
            <w:szCs w:val="24"/>
          </w:rPr>
          <w:t>Niderlandach</w:t>
        </w:r>
      </w:hyperlink>
      <w:r>
        <w:rPr>
          <w:noProof/>
        </w:rPr>
        <w:t xml:space="preserve"> </w:t>
      </w:r>
      <w:r>
        <w:rPr>
          <w:rFonts w:ascii="Times New Roman" w:hAnsi="Times New Roman"/>
          <w:bCs/>
          <w:noProof/>
          <w:sz w:val="24"/>
          <w:szCs w:val="24"/>
        </w:rPr>
        <w:t xml:space="preserve">toczą się szeroko zakrojone debaty na temat właściwego funkcjonowania mechanizmów kontroli i równowagi w następstwie dochodzenia parlamentarnego w sprawie wdrożenia systemu dodatków na opiekę nad dziećmi.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Aby pomóc w opracowaniu zrównoważonego systemu, wiele państw członkowskich korzysta z różnych opinii i źródeł wiedzy fachowej, w tym z międzynarodowych organów eksperckich, takich jak Komisja Wenecka. Komisja uważa, że jest to konstruktywne podejście.</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Zapewnienie integracyjności, jakości i przejrzystości w procesie stanowienia prawa wciąż stanowi wyzwanie</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Szereg państw członkowskich podejmuje działania mające na celu dalsze usprawnienie procesów tworzenia strategii opartych na dowodach, konsultacjach i udziale zainteresowanych stron, aby zagwarantować, że prawo jest wynikiem szerokiej dyskusji w społeczeństwie. Innowacyjny projekt Konwencji Obywatelskiej na rzecz Klimatu we</w:t>
      </w:r>
      <w:r>
        <w:rPr>
          <w:noProof/>
        </w:rPr>
        <w:t xml:space="preserve"> </w:t>
      </w:r>
      <w:hyperlink r:id="rId243" w:history="1">
        <w:r>
          <w:rPr>
            <w:rStyle w:val="Hyperlink"/>
            <w:rFonts w:ascii="Times New Roman" w:hAnsi="Times New Roman"/>
            <w:bCs/>
            <w:noProof/>
            <w:sz w:val="24"/>
            <w:szCs w:val="24"/>
          </w:rPr>
          <w:t>Francji</w:t>
        </w:r>
      </w:hyperlink>
      <w:r>
        <w:rPr>
          <w:noProof/>
        </w:rPr>
        <w:t xml:space="preserve"> </w:t>
      </w:r>
      <w:r>
        <w:rPr>
          <w:rFonts w:ascii="Times New Roman" w:hAnsi="Times New Roman"/>
          <w:bCs/>
          <w:noProof/>
          <w:sz w:val="24"/>
          <w:szCs w:val="24"/>
        </w:rPr>
        <w:t>przyciągnął znaczną uwagę i zainteresowanie innych państw członkowskich. W</w:t>
      </w:r>
      <w:r>
        <w:rPr>
          <w:noProof/>
        </w:rPr>
        <w:t xml:space="preserve"> </w:t>
      </w:r>
      <w:hyperlink r:id="rId244" w:history="1">
        <w:r>
          <w:rPr>
            <w:rStyle w:val="Hyperlink"/>
            <w:rFonts w:ascii="Times New Roman" w:hAnsi="Times New Roman"/>
            <w:bCs/>
            <w:noProof/>
            <w:sz w:val="24"/>
            <w:szCs w:val="24"/>
          </w:rPr>
          <w:t>Portugalii</w:t>
        </w:r>
      </w:hyperlink>
      <w:r>
        <w:rPr>
          <w:noProof/>
        </w:rPr>
        <w:t xml:space="preserve"> </w:t>
      </w:r>
      <w:r>
        <w:rPr>
          <w:rFonts w:ascii="Times New Roman" w:hAnsi="Times New Roman"/>
          <w:bCs/>
          <w:noProof/>
          <w:sz w:val="24"/>
          <w:szCs w:val="24"/>
        </w:rPr>
        <w:t>Parlament przyjął środki mające na celu poprawę przejrzystości procesu stanowienia prawa i jakości prawodawstwa.</w:t>
      </w:r>
      <w:r>
        <w:rPr>
          <w:rFonts w:ascii="Times New Roman" w:hAnsi="Times New Roman"/>
          <w:noProof/>
          <w:sz w:val="24"/>
          <w:szCs w:val="24"/>
        </w:rPr>
        <w:t xml:space="preserve"> </w:t>
      </w:r>
      <w:r>
        <w:rPr>
          <w:rFonts w:ascii="Times New Roman" w:hAnsi="Times New Roman"/>
          <w:bCs/>
          <w:noProof/>
          <w:sz w:val="24"/>
          <w:szCs w:val="24"/>
        </w:rPr>
        <w:t>W</w:t>
      </w:r>
      <w:r>
        <w:rPr>
          <w:noProof/>
        </w:rPr>
        <w:t xml:space="preserve"> </w:t>
      </w:r>
      <w:hyperlink r:id="rId245" w:history="1">
        <w:r>
          <w:rPr>
            <w:rStyle w:val="Hyperlink"/>
            <w:rFonts w:ascii="Times New Roman" w:hAnsi="Times New Roman"/>
            <w:bCs/>
            <w:noProof/>
            <w:sz w:val="24"/>
            <w:szCs w:val="24"/>
          </w:rPr>
          <w:t>Grecji</w:t>
        </w:r>
      </w:hyperlink>
      <w:r>
        <w:rPr>
          <w:noProof/>
        </w:rPr>
        <w:t xml:space="preserve"> </w:t>
      </w:r>
      <w:r>
        <w:rPr>
          <w:rFonts w:ascii="Times New Roman" w:hAnsi="Times New Roman"/>
          <w:bCs/>
          <w:noProof/>
          <w:sz w:val="24"/>
          <w:szCs w:val="24"/>
        </w:rPr>
        <w:t>wprowadzono obecnie nowe ramy badania wpływu i jakości projektów ustaw, a zainteresowane strony donoszą o poprawie jakości i znacznym zmniejszeniu liczby niepowiązanych zmian wprowadzanych w ostatniej chwili w parlamencie</w:t>
      </w:r>
      <w:r>
        <w:rPr>
          <w:noProof/>
        </w:rPr>
        <w:t>.</w:t>
      </w:r>
      <w:r>
        <w:rPr>
          <w:rFonts w:ascii="Times New Roman" w:hAnsi="Times New Roman"/>
          <w:bCs/>
          <w:noProof/>
          <w:sz w:val="24"/>
          <w:szCs w:val="24"/>
        </w:rPr>
        <w:t xml:space="preserve"> W</w:t>
      </w:r>
      <w:r>
        <w:rPr>
          <w:noProof/>
        </w:rPr>
        <w:t xml:space="preserve"> </w:t>
      </w:r>
      <w:hyperlink r:id="rId246" w:history="1">
        <w:r>
          <w:rPr>
            <w:rStyle w:val="Hyperlink"/>
            <w:rFonts w:ascii="Times New Roman" w:hAnsi="Times New Roman"/>
            <w:bCs/>
            <w:noProof/>
            <w:sz w:val="24"/>
            <w:szCs w:val="24"/>
          </w:rPr>
          <w:t>Estonii</w:t>
        </w:r>
      </w:hyperlink>
      <w:r>
        <w:rPr>
          <w:rFonts w:ascii="Times New Roman" w:hAnsi="Times New Roman"/>
          <w:bCs/>
          <w:noProof/>
          <w:sz w:val="24"/>
          <w:szCs w:val="24"/>
        </w:rPr>
        <w:t>, na</w:t>
      </w:r>
      <w:r>
        <w:rPr>
          <w:noProof/>
        </w:rPr>
        <w:t xml:space="preserve"> </w:t>
      </w:r>
      <w:hyperlink r:id="rId247" w:history="1">
        <w:r>
          <w:rPr>
            <w:rStyle w:val="Hyperlink"/>
            <w:rFonts w:ascii="Times New Roman" w:hAnsi="Times New Roman"/>
            <w:bCs/>
            <w:noProof/>
            <w:sz w:val="24"/>
            <w:szCs w:val="24"/>
          </w:rPr>
          <w:t>Łotwie</w:t>
        </w:r>
      </w:hyperlink>
      <w:r>
        <w:rPr>
          <w:rFonts w:ascii="Times New Roman" w:hAnsi="Times New Roman"/>
          <w:bCs/>
          <w:noProof/>
          <w:sz w:val="24"/>
          <w:szCs w:val="24"/>
        </w:rPr>
        <w:t xml:space="preserve"> i w</w:t>
      </w:r>
      <w:r>
        <w:rPr>
          <w:noProof/>
        </w:rPr>
        <w:t xml:space="preserve"> </w:t>
      </w:r>
      <w:hyperlink r:id="rId248" w:history="1">
        <w:r>
          <w:rPr>
            <w:rStyle w:val="Hyperlink"/>
            <w:rFonts w:ascii="Times New Roman" w:hAnsi="Times New Roman"/>
            <w:bCs/>
            <w:noProof/>
            <w:sz w:val="24"/>
            <w:szCs w:val="24"/>
          </w:rPr>
          <w:t>Austrii</w:t>
        </w:r>
      </w:hyperlink>
      <w:r>
        <w:rPr>
          <w:noProof/>
        </w:rPr>
        <w:t xml:space="preserve"> </w:t>
      </w:r>
      <w:r>
        <w:rPr>
          <w:rFonts w:ascii="Times New Roman" w:hAnsi="Times New Roman"/>
          <w:bCs/>
          <w:noProof/>
          <w:sz w:val="24"/>
          <w:szCs w:val="24"/>
        </w:rPr>
        <w:t>podejmowane są działania mające na celu zwiększenie udziału obywateli i zainteresowanych stron w kształtowaniu polityki. W</w:t>
      </w:r>
      <w:r>
        <w:rPr>
          <w:noProof/>
        </w:rPr>
        <w:t xml:space="preserve"> </w:t>
      </w:r>
      <w:hyperlink r:id="rId249" w:history="1">
        <w:r>
          <w:rPr>
            <w:rStyle w:val="Hyperlink"/>
            <w:rFonts w:ascii="Times New Roman" w:hAnsi="Times New Roman"/>
            <w:bCs/>
            <w:noProof/>
            <w:sz w:val="24"/>
            <w:szCs w:val="24"/>
          </w:rPr>
          <w:t>Hiszpanii</w:t>
        </w:r>
      </w:hyperlink>
      <w:r>
        <w:rPr>
          <w:noProof/>
        </w:rPr>
        <w:t xml:space="preserve"> </w:t>
      </w:r>
      <w:r>
        <w:rPr>
          <w:rFonts w:ascii="Times New Roman" w:hAnsi="Times New Roman"/>
          <w:bCs/>
          <w:noProof/>
          <w:sz w:val="24"/>
          <w:szCs w:val="24"/>
        </w:rPr>
        <w:t xml:space="preserve">zatwierdzono nowy, czwarty plan na rzecz otwartego rządu (2020–2024), którego celem jest wzmocnienie więzi między obywatelami a organami publicznymi, a także zwiększenie zaangażowania obywateli w kształtowanie polityki publicznej.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Z dialogu z zainteresowanymi stronami wynikało, że w wielu państwach członkowskich istnieją wyzwania związane z zapewnieniem systematycznego stosowania w praktyce zasad dotyczących integracji, przejrzystości i jakości w zakresie strategii stanowienia prawa. Na</w:t>
      </w:r>
      <w:r>
        <w:rPr>
          <w:noProof/>
        </w:rPr>
        <w:t xml:space="preserve"> </w:t>
      </w:r>
      <w:hyperlink r:id="rId250" w:history="1">
        <w:r>
          <w:rPr>
            <w:rStyle w:val="Hyperlink"/>
            <w:rFonts w:ascii="Times New Roman" w:hAnsi="Times New Roman"/>
            <w:bCs/>
            <w:noProof/>
            <w:sz w:val="24"/>
            <w:szCs w:val="24"/>
          </w:rPr>
          <w:t>Słowacji</w:t>
        </w:r>
      </w:hyperlink>
      <w:r>
        <w:rPr>
          <w:noProof/>
        </w:rPr>
        <w:t xml:space="preserve"> </w:t>
      </w:r>
      <w:r>
        <w:rPr>
          <w:rFonts w:ascii="Times New Roman" w:hAnsi="Times New Roman"/>
          <w:bCs/>
          <w:noProof/>
          <w:sz w:val="24"/>
          <w:szCs w:val="24"/>
        </w:rPr>
        <w:t>zainteresowane strony wyraziły zaniepokojenie brakiem szeroko zakrojonej i merytorycznej debaty na temat głównych założeń niedawnej reformy konstytucyjnej oraz ubolewanie, że władze nie zwróciły się do Komisji Weneckiej o opinię na temat reformy sądownictwa i reformy konstytucyjnej. W</w:t>
      </w:r>
      <w:r>
        <w:rPr>
          <w:noProof/>
        </w:rPr>
        <w:t xml:space="preserve"> </w:t>
      </w:r>
      <w:hyperlink r:id="rId251" w:history="1">
        <w:r>
          <w:rPr>
            <w:rStyle w:val="Hyperlink"/>
            <w:rFonts w:ascii="Times New Roman" w:hAnsi="Times New Roman"/>
            <w:bCs/>
            <w:noProof/>
            <w:sz w:val="24"/>
            <w:szCs w:val="24"/>
          </w:rPr>
          <w:t>Czechach</w:t>
        </w:r>
      </w:hyperlink>
      <w:r>
        <w:rPr>
          <w:noProof/>
        </w:rPr>
        <w:t xml:space="preserve"> </w:t>
      </w:r>
      <w:r>
        <w:rPr>
          <w:rFonts w:ascii="Times New Roman" w:hAnsi="Times New Roman"/>
          <w:bCs/>
          <w:noProof/>
          <w:sz w:val="24"/>
          <w:szCs w:val="24"/>
        </w:rPr>
        <w:t>odnotowano dużą liczbę procedur nadzwyczajnych, a zainteresowane strony wyraziły obawy, że procedury te były wykorzystywane również do działań, które nie były związane ze zwalczaniem pandemii. We</w:t>
      </w:r>
      <w:r>
        <w:rPr>
          <w:noProof/>
        </w:rPr>
        <w:t xml:space="preserve"> </w:t>
      </w:r>
      <w:hyperlink r:id="rId252" w:history="1">
        <w:r>
          <w:rPr>
            <w:rStyle w:val="Hyperlink"/>
            <w:rFonts w:ascii="Times New Roman" w:hAnsi="Times New Roman"/>
            <w:bCs/>
            <w:noProof/>
            <w:sz w:val="24"/>
            <w:szCs w:val="24"/>
          </w:rPr>
          <w:t>Francji</w:t>
        </w:r>
      </w:hyperlink>
      <w:r>
        <w:rPr>
          <w:noProof/>
        </w:rPr>
        <w:t xml:space="preserve"> </w:t>
      </w:r>
      <w:r>
        <w:rPr>
          <w:rFonts w:ascii="Times New Roman" w:hAnsi="Times New Roman"/>
          <w:bCs/>
          <w:noProof/>
          <w:sz w:val="24"/>
          <w:szCs w:val="24"/>
        </w:rPr>
        <w:t>znacznie wzrosła liczba przyspieszonych procedur i procedur, które przeprowadzano w trybie pilnym w Parlamencie, co ma wpływ na konsultacje z zainteresowanymi stronami, jak również na prace Parlamentu. W</w:t>
      </w:r>
      <w:r>
        <w:rPr>
          <w:noProof/>
        </w:rPr>
        <w:t xml:space="preserve"> </w:t>
      </w:r>
      <w:hyperlink r:id="rId253" w:history="1">
        <w:r>
          <w:rPr>
            <w:rStyle w:val="Hyperlink"/>
            <w:rFonts w:ascii="Times New Roman" w:hAnsi="Times New Roman"/>
            <w:bCs/>
            <w:noProof/>
            <w:sz w:val="24"/>
            <w:szCs w:val="24"/>
          </w:rPr>
          <w:t>Belgii</w:t>
        </w:r>
      </w:hyperlink>
      <w:r>
        <w:rPr>
          <w:noProof/>
        </w:rPr>
        <w:t xml:space="preserve"> </w:t>
      </w:r>
      <w:r>
        <w:rPr>
          <w:rFonts w:ascii="Times New Roman" w:hAnsi="Times New Roman"/>
          <w:bCs/>
          <w:noProof/>
          <w:sz w:val="24"/>
          <w:szCs w:val="24"/>
        </w:rPr>
        <w:t xml:space="preserve">Rada Stanu napotyka trudności z wydawaniem opinii na temat projektów aktów prawnych z powodu niewystarczających zasobów i często skróconych terminów konsultacji.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W kilku państwach członkowskich proces legislacyjny wzbudził obawy co do praworządności. Na</w:t>
      </w:r>
      <w:r>
        <w:rPr>
          <w:noProof/>
        </w:rPr>
        <w:t xml:space="preserve"> </w:t>
      </w:r>
      <w:hyperlink r:id="rId254" w:history="1">
        <w:r>
          <w:rPr>
            <w:rStyle w:val="Hyperlink"/>
            <w:rFonts w:ascii="Times New Roman" w:hAnsi="Times New Roman"/>
            <w:bCs/>
            <w:noProof/>
            <w:sz w:val="24"/>
            <w:szCs w:val="24"/>
          </w:rPr>
          <w:t>Węgrzech</w:t>
        </w:r>
      </w:hyperlink>
      <w:r>
        <w:rPr>
          <w:noProof/>
        </w:rPr>
        <w:t xml:space="preserve"> </w:t>
      </w:r>
      <w:r>
        <w:rPr>
          <w:rFonts w:ascii="Times New Roman" w:hAnsi="Times New Roman"/>
          <w:bCs/>
          <w:noProof/>
          <w:sz w:val="24"/>
          <w:szCs w:val="24"/>
        </w:rPr>
        <w:t>częste i nagłe zmiany przepisów w dalszym ciągu osłabiają przewidywalność otoczenia regulacyjnego, a w niektórych przypadkach tempo wprowadzania nowych przepisów jeszcze bardziej wzrosło. W</w:t>
      </w:r>
      <w:r>
        <w:rPr>
          <w:noProof/>
        </w:rPr>
        <w:t xml:space="preserve"> </w:t>
      </w:r>
      <w:hyperlink r:id="rId255" w:history="1">
        <w:r>
          <w:rPr>
            <w:rStyle w:val="Hyperlink"/>
            <w:rFonts w:ascii="Times New Roman" w:hAnsi="Times New Roman"/>
            <w:bCs/>
            <w:noProof/>
            <w:sz w:val="24"/>
            <w:szCs w:val="24"/>
          </w:rPr>
          <w:t>Polsce</w:t>
        </w:r>
      </w:hyperlink>
      <w:r>
        <w:rPr>
          <w:noProof/>
        </w:rPr>
        <w:t xml:space="preserve"> </w:t>
      </w:r>
      <w:r>
        <w:rPr>
          <w:rFonts w:ascii="Times New Roman" w:hAnsi="Times New Roman"/>
          <w:bCs/>
          <w:noProof/>
          <w:sz w:val="24"/>
          <w:szCs w:val="24"/>
        </w:rPr>
        <w:t>nadal stosuje się przyjmowanie ustaw w trybie przyspieszonym, w tym w odniesieniu do istotnych reform strukturalnych wymiaru sprawiedliwości, takich jak niedawne zmiany w ustawie o Sądzie Najwyższym. W</w:t>
      </w:r>
      <w:r>
        <w:rPr>
          <w:noProof/>
        </w:rPr>
        <w:t xml:space="preserve"> </w:t>
      </w:r>
      <w:hyperlink r:id="rId256" w:history="1">
        <w:r>
          <w:rPr>
            <w:rStyle w:val="Hyperlink"/>
            <w:rFonts w:ascii="Times New Roman" w:hAnsi="Times New Roman"/>
            <w:bCs/>
            <w:noProof/>
            <w:sz w:val="24"/>
            <w:szCs w:val="24"/>
          </w:rPr>
          <w:t>Bułgarii</w:t>
        </w:r>
      </w:hyperlink>
      <w:r>
        <w:rPr>
          <w:noProof/>
        </w:rPr>
        <w:t xml:space="preserve"> </w:t>
      </w:r>
      <w:r>
        <w:rPr>
          <w:rFonts w:ascii="Times New Roman" w:hAnsi="Times New Roman"/>
          <w:bCs/>
          <w:noProof/>
          <w:sz w:val="24"/>
          <w:szCs w:val="24"/>
        </w:rPr>
        <w:t>niepokój nadal budzi praktyka wprowadzania istotnych zmian legislacyjnych w drodze zmiany innych, niepowiązanych aktów prawnych, przez co obchodzi się wymogi w zakresie konsultacji publicznych i oceny skutków. W</w:t>
      </w:r>
      <w:r>
        <w:rPr>
          <w:noProof/>
        </w:rPr>
        <w:t xml:space="preserve"> </w:t>
      </w:r>
      <w:hyperlink r:id="rId257" w:history="1">
        <w:r>
          <w:rPr>
            <w:rStyle w:val="Hyperlink"/>
            <w:rFonts w:ascii="Times New Roman" w:hAnsi="Times New Roman"/>
            <w:bCs/>
            <w:noProof/>
            <w:sz w:val="24"/>
            <w:szCs w:val="24"/>
          </w:rPr>
          <w:t>Rumunii</w:t>
        </w:r>
      </w:hyperlink>
      <w:r>
        <w:rPr>
          <w:noProof/>
        </w:rPr>
        <w:t xml:space="preserve"> </w:t>
      </w:r>
      <w:r>
        <w:rPr>
          <w:rFonts w:ascii="Times New Roman" w:hAnsi="Times New Roman"/>
          <w:bCs/>
          <w:noProof/>
          <w:sz w:val="24"/>
          <w:szCs w:val="24"/>
        </w:rPr>
        <w:t>nadal istnieją obawy co do stabilności i przewidywalności prawodawstwa, ponieważ przepisy są często zmieniane, a wynikające z nich ustawy mogą być ze sobą sprzeczne, chociaż w trakcie obecnej kadencji z parlamentu dochodziły optymistyczne sygnały.</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Istotne zmiany dotyczące sądów najwyższych i konstytucyjnych w mechanizmach kontroli i równowagi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Sądy najwyższe i sądy konstytucyjne odgrywają kluczową rolę w mechanizmach kontroli i równowagi. Rozwój sytuacji w niektórych państwach członkowskich budzi jednak obawy. Na </w:t>
      </w:r>
      <w:hyperlink r:id="rId258" w:history="1">
        <w:r>
          <w:rPr>
            <w:rStyle w:val="Hyperlink"/>
            <w:rFonts w:ascii="Times New Roman" w:hAnsi="Times New Roman"/>
            <w:noProof/>
            <w:sz w:val="24"/>
            <w:szCs w:val="24"/>
          </w:rPr>
          <w:t>Słowacji</w:t>
        </w:r>
      </w:hyperlink>
      <w:r>
        <w:rPr>
          <w:rFonts w:ascii="Times New Roman" w:hAnsi="Times New Roman"/>
          <w:noProof/>
          <w:sz w:val="24"/>
          <w:szCs w:val="24"/>
        </w:rPr>
        <w:t xml:space="preserve"> w ramach reformy konstytucyjnej z grudnia 2020 r. wyraźnie wykluczono kompetencje Sądu Konstytucyjnego w zakresie dokonywania przeglądów ustaw konstytucyjnych. Ta konkretna reforma jest z kolei obecnie rozpatrywana przez Trybunał Konstytucyjny. Na </w:t>
      </w:r>
      <w:hyperlink r:id="rId259" w:history="1">
        <w:r>
          <w:rPr>
            <w:rStyle w:val="Hyperlink"/>
            <w:rFonts w:ascii="Times New Roman" w:hAnsi="Times New Roman"/>
            <w:noProof/>
            <w:sz w:val="24"/>
            <w:szCs w:val="24"/>
          </w:rPr>
          <w:t>Węgrzech</w:t>
        </w:r>
      </w:hyperlink>
      <w:r>
        <w:rPr>
          <w:rFonts w:ascii="Times New Roman" w:hAnsi="Times New Roman"/>
          <w:noProof/>
          <w:sz w:val="24"/>
          <w:szCs w:val="24"/>
        </w:rPr>
        <w:t xml:space="preserve"> wyrażono zaniepokojenie dotyczące roli Trybunału Konstytucyjnego w dokonywaniu przeglądu prawomocnych orzeczeń sądowych, działającego jako kolejny szczebel apelacji, orzekającego co do istoty sprawy w taki sam sposób jak zwykłe sądy apelacyjne, mimo że nie jest on częścią systemu sądowniczego, oraz budzącego wątpliwości w zakresie pewności prawa.</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Szereg ostatnich wydarzeń wzbudził również obawy co do zasady pierwszeństwa prawa Unii. Poszanowanie zasady praworządności i równości państw członkowskich w UE wymaga, aby prawo Unii miało pierwszeństwo przed prawem krajowym, a orzeczenia TSUE były wiążące dla wszystkich organów państw członkowskich, w tym dla sądów krajowych. W dniu 9 czerwca 2021 r. Komisja podjęła decyzję o wszczęciu przeciwko </w:t>
      </w:r>
      <w:hyperlink r:id="rId260" w:history="1">
        <w:r>
          <w:rPr>
            <w:rStyle w:val="Hyperlink"/>
            <w:rFonts w:ascii="Times New Roman" w:hAnsi="Times New Roman"/>
            <w:noProof/>
            <w:sz w:val="24"/>
            <w:szCs w:val="24"/>
            <w:shd w:val="clear" w:color="auto" w:fill="FFFFFF"/>
          </w:rPr>
          <w:t>Niemcom</w:t>
        </w:r>
      </w:hyperlink>
      <w:r>
        <w:rPr>
          <w:rFonts w:ascii="Times New Roman" w:hAnsi="Times New Roman"/>
          <w:noProof/>
          <w:sz w:val="24"/>
          <w:szCs w:val="24"/>
          <w:shd w:val="clear" w:color="auto" w:fill="FFFFFF"/>
        </w:rPr>
        <w:t xml:space="preserve"> postępowania w sprawie uchybienia zobowiązaniom państwa członkowskiego z powodu naruszenia zasady pierwszeństwa prawa UE w związku z wyrokiem niemieckiego Trybunału Konstytucyjnego</w:t>
      </w:r>
      <w:r>
        <w:rPr>
          <w:rStyle w:val="FootnoteReference"/>
          <w:rFonts w:ascii="Times New Roman" w:hAnsi="Times New Roman" w:cs="Times New Roman"/>
          <w:noProof/>
          <w:sz w:val="24"/>
          <w:szCs w:val="24"/>
          <w:shd w:val="clear" w:color="auto" w:fill="FFFFFF"/>
        </w:rPr>
        <w:footnoteReference w:id="52"/>
      </w:r>
      <w:r>
        <w:rPr>
          <w:rFonts w:ascii="Times New Roman" w:hAnsi="Times New Roman"/>
          <w:noProof/>
          <w:sz w:val="24"/>
          <w:szCs w:val="24"/>
          <w:shd w:val="clear" w:color="auto" w:fill="FFFFFF"/>
        </w:rPr>
        <w:t xml:space="preserve"> z dnia 5 maja 2020 r. W</w:t>
      </w:r>
      <w:r>
        <w:rPr>
          <w:noProof/>
        </w:rPr>
        <w:t xml:space="preserve"> </w:t>
      </w:r>
      <w:hyperlink r:id="rId261" w:history="1">
        <w:r>
          <w:rPr>
            <w:rStyle w:val="Hyperlink"/>
            <w:rFonts w:ascii="Times New Roman" w:hAnsi="Times New Roman"/>
            <w:noProof/>
            <w:sz w:val="24"/>
            <w:szCs w:val="24"/>
            <w:shd w:val="clear" w:color="auto" w:fill="FFFFFF"/>
          </w:rPr>
          <w:t>Polsce</w:t>
        </w:r>
      </w:hyperlink>
      <w:r>
        <w:rPr>
          <w:noProof/>
        </w:rPr>
        <w:t xml:space="preserve"> </w:t>
      </w:r>
      <w:r>
        <w:rPr>
          <w:rFonts w:ascii="Times New Roman" w:hAnsi="Times New Roman"/>
          <w:noProof/>
          <w:sz w:val="24"/>
          <w:szCs w:val="24"/>
          <w:shd w:val="clear" w:color="auto" w:fill="FFFFFF"/>
        </w:rPr>
        <w:t>orzeczenie to zostało przywołane w celu zakwestionowania kompetencji TSUE do rozpatrywania spraw związanych z niezależnością sądów, a rząd wykorzystał polski Trybunał Konstytucyjny do stwierdzenia pierwszeństwa Konstytucji RP przed prawem Unii. W dniu 14 lipca 2021 r. Trybunał Konstytucyjny uznał, że postanowienia tymczasowe wydane przez TSUE, które mają wpływ na organizację polskich sądów, są niezgodne z Konstytucją RP</w:t>
      </w:r>
      <w:r>
        <w:rPr>
          <w:rStyle w:val="FootnoteReference"/>
          <w:rFonts w:ascii="Times New Roman" w:hAnsi="Times New Roman" w:cs="Times New Roman"/>
          <w:noProof/>
          <w:sz w:val="24"/>
          <w:szCs w:val="24"/>
          <w:shd w:val="clear" w:color="auto" w:fill="FFFFFF"/>
        </w:rPr>
        <w:footnoteReference w:id="53"/>
      </w:r>
      <w:r>
        <w:rPr>
          <w:rFonts w:ascii="Times New Roman" w:hAnsi="Times New Roman"/>
          <w:noProof/>
          <w:sz w:val="24"/>
          <w:szCs w:val="24"/>
          <w:shd w:val="clear" w:color="auto" w:fill="FFFFFF"/>
        </w:rPr>
        <w:t>, a 16 lipca 2021 r. Pierwsza Prezes Sądu Najwyższego uchyliła zarządzenie wykonujące wcześniejsze postanowienie TSUE o zawieszeniu działalności Izby Dyscyplinarnej Sądu Najwyższego w sprawach dyscyplinarnych dotyczących sędziów</w:t>
      </w:r>
      <w:r>
        <w:rPr>
          <w:rStyle w:val="FootnoteReference"/>
          <w:rFonts w:ascii="Times New Roman" w:hAnsi="Times New Roman" w:cs="Times New Roman"/>
          <w:noProof/>
          <w:sz w:val="24"/>
          <w:szCs w:val="24"/>
          <w:shd w:val="clear" w:color="auto" w:fill="FFFFFF"/>
        </w:rPr>
        <w:footnoteReference w:id="54"/>
      </w:r>
      <w:r>
        <w:rPr>
          <w:rFonts w:ascii="Times New Roman" w:hAnsi="Times New Roman"/>
          <w:noProof/>
          <w:sz w:val="24"/>
          <w:szCs w:val="24"/>
          <w:shd w:val="clear" w:color="auto" w:fill="FFFFFF"/>
        </w:rPr>
        <w:t xml:space="preserve">. We </w:t>
      </w:r>
      <w:hyperlink r:id="rId262" w:history="1">
        <w:r>
          <w:rPr>
            <w:rStyle w:val="Hyperlink"/>
            <w:rFonts w:ascii="Times New Roman" w:hAnsi="Times New Roman"/>
            <w:noProof/>
            <w:sz w:val="24"/>
            <w:szCs w:val="24"/>
            <w:shd w:val="clear" w:color="auto" w:fill="FFFFFF"/>
          </w:rPr>
          <w:t>Francji</w:t>
        </w:r>
      </w:hyperlink>
      <w:r>
        <w:rPr>
          <w:rFonts w:ascii="Times New Roman" w:hAnsi="Times New Roman"/>
          <w:noProof/>
          <w:sz w:val="24"/>
          <w:szCs w:val="24"/>
          <w:shd w:val="clear" w:color="auto" w:fill="FFFFFF"/>
        </w:rPr>
        <w:t xml:space="preserve"> orzeczenie Rady Stanu w sprawie zatrzymywania danych wzbudziło obawy co do jego powiązań z porządkiem prawnym UE</w:t>
      </w:r>
      <w:r>
        <w:rPr>
          <w:rStyle w:val="FootnoteReference"/>
          <w:rFonts w:ascii="Times New Roman" w:hAnsi="Times New Roman" w:cs="Times New Roman"/>
          <w:noProof/>
          <w:sz w:val="24"/>
          <w:szCs w:val="24"/>
          <w:shd w:val="clear" w:color="auto" w:fill="FFFFFF"/>
        </w:rPr>
        <w:footnoteReference w:id="55"/>
      </w:r>
      <w:r>
        <w:rPr>
          <w:rFonts w:ascii="Times New Roman" w:hAnsi="Times New Roman"/>
          <w:noProof/>
          <w:sz w:val="24"/>
          <w:szCs w:val="24"/>
          <w:shd w:val="clear" w:color="auto" w:fill="FFFFFF"/>
        </w:rPr>
        <w:t xml:space="preserve">. W </w:t>
      </w:r>
      <w:hyperlink r:id="rId263" w:history="1">
        <w:r>
          <w:rPr>
            <w:rStyle w:val="Hyperlink"/>
            <w:rFonts w:ascii="Times New Roman" w:hAnsi="Times New Roman"/>
            <w:noProof/>
            <w:sz w:val="24"/>
            <w:szCs w:val="24"/>
            <w:shd w:val="clear" w:color="auto" w:fill="FFFFFF"/>
          </w:rPr>
          <w:t>Rumunii</w:t>
        </w:r>
      </w:hyperlink>
      <w:r>
        <w:rPr>
          <w:rFonts w:ascii="Times New Roman" w:hAnsi="Times New Roman"/>
          <w:noProof/>
          <w:sz w:val="24"/>
          <w:szCs w:val="24"/>
          <w:shd w:val="clear" w:color="auto" w:fill="FFFFFF"/>
        </w:rPr>
        <w:t xml:space="preserve"> Trybunał Konstytucyjny w swoim orzeczeniu nie zaakceptował ustaleń zawartych w orzeczeniu wstępnym TSUE i zakwestionował zasadę pierwszeństwa prawa Unii,</w:t>
      </w:r>
      <w:r>
        <w:rPr>
          <w:noProof/>
        </w:rPr>
        <w:t xml:space="preserve"> </w:t>
      </w:r>
      <w:r>
        <w:rPr>
          <w:rFonts w:ascii="Times New Roman" w:hAnsi="Times New Roman"/>
          <w:noProof/>
          <w:sz w:val="24"/>
          <w:szCs w:val="24"/>
          <w:shd w:val="clear" w:color="auto" w:fill="FFFFFF"/>
        </w:rPr>
        <w:t xml:space="preserve">co może stanowić istotną przeszkodę dla sądów wezwanych do stosowania wymogów prawa Unii określonych w orzeczeniu wstępnym przy orzekaniu w sprawach.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Kluczowa rola Rzecznika Praw Obywatelskich i krajowych instytucji praw człowieka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Rzecznik Praw Obywatelskich i krajowe instytucje praw człowieka odgrywają ważną rolę w zapewnianiu mechanizmów kontroli i równowagi, broniąc prawa do dobrej administracji i sprawiedliwego traktowania oraz wskazując na przypadki naruszania praw podstawowych. W</w:t>
      </w:r>
      <w:r>
        <w:rPr>
          <w:noProof/>
        </w:rPr>
        <w:t xml:space="preserve"> </w:t>
      </w:r>
      <w:hyperlink r:id="rId264" w:history="1">
        <w:r>
          <w:rPr>
            <w:rStyle w:val="Hyperlink"/>
            <w:rFonts w:ascii="Times New Roman" w:hAnsi="Times New Roman"/>
            <w:noProof/>
            <w:sz w:val="24"/>
            <w:szCs w:val="24"/>
          </w:rPr>
          <w:t>Niderlandach</w:t>
        </w:r>
      </w:hyperlink>
      <w:r>
        <w:rPr>
          <w:noProof/>
        </w:rPr>
        <w:t xml:space="preserve"> </w:t>
      </w:r>
      <w:r>
        <w:rPr>
          <w:rFonts w:ascii="Times New Roman" w:hAnsi="Times New Roman"/>
          <w:noProof/>
          <w:sz w:val="24"/>
          <w:szCs w:val="24"/>
        </w:rPr>
        <w:t xml:space="preserve">Rzecznik Praw Obywatelskich był jednym z pierwszych, którzy zwrócili uwagę administracji na niesprawiedliwe traktowanie w odniesieniu do zwrotów dotacji na dzieci i skrytykował brak działań następczych ze strony rządu. W </w:t>
      </w:r>
      <w:hyperlink r:id="rId265" w:history="1">
        <w:r>
          <w:rPr>
            <w:rStyle w:val="Hyperlink"/>
            <w:rFonts w:ascii="Times New Roman" w:hAnsi="Times New Roman"/>
            <w:noProof/>
            <w:sz w:val="24"/>
            <w:szCs w:val="24"/>
          </w:rPr>
          <w:t>Grecji</w:t>
        </w:r>
      </w:hyperlink>
      <w:r>
        <w:rPr>
          <w:rFonts w:ascii="Times New Roman" w:hAnsi="Times New Roman"/>
          <w:noProof/>
          <w:sz w:val="24"/>
          <w:szCs w:val="24"/>
        </w:rPr>
        <w:t xml:space="preserve"> wzmocniono uprawnienia instytucji rzecznika praw obywatelskich, w szczególności pod względem badania przypadków arbitralnych aresztowań przez organy ścigania; instytucja ta interweniowała również w przypadkach naruszeń praw podstawowych</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Na </w:t>
      </w:r>
      <w:hyperlink r:id="rId266" w:history="1">
        <w:r>
          <w:rPr>
            <w:rStyle w:val="Hyperlink"/>
            <w:rFonts w:ascii="Times New Roman" w:hAnsi="Times New Roman"/>
            <w:noProof/>
            <w:sz w:val="24"/>
            <w:szCs w:val="24"/>
          </w:rPr>
          <w:t>Malcie</w:t>
        </w:r>
      </w:hyperlink>
      <w:r>
        <w:rPr>
          <w:rFonts w:ascii="Times New Roman" w:hAnsi="Times New Roman"/>
          <w:noProof/>
          <w:sz w:val="24"/>
          <w:szCs w:val="24"/>
        </w:rPr>
        <w:t xml:space="preserve"> reforma konstytucyjna wzmocniła zasady mianowania, zawieszania i odwoływania Rzecznika Praw Obywatelskich, a nowe zasady zostaną zastosowane po raz pierwszy wraz z mianowaniem nowego Rzecznika Praw Obywatelskich, która to procedura jest w toku.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niektórych państwach członkowskich mianowanie i odwoływanie Rzecznika Praw Obywatelskich stanowiło przedmiot sporów politycznych i prawnych. W </w:t>
      </w:r>
      <w:hyperlink r:id="rId267" w:history="1">
        <w:r>
          <w:rPr>
            <w:rStyle w:val="Hyperlink"/>
            <w:rFonts w:ascii="Times New Roman" w:hAnsi="Times New Roman"/>
            <w:noProof/>
            <w:sz w:val="24"/>
            <w:szCs w:val="24"/>
          </w:rPr>
          <w:t>Polsce</w:t>
        </w:r>
      </w:hyperlink>
      <w:r>
        <w:rPr>
          <w:rFonts w:ascii="Times New Roman" w:hAnsi="Times New Roman"/>
          <w:noProof/>
          <w:sz w:val="24"/>
          <w:szCs w:val="24"/>
        </w:rPr>
        <w:t xml:space="preserve"> Rzecznik Praw Obywatelskich w dalszym ciągu odgrywał zasadniczą rolę strażnika praworządności.</w:t>
      </w:r>
      <w:r>
        <w:rPr>
          <w:noProof/>
        </w:rPr>
        <w:t xml:space="preserve"> </w:t>
      </w:r>
      <w:r>
        <w:rPr>
          <w:rFonts w:ascii="Times New Roman" w:hAnsi="Times New Roman"/>
          <w:noProof/>
          <w:sz w:val="24"/>
          <w:szCs w:val="24"/>
        </w:rPr>
        <w:t>Mandat ostatniego urzędującego rzecznika wygasł w 2020 r., ale pozostał on na swoim stanowisku, ponieważ nie udało się osiągnąć porozumienia politycznego w sprawie wyznaczenia jego następcy. Wykonywanie uprawnień przez ustępującego Rzecznika Praw Obywatelskich zakończyło się w lipcu 2021 r. na mocy orzeczenia Trybunału Konstytucyjnego, a toczące się prace parlamentarne sugerują obecnie powołanie osoby cieszącej się poparciem ponadpartyjnym</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W </w:t>
      </w:r>
      <w:hyperlink r:id="rId268" w:history="1">
        <w:r>
          <w:rPr>
            <w:rStyle w:val="Hyperlink"/>
            <w:rFonts w:ascii="Times New Roman" w:hAnsi="Times New Roman"/>
            <w:noProof/>
            <w:sz w:val="24"/>
            <w:szCs w:val="24"/>
          </w:rPr>
          <w:t>Rumunii</w:t>
        </w:r>
      </w:hyperlink>
      <w:r>
        <w:rPr>
          <w:rFonts w:ascii="Times New Roman" w:hAnsi="Times New Roman"/>
          <w:noProof/>
          <w:sz w:val="24"/>
          <w:szCs w:val="24"/>
        </w:rPr>
        <w:t xml:space="preserve"> Trybunał Konstytucyjny uznał za niekonstytucyjną decyzję parlamentu o odwołaniu rzecznika praw obywatelskich mianowanego w ramach poprzedniego mandatu parlamentarnego i przywrócił go do pełnienia funkcji.</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Organizacje społeczeństwa obywatelskiego jako podmioty niezbędne dla praworządności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W większości państw członkowskich istnieje sprzyjające i wspierające środowisko dla społeczeństwa obywatelskiego, a przestrzeń społeczeństwa obywatelskiego nadal uważa się za otwartą</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Ponadto w niektórych państwach członkowskich władze zapewniły dodatkowe środki finansowe w celu wsparcia organizacji społeczeństwa obywatelskiego. W </w:t>
      </w:r>
      <w:hyperlink r:id="rId269" w:history="1">
        <w:r>
          <w:rPr>
            <w:rStyle w:val="Hyperlink"/>
            <w:rFonts w:ascii="Times New Roman" w:hAnsi="Times New Roman"/>
            <w:noProof/>
            <w:sz w:val="24"/>
            <w:szCs w:val="24"/>
          </w:rPr>
          <w:t>Estonii</w:t>
        </w:r>
      </w:hyperlink>
      <w:r>
        <w:rPr>
          <w:rFonts w:ascii="Times New Roman" w:hAnsi="Times New Roman"/>
          <w:noProof/>
          <w:sz w:val="24"/>
          <w:szCs w:val="24"/>
        </w:rPr>
        <w:t xml:space="preserve"> powstał nowy program rządowy</w:t>
      </w:r>
      <w:r>
        <w:rPr>
          <w:noProof/>
        </w:rPr>
        <w:t xml:space="preserve"> </w:t>
      </w:r>
      <w:r>
        <w:rPr>
          <w:rFonts w:ascii="Times New Roman" w:hAnsi="Times New Roman"/>
          <w:noProof/>
          <w:sz w:val="24"/>
          <w:szCs w:val="24"/>
        </w:rPr>
        <w:t>na lata 2021–2024, którego celem jest dalsze budowanie strategicznego partnerstwa między organizacjami społeczeństwa obywatelskiego a instytucjami publicznymi. W kilku państwach członkowskich społeczeństwo obywatelskie inwestuje więcej w oddolne działania na rzecz praworządności.</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W niektórych</w:t>
      </w:r>
      <w:r>
        <w:rPr>
          <w:rFonts w:ascii="Times New Roman" w:hAnsi="Times New Roman"/>
          <w:i/>
          <w:noProof/>
          <w:sz w:val="24"/>
          <w:szCs w:val="24"/>
        </w:rPr>
        <w:t xml:space="preserve"> </w:t>
      </w:r>
      <w:r>
        <w:rPr>
          <w:rFonts w:ascii="Times New Roman" w:hAnsi="Times New Roman"/>
          <w:noProof/>
          <w:sz w:val="24"/>
          <w:szCs w:val="24"/>
        </w:rPr>
        <w:t xml:space="preserve">państwach członkowskich organizacje społeczeństwa obywatelskiego stoją jednak w obliczu poważnych wyzwań. Przykłady obejmują zamierzone groźby, w tym polegające na ograniczeniach finansowych lub kontrolach finansowych ze strony ze strony władz, albo niewystarczającej ochronie przed atakami fizycznymi lub słownymi, arbitralnymi decyzjami, SLAPP lub obniżeniu poziomu ochrony praw podstawowych gwarantujących pracę społeczeństwa obywatelskiego. Na przykład na </w:t>
      </w:r>
      <w:hyperlink r:id="rId270" w:history="1">
        <w:r>
          <w:rPr>
            <w:rStyle w:val="Hyperlink"/>
            <w:rFonts w:ascii="Times New Roman" w:hAnsi="Times New Roman"/>
            <w:noProof/>
            <w:sz w:val="24"/>
            <w:szCs w:val="24"/>
          </w:rPr>
          <w:t>Węgrzech</w:t>
        </w:r>
      </w:hyperlink>
      <w:r>
        <w:rPr>
          <w:rFonts w:ascii="Times New Roman" w:hAnsi="Times New Roman"/>
          <w:noProof/>
          <w:sz w:val="24"/>
          <w:szCs w:val="24"/>
        </w:rPr>
        <w:t xml:space="preserve"> nadal wywiera się presję na organizacje społeczeństwa obywatelskiego krytyczne wobec rządu i chociaż w następstwie orzeczenia TSUE uchylono ustawę o przejrzystości organizacji społeczeństwa obywatelskiego finansowanych ze środków zagranicznych, wprowadzono nowe środki. W</w:t>
      </w:r>
      <w:r>
        <w:rPr>
          <w:noProof/>
        </w:rPr>
        <w:t xml:space="preserve"> </w:t>
      </w:r>
      <w:hyperlink r:id="rId271" w:history="1">
        <w:r>
          <w:rPr>
            <w:rStyle w:val="Hyperlink"/>
            <w:rFonts w:ascii="Times New Roman" w:hAnsi="Times New Roman"/>
            <w:noProof/>
            <w:sz w:val="24"/>
            <w:szCs w:val="24"/>
          </w:rPr>
          <w:t>Polsce</w:t>
        </w:r>
      </w:hyperlink>
      <w:r>
        <w:rPr>
          <w:noProof/>
        </w:rPr>
        <w:t xml:space="preserve"> </w:t>
      </w:r>
      <w:r>
        <w:rPr>
          <w:rFonts w:ascii="Times New Roman" w:hAnsi="Times New Roman"/>
          <w:noProof/>
          <w:sz w:val="24"/>
          <w:szCs w:val="24"/>
        </w:rPr>
        <w:t>organizacje pozarządowe krytykujące politykę rządu są przedmiotem nękania i zastraszania ze strony organów i urzędników publicznych. W</w:t>
      </w:r>
      <w:r>
        <w:rPr>
          <w:noProof/>
        </w:rPr>
        <w:t xml:space="preserve"> </w:t>
      </w:r>
      <w:hyperlink r:id="rId272" w:history="1">
        <w:r>
          <w:rPr>
            <w:rStyle w:val="Hyperlink"/>
            <w:rFonts w:ascii="Times New Roman" w:hAnsi="Times New Roman"/>
            <w:noProof/>
            <w:sz w:val="24"/>
            <w:szCs w:val="24"/>
          </w:rPr>
          <w:t>Grecji</w:t>
        </w:r>
      </w:hyperlink>
      <w:r>
        <w:rPr>
          <w:noProof/>
        </w:rPr>
        <w:t xml:space="preserve"> </w:t>
      </w:r>
      <w:r>
        <w:rPr>
          <w:rFonts w:ascii="Times New Roman" w:hAnsi="Times New Roman"/>
          <w:noProof/>
          <w:sz w:val="24"/>
          <w:szCs w:val="24"/>
        </w:rPr>
        <w:t>proces rejestracji organizacji pozarządowych działających w obszarze azylu, migracji i włączenia społecznego nadal budzi wątpliwości. Chociaż poczynione zostały pewne postępy, problemy związane z rejestracją budzą obawy także na</w:t>
      </w:r>
      <w:r>
        <w:rPr>
          <w:noProof/>
        </w:rPr>
        <w:t xml:space="preserve"> </w:t>
      </w:r>
      <w:hyperlink r:id="rId273" w:history="1">
        <w:r>
          <w:rPr>
            <w:rStyle w:val="Hyperlink"/>
            <w:rFonts w:ascii="Times New Roman" w:hAnsi="Times New Roman"/>
            <w:noProof/>
            <w:sz w:val="24"/>
            <w:szCs w:val="24"/>
          </w:rPr>
          <w:t>Cyprze</w:t>
        </w:r>
      </w:hyperlink>
      <w:r>
        <w:rPr>
          <w:rFonts w:ascii="Times New Roman" w:hAnsi="Times New Roman"/>
          <w:noProof/>
          <w:sz w:val="24"/>
          <w:szCs w:val="24"/>
        </w:rPr>
        <w:t>. Na</w:t>
      </w:r>
      <w:r>
        <w:rPr>
          <w:noProof/>
        </w:rPr>
        <w:t xml:space="preserve"> </w:t>
      </w:r>
      <w:hyperlink r:id="rId274" w:history="1">
        <w:r>
          <w:rPr>
            <w:rStyle w:val="Hyperlink"/>
            <w:rFonts w:ascii="Times New Roman" w:hAnsi="Times New Roman"/>
            <w:noProof/>
            <w:sz w:val="24"/>
            <w:szCs w:val="24"/>
          </w:rPr>
          <w:t>Malcie</w:t>
        </w:r>
      </w:hyperlink>
      <w:r>
        <w:rPr>
          <w:noProof/>
        </w:rPr>
        <w:t xml:space="preserve"> </w:t>
      </w:r>
      <w:r>
        <w:rPr>
          <w:rFonts w:ascii="Times New Roman" w:hAnsi="Times New Roman"/>
          <w:noProof/>
          <w:sz w:val="24"/>
          <w:szCs w:val="24"/>
        </w:rPr>
        <w:t>organizacje społeczeństwa obywatelskiego wyraziły obawy dotyczące nowych zasad pozyskiwania funduszy, które utrudniłyby stowarzyszeniom prowadzenie działalności. Na</w:t>
      </w:r>
      <w:r>
        <w:rPr>
          <w:noProof/>
        </w:rPr>
        <w:t xml:space="preserve"> </w:t>
      </w:r>
      <w:hyperlink r:id="rId275" w:history="1">
        <w:r>
          <w:rPr>
            <w:rStyle w:val="Hyperlink"/>
            <w:rFonts w:ascii="Times New Roman" w:hAnsi="Times New Roman"/>
            <w:noProof/>
            <w:sz w:val="24"/>
            <w:szCs w:val="24"/>
          </w:rPr>
          <w:t>Słowacji</w:t>
        </w:r>
      </w:hyperlink>
      <w:r>
        <w:rPr>
          <w:noProof/>
        </w:rPr>
        <w:t xml:space="preserve"> </w:t>
      </w:r>
      <w:r>
        <w:rPr>
          <w:rFonts w:ascii="Times New Roman" w:hAnsi="Times New Roman"/>
          <w:noProof/>
          <w:sz w:val="24"/>
          <w:szCs w:val="24"/>
        </w:rPr>
        <w:t>ataki werbalne ze strony organów publicznych i polityków pod adresem działaczy i organizacji społeczeństwa obywatelskiego, jak również ograniczenie funduszy publicznych dla organizacji promujących równość płci, wzbudzają obawy odnośnie do poszanowania demokratycznej roli społeczeństwa obywatelskiego. We</w:t>
      </w:r>
      <w:r>
        <w:rPr>
          <w:noProof/>
        </w:rPr>
        <w:t xml:space="preserve"> </w:t>
      </w:r>
      <w:hyperlink r:id="rId276" w:history="1">
        <w:r>
          <w:rPr>
            <w:rStyle w:val="Hyperlink"/>
            <w:rFonts w:ascii="Times New Roman" w:hAnsi="Times New Roman"/>
            <w:noProof/>
            <w:sz w:val="24"/>
            <w:szCs w:val="24"/>
          </w:rPr>
          <w:t>Francji</w:t>
        </w:r>
      </w:hyperlink>
      <w:r>
        <w:rPr>
          <w:rFonts w:ascii="Times New Roman" w:hAnsi="Times New Roman"/>
          <w:noProof/>
          <w:sz w:val="24"/>
          <w:szCs w:val="24"/>
        </w:rPr>
        <w:t xml:space="preserve"> i</w:t>
      </w:r>
      <w:r>
        <w:rPr>
          <w:noProof/>
        </w:rPr>
        <w:t xml:space="preserve"> </w:t>
      </w:r>
      <w:hyperlink r:id="rId277" w:history="1">
        <w:r>
          <w:rPr>
            <w:rStyle w:val="Hyperlink"/>
            <w:rFonts w:ascii="Times New Roman" w:hAnsi="Times New Roman"/>
            <w:noProof/>
            <w:sz w:val="24"/>
            <w:szCs w:val="24"/>
          </w:rPr>
          <w:t>Hiszpanii</w:t>
        </w:r>
      </w:hyperlink>
      <w:r>
        <w:rPr>
          <w:noProof/>
        </w:rPr>
        <w:t xml:space="preserve"> </w:t>
      </w:r>
      <w:r>
        <w:rPr>
          <w:rFonts w:ascii="Times New Roman" w:hAnsi="Times New Roman"/>
          <w:noProof/>
          <w:sz w:val="24"/>
          <w:szCs w:val="24"/>
        </w:rPr>
        <w:t>występują obawy odnośnie do wpływu przepisów dotyczących bezpieczeństwa publicznego na działalność organizacji społeczeństwa obywatelskiego, w odniesieniu do wolności wypowiedzi i informacji oraz prawa do protestów.</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Wpływ pandemii COVID-19 na mechanizmy kontroli i równowagi oraz na debaty publiczne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Istniały różne systemy prawne, w ramach których przyjmowano środki przeciwko COVID-19, w tym ograniczenia praw podstawowych: konstytucyjny system dotyczący stanu nadzwyczajnego, nowy system dotyczący stanu nadzwyczajnego stosowany w czasie pandemii, przepisy dotyczące zdrowia publicznego lub brak jakiegokolwiek specjalnego trybu. Te systemy prawne były często modyfikowane. Na przykład w</w:t>
      </w:r>
      <w:r>
        <w:rPr>
          <w:noProof/>
        </w:rPr>
        <w:t xml:space="preserve"> </w:t>
      </w:r>
      <w:hyperlink r:id="rId278" w:history="1">
        <w:r>
          <w:rPr>
            <w:rStyle w:val="Hyperlink"/>
            <w:rFonts w:ascii="Times New Roman" w:hAnsi="Times New Roman"/>
            <w:bCs/>
            <w:noProof/>
            <w:sz w:val="24"/>
            <w:szCs w:val="24"/>
          </w:rPr>
          <w:t>Niderlandach</w:t>
        </w:r>
      </w:hyperlink>
      <w:r>
        <w:rPr>
          <w:rFonts w:ascii="Times New Roman" w:hAnsi="Times New Roman"/>
          <w:bCs/>
          <w:noProof/>
          <w:sz w:val="24"/>
          <w:szCs w:val="24"/>
        </w:rPr>
        <w:t xml:space="preserve"> i</w:t>
      </w:r>
      <w:r>
        <w:rPr>
          <w:noProof/>
        </w:rPr>
        <w:t xml:space="preserve"> </w:t>
      </w:r>
      <w:hyperlink r:id="rId279" w:history="1">
        <w:r>
          <w:rPr>
            <w:rStyle w:val="Hyperlink"/>
            <w:rFonts w:ascii="Times New Roman" w:hAnsi="Times New Roman"/>
            <w:bCs/>
            <w:noProof/>
            <w:sz w:val="24"/>
            <w:szCs w:val="24"/>
          </w:rPr>
          <w:t>Szwecji</w:t>
        </w:r>
      </w:hyperlink>
      <w:r>
        <w:rPr>
          <w:noProof/>
        </w:rPr>
        <w:t xml:space="preserve"> </w:t>
      </w:r>
      <w:r>
        <w:rPr>
          <w:rFonts w:ascii="Times New Roman" w:hAnsi="Times New Roman"/>
          <w:bCs/>
          <w:noProof/>
          <w:sz w:val="24"/>
          <w:szCs w:val="24"/>
        </w:rPr>
        <w:t>systemy wzmocniono, aby zagwarantować, że środki ograniczające będą oparte na rzetelnej podstawie prawnej. W</w:t>
      </w:r>
      <w:r>
        <w:rPr>
          <w:noProof/>
        </w:rPr>
        <w:t xml:space="preserve"> </w:t>
      </w:r>
      <w:hyperlink r:id="rId280" w:history="1">
        <w:r>
          <w:rPr>
            <w:rStyle w:val="Hyperlink"/>
            <w:rFonts w:ascii="Times New Roman" w:hAnsi="Times New Roman"/>
            <w:bCs/>
            <w:noProof/>
            <w:sz w:val="24"/>
            <w:szCs w:val="24"/>
          </w:rPr>
          <w:t>Belgii</w:t>
        </w:r>
      </w:hyperlink>
      <w:r>
        <w:rPr>
          <w:rFonts w:ascii="Times New Roman" w:hAnsi="Times New Roman"/>
          <w:bCs/>
          <w:noProof/>
          <w:sz w:val="24"/>
          <w:szCs w:val="24"/>
        </w:rPr>
        <w:t xml:space="preserve"> przyjęto „ustawę pandemiczną”, aby zapewnić nową podstawę prawną dla środków nadzwyczajnych.</w:t>
      </w:r>
      <w:r>
        <w:rPr>
          <w:rStyle w:val="Hyperlink"/>
          <w:rFonts w:ascii="Times New Roman" w:hAnsi="Times New Roman"/>
          <w:bCs/>
          <w:noProof/>
          <w:sz w:val="24"/>
          <w:szCs w:val="24"/>
          <w:u w:val="none"/>
        </w:rPr>
        <w:t xml:space="preserve"> </w:t>
      </w:r>
      <w:r>
        <w:rPr>
          <w:rFonts w:ascii="Times New Roman" w:hAnsi="Times New Roman"/>
          <w:bCs/>
          <w:noProof/>
          <w:sz w:val="24"/>
          <w:szCs w:val="24"/>
        </w:rPr>
        <w:t>W wielu państwach członkowskich przeprowadzono kontrole w zakresie konstytucyjności systemów dotyczących stanu nadzwyczajnego i ustaw o zdrowiu publicznym. Na</w:t>
      </w:r>
      <w:r>
        <w:rPr>
          <w:noProof/>
        </w:rPr>
        <w:t xml:space="preserve"> </w:t>
      </w:r>
      <w:hyperlink r:id="rId281" w:history="1">
        <w:r>
          <w:rPr>
            <w:rStyle w:val="Hyperlink"/>
            <w:rFonts w:ascii="Times New Roman" w:hAnsi="Times New Roman"/>
            <w:bCs/>
            <w:noProof/>
            <w:sz w:val="24"/>
            <w:szCs w:val="24"/>
          </w:rPr>
          <w:t>Słowacji</w:t>
        </w:r>
      </w:hyperlink>
      <w:r>
        <w:rPr>
          <w:rFonts w:ascii="Times New Roman" w:hAnsi="Times New Roman"/>
          <w:bCs/>
          <w:noProof/>
          <w:sz w:val="24"/>
          <w:szCs w:val="24"/>
        </w:rPr>
        <w:t xml:space="preserve"> Trybunał Konstytucyjny dokonał przeglądu konstytucyjności systemu dotyczącego stanu nadzwyczajnego, zarówno w momencie jego wprowadzenia jak i przedłużenia, potwierdzając jego zgodność z Konstytucją. W większości państw członkowskich specjalne systemy mają swoją datę końcową – wiele z nich przestano stosować już wiosną 2021 r. lub nastąpi to niebawem.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Stały nadzór demokratyczny parlamentów przejawiał się w regularnych debatach na temat przedłużania systemów dotyczących stanu nadzwyczajnego. Nadzór parlamentów nad poszczególnymi środkami wprowadzonymi w związku z COVID-19 był zróżnicowany. We </w:t>
      </w:r>
      <w:hyperlink r:id="rId282" w:history="1">
        <w:r>
          <w:rPr>
            <w:rStyle w:val="Hyperlink"/>
            <w:rFonts w:ascii="Times New Roman" w:hAnsi="Times New Roman"/>
            <w:bCs/>
            <w:noProof/>
            <w:sz w:val="24"/>
            <w:szCs w:val="24"/>
          </w:rPr>
          <w:t>Włoszech</w:t>
        </w:r>
      </w:hyperlink>
      <w:r>
        <w:rPr>
          <w:rFonts w:ascii="Times New Roman" w:hAnsi="Times New Roman"/>
          <w:bCs/>
          <w:noProof/>
          <w:sz w:val="24"/>
          <w:szCs w:val="24"/>
        </w:rPr>
        <w:t xml:space="preserve"> wszystkie dekrety z mocą ustawy przyjmowane przez rząd w trybie pilnym, które parlament musi przekształcić w ustawę w terminie 60 dni. W</w:t>
      </w:r>
      <w:r>
        <w:rPr>
          <w:noProof/>
        </w:rPr>
        <w:t xml:space="preserve"> </w:t>
      </w:r>
      <w:hyperlink r:id="rId283" w:history="1">
        <w:r>
          <w:rPr>
            <w:rStyle w:val="Hyperlink"/>
            <w:rFonts w:ascii="Times New Roman" w:hAnsi="Times New Roman"/>
            <w:bCs/>
            <w:noProof/>
            <w:sz w:val="24"/>
            <w:szCs w:val="24"/>
          </w:rPr>
          <w:t>Finlandii</w:t>
        </w:r>
      </w:hyperlink>
      <w:r>
        <w:rPr>
          <w:noProof/>
        </w:rPr>
        <w:t xml:space="preserve"> </w:t>
      </w:r>
      <w:r>
        <w:rPr>
          <w:rFonts w:ascii="Times New Roman" w:hAnsi="Times New Roman"/>
          <w:bCs/>
          <w:noProof/>
          <w:sz w:val="24"/>
          <w:szCs w:val="24"/>
        </w:rPr>
        <w:t xml:space="preserve">wszystkie środki nadzwyczajne muszą zostać zaakceptowane przez parlament i przejść kontrolę następczą konstytucyjności Kanclerza Sprawiedliwości i Komisji ds. Prawa Konstytucyjnego. W </w:t>
      </w:r>
      <w:hyperlink r:id="rId284" w:history="1">
        <w:r>
          <w:rPr>
            <w:rStyle w:val="Hyperlink"/>
            <w:rFonts w:ascii="Times New Roman" w:hAnsi="Times New Roman"/>
            <w:bCs/>
            <w:noProof/>
            <w:sz w:val="24"/>
            <w:szCs w:val="24"/>
          </w:rPr>
          <w:t>Portugalii</w:t>
        </w:r>
      </w:hyperlink>
      <w:r>
        <w:rPr>
          <w:rFonts w:ascii="Times New Roman" w:hAnsi="Times New Roman"/>
          <w:bCs/>
          <w:noProof/>
          <w:sz w:val="24"/>
          <w:szCs w:val="24"/>
        </w:rPr>
        <w:t xml:space="preserve"> utworzono komisję parlamentarną </w:t>
      </w:r>
      <w:r>
        <w:rPr>
          <w:rFonts w:ascii="Times New Roman" w:hAnsi="Times New Roman"/>
          <w:bCs/>
          <w:i/>
          <w:noProof/>
          <w:sz w:val="24"/>
          <w:szCs w:val="24"/>
        </w:rPr>
        <w:t>ad hoc</w:t>
      </w:r>
      <w:r>
        <w:rPr>
          <w:rFonts w:ascii="Times New Roman" w:hAnsi="Times New Roman"/>
          <w:bCs/>
          <w:noProof/>
          <w:sz w:val="24"/>
          <w:szCs w:val="24"/>
        </w:rPr>
        <w:t xml:space="preserve"> w celu monitorowania środków przyjętych w odpowiedzi na pandemię, przy czym rząd jest zobowiązany do składania sprawozdań z każdego okresu stanu nadzwyczajnego, co umożliwia parlamentowi sprawowanie kontroli również </w:t>
      </w:r>
      <w:r>
        <w:rPr>
          <w:rFonts w:ascii="Times New Roman" w:hAnsi="Times New Roman"/>
          <w:bCs/>
          <w:i/>
          <w:noProof/>
          <w:sz w:val="24"/>
          <w:szCs w:val="24"/>
        </w:rPr>
        <w:t>ex post</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W wielu państwach członkowskich z czasem wzmocniono nadzór parlamentarny nad środkami wprowadzonymi w związku z COVID-19. W</w:t>
      </w:r>
      <w:r>
        <w:rPr>
          <w:noProof/>
        </w:rPr>
        <w:t xml:space="preserve"> </w:t>
      </w:r>
      <w:hyperlink r:id="rId285" w:history="1">
        <w:r>
          <w:rPr>
            <w:rStyle w:val="Hyperlink"/>
            <w:rFonts w:ascii="Times New Roman" w:hAnsi="Times New Roman"/>
            <w:bCs/>
            <w:noProof/>
            <w:sz w:val="24"/>
            <w:szCs w:val="24"/>
          </w:rPr>
          <w:t>Niemczech</w:t>
        </w:r>
      </w:hyperlink>
      <w:r>
        <w:rPr>
          <w:rFonts w:ascii="Times New Roman" w:hAnsi="Times New Roman"/>
          <w:bCs/>
          <w:noProof/>
          <w:sz w:val="24"/>
          <w:szCs w:val="24"/>
        </w:rPr>
        <w:t xml:space="preserve"> kontrolę parlamentarną wzmocniono wprowadzając standardową listę działań, które można podejmować w drodze rozporządzeń. </w:t>
      </w:r>
      <w:hyperlink r:id="rId286" w:history="1">
        <w:r>
          <w:rPr>
            <w:rStyle w:val="Hyperlink"/>
            <w:rFonts w:ascii="Times New Roman" w:hAnsi="Times New Roman"/>
            <w:bCs/>
            <w:noProof/>
            <w:sz w:val="24"/>
            <w:szCs w:val="24"/>
          </w:rPr>
          <w:t>Austria</w:t>
        </w:r>
      </w:hyperlink>
      <w:r>
        <w:rPr>
          <w:noProof/>
        </w:rPr>
        <w:t xml:space="preserve"> </w:t>
      </w:r>
      <w:r>
        <w:rPr>
          <w:rFonts w:ascii="Times New Roman" w:hAnsi="Times New Roman"/>
          <w:bCs/>
          <w:noProof/>
          <w:sz w:val="24"/>
          <w:szCs w:val="24"/>
        </w:rPr>
        <w:t>wymagała, aby bardziej restrykcyjne rozporządzenia zatwierdzał parlament przed ich wejściem w życie i aby były one ograniczone w czasie, a także wzmocniła obowiązek dotyczący przeprowadzania konsultacji. Parlament w</w:t>
      </w:r>
      <w:r>
        <w:rPr>
          <w:noProof/>
        </w:rPr>
        <w:t xml:space="preserve"> </w:t>
      </w:r>
      <w:hyperlink r:id="rId287" w:history="1">
        <w:r>
          <w:rPr>
            <w:rStyle w:val="Hyperlink"/>
            <w:rFonts w:ascii="Times New Roman" w:hAnsi="Times New Roman"/>
            <w:bCs/>
            <w:noProof/>
            <w:sz w:val="24"/>
            <w:szCs w:val="24"/>
          </w:rPr>
          <w:t>Chorwacji</w:t>
        </w:r>
      </w:hyperlink>
      <w:r>
        <w:rPr>
          <w:noProof/>
        </w:rPr>
        <w:t xml:space="preserve"> </w:t>
      </w:r>
      <w:r>
        <w:rPr>
          <w:rFonts w:ascii="Times New Roman" w:hAnsi="Times New Roman"/>
          <w:bCs/>
          <w:noProof/>
          <w:sz w:val="24"/>
          <w:szCs w:val="24"/>
        </w:rPr>
        <w:t>wnioskował o przedstawianie sprawozdania na temat środków związanych z COVID-19 trzy razy do roku. W</w:t>
      </w:r>
      <w:r>
        <w:rPr>
          <w:noProof/>
        </w:rPr>
        <w:t xml:space="preserve"> </w:t>
      </w:r>
      <w:hyperlink r:id="rId288" w:history="1">
        <w:r>
          <w:rPr>
            <w:rStyle w:val="Hyperlink"/>
            <w:rFonts w:ascii="Times New Roman" w:hAnsi="Times New Roman"/>
            <w:bCs/>
            <w:noProof/>
            <w:sz w:val="24"/>
            <w:szCs w:val="24"/>
          </w:rPr>
          <w:t>Danii</w:t>
        </w:r>
      </w:hyperlink>
      <w:r>
        <w:rPr>
          <w:noProof/>
        </w:rPr>
        <w:t xml:space="preserve"> </w:t>
      </w:r>
      <w:r>
        <w:rPr>
          <w:rFonts w:ascii="Times New Roman" w:hAnsi="Times New Roman"/>
          <w:bCs/>
          <w:noProof/>
          <w:sz w:val="24"/>
          <w:szCs w:val="24"/>
        </w:rPr>
        <w:t>w</w:t>
      </w:r>
      <w:r>
        <w:rPr>
          <w:noProof/>
        </w:rPr>
        <w:t> </w:t>
      </w:r>
      <w:r>
        <w:rPr>
          <w:rFonts w:ascii="Times New Roman" w:hAnsi="Times New Roman"/>
          <w:bCs/>
          <w:noProof/>
          <w:sz w:val="24"/>
          <w:szCs w:val="24"/>
        </w:rPr>
        <w:t xml:space="preserve">lutym 2021 r. przyjęto nowe przepisy przewidujące wzmocnienie kontroli parlamentarnej, a w szczególności powołano specjalną komisję parlamentarną, której zadaniem jest dokonywanie przeglądów dekretów.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Jeśli chodzi o same parlamenty, pandemia miała również wpływ na ich funkcjonowanie, ale większość z nich dostosowała swoje regulaminy w celu zapewnienia ciągłości debat, głosowania i odpowiedniej reprezentacji, nawet jeśli przepisy wymagały ograniczenia liczby obecnych osób i jeśli parlamentarzyści musieli poddać się samoizolacji. Niektóre państwa członkowskie dysponowały już bardzo dobrze rozwiniętymi platformami informatycznymi, co umożliwiło im sprawniejsze przejście do nowych rozwiązań, jak miało to miejsce w przypadku </w:t>
      </w:r>
      <w:hyperlink r:id="rId289" w:history="1">
        <w:r>
          <w:rPr>
            <w:rStyle w:val="Hyperlink"/>
            <w:rFonts w:ascii="Times New Roman" w:hAnsi="Times New Roman"/>
            <w:bCs/>
            <w:noProof/>
            <w:sz w:val="24"/>
            <w:szCs w:val="24"/>
          </w:rPr>
          <w:t>Łotwy</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Kontrola legalności, uzasadnienia i proporcjonalności środków wprowadzonych w związku z COVID-19 przez sądy stanowiła istotną przeciwwagę dla uprawnień rządu do podejmowania decyzji, które mogłyby w nieproporcjonalny sposób naruszać prawa podstawowe obywateli. W </w:t>
      </w:r>
      <w:hyperlink r:id="rId290" w:history="1">
        <w:r>
          <w:rPr>
            <w:rStyle w:val="Hyperlink"/>
            <w:rFonts w:ascii="Times New Roman" w:hAnsi="Times New Roman"/>
            <w:bCs/>
            <w:noProof/>
            <w:sz w:val="24"/>
            <w:szCs w:val="24"/>
          </w:rPr>
          <w:t>Estonii</w:t>
        </w:r>
      </w:hyperlink>
      <w:r>
        <w:rPr>
          <w:rFonts w:ascii="Times New Roman" w:hAnsi="Times New Roman"/>
          <w:bCs/>
          <w:noProof/>
          <w:sz w:val="24"/>
          <w:szCs w:val="24"/>
        </w:rPr>
        <w:t xml:space="preserve"> wszystkie dekrety rządu związane z COVID-19 zawierają informacje dotyczące sposobu ich prawnego zakwestionowania i obywatele w wielu przypadkach zwracali się do sądów administracyjnych. W </w:t>
      </w:r>
      <w:hyperlink r:id="rId291" w:history="1">
        <w:r>
          <w:rPr>
            <w:rStyle w:val="Hyperlink"/>
            <w:rFonts w:ascii="Times New Roman" w:hAnsi="Times New Roman"/>
            <w:bCs/>
            <w:noProof/>
            <w:sz w:val="24"/>
            <w:szCs w:val="24"/>
          </w:rPr>
          <w:t>Niemczech</w:t>
        </w:r>
      </w:hyperlink>
      <w:r>
        <w:rPr>
          <w:rFonts w:ascii="Times New Roman" w:hAnsi="Times New Roman"/>
          <w:bCs/>
          <w:noProof/>
          <w:sz w:val="24"/>
          <w:szCs w:val="24"/>
        </w:rPr>
        <w:t xml:space="preserve"> środki poddano kompleksowej kontroli sądowej, głównie przez wyższe sądy administracyjne i sądy konstytucyjne krajów związkowych, przy czym do końca 2020 r. zarejestrowano ponad 6 000 spraw. </w:t>
      </w:r>
      <w:r>
        <w:rPr>
          <w:rFonts w:ascii="Times New Roman" w:hAnsi="Times New Roman"/>
          <w:noProof/>
          <w:sz w:val="24"/>
          <w:szCs w:val="24"/>
        </w:rPr>
        <w:t xml:space="preserve">We </w:t>
      </w:r>
      <w:hyperlink r:id="rId292" w:history="1">
        <w:r>
          <w:rPr>
            <w:rStyle w:val="Hyperlink"/>
            <w:rFonts w:ascii="Times New Roman" w:hAnsi="Times New Roman"/>
            <w:bCs/>
            <w:noProof/>
            <w:sz w:val="24"/>
            <w:szCs w:val="24"/>
          </w:rPr>
          <w:t>Francji</w:t>
        </w:r>
      </w:hyperlink>
      <w:r>
        <w:rPr>
          <w:rFonts w:ascii="Times New Roman" w:hAnsi="Times New Roman"/>
          <w:noProof/>
          <w:sz w:val="24"/>
          <w:szCs w:val="24"/>
        </w:rPr>
        <w:t xml:space="preserve"> Rada Państwa wydała orzeczenia w wielu pilnych postępowaniach kwestionujących zarządzanie pandemią przez rząd i nakazała podjęcie szeregu działań lub zawieszenie aktów, w szczególności tych związanych z prawami podstawowymi.</w:t>
      </w:r>
      <w:r>
        <w:rPr>
          <w:rFonts w:ascii="Times New Roman" w:hAnsi="Times New Roman"/>
          <w:bCs/>
          <w:noProof/>
          <w:sz w:val="24"/>
          <w:szCs w:val="24"/>
        </w:rPr>
        <w:t xml:space="preserve"> W</w:t>
      </w:r>
      <w:r>
        <w:rPr>
          <w:noProof/>
        </w:rPr>
        <w:t xml:space="preserve"> </w:t>
      </w:r>
      <w:hyperlink r:id="rId293" w:history="1">
        <w:r>
          <w:rPr>
            <w:rStyle w:val="Hyperlink"/>
            <w:rFonts w:ascii="Times New Roman" w:hAnsi="Times New Roman"/>
            <w:bCs/>
            <w:noProof/>
            <w:sz w:val="24"/>
            <w:szCs w:val="24"/>
          </w:rPr>
          <w:t>Polsce</w:t>
        </w:r>
      </w:hyperlink>
      <w:r>
        <w:rPr>
          <w:noProof/>
        </w:rPr>
        <w:t xml:space="preserve"> </w:t>
      </w:r>
      <w:r>
        <w:rPr>
          <w:rFonts w:ascii="Times New Roman" w:hAnsi="Times New Roman"/>
          <w:bCs/>
          <w:noProof/>
          <w:sz w:val="24"/>
          <w:szCs w:val="24"/>
        </w:rPr>
        <w:t>sądy uznają, że pewne środki są bezprawne, ponieważ w polskiej Konstytucji wyraźnie przewidziano, iż wszelkie ograniczenie podstawowych praw i wolności można wprowadzić tylko w przypadku ogłoszenia stanu nadzwyczajnego (który nie został ogłoszony).</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Niezależne organy odgrywały aktywną rolę przez cały czas trwania pandemii, oceniając wpływ konkretnych środków na prawa podstawowe i ostrzegając władze. We</w:t>
      </w:r>
      <w:r>
        <w:rPr>
          <w:noProof/>
        </w:rPr>
        <w:t xml:space="preserve"> </w:t>
      </w:r>
      <w:hyperlink r:id="rId294" w:history="1">
        <w:r>
          <w:rPr>
            <w:rStyle w:val="Hyperlink"/>
            <w:rFonts w:ascii="Times New Roman" w:hAnsi="Times New Roman"/>
            <w:noProof/>
            <w:sz w:val="24"/>
            <w:szCs w:val="24"/>
          </w:rPr>
          <w:t>Francji</w:t>
        </w:r>
      </w:hyperlink>
      <w:r>
        <w:rPr>
          <w:noProof/>
        </w:rPr>
        <w:t xml:space="preserve"> </w:t>
      </w:r>
      <w:r>
        <w:rPr>
          <w:rFonts w:ascii="Times New Roman" w:hAnsi="Times New Roman"/>
          <w:noProof/>
          <w:sz w:val="24"/>
          <w:szCs w:val="24"/>
        </w:rPr>
        <w:t>Krajowa Komisja ds. Praw Człowieka przeanalizowała środki wprowadzone w związku z COVID-19 i opublikowała szereg opinii</w:t>
      </w:r>
      <w:r>
        <w:rPr>
          <w:noProof/>
        </w:rPr>
        <w:t>.</w:t>
      </w:r>
      <w:r>
        <w:rPr>
          <w:rFonts w:ascii="Times New Roman" w:hAnsi="Times New Roman"/>
          <w:noProof/>
          <w:sz w:val="24"/>
          <w:szCs w:val="24"/>
        </w:rPr>
        <w:t xml:space="preserve"> Na</w:t>
      </w:r>
      <w:r>
        <w:rPr>
          <w:noProof/>
        </w:rPr>
        <w:t xml:space="preserve"> </w:t>
      </w:r>
      <w:hyperlink r:id="rId295" w:history="1">
        <w:r>
          <w:rPr>
            <w:rStyle w:val="Hyperlink"/>
            <w:rFonts w:ascii="Times New Roman" w:hAnsi="Times New Roman"/>
            <w:noProof/>
            <w:sz w:val="24"/>
            <w:szCs w:val="24"/>
          </w:rPr>
          <w:t>Litwie</w:t>
        </w:r>
      </w:hyperlink>
      <w:r>
        <w:rPr>
          <w:noProof/>
        </w:rPr>
        <w:t xml:space="preserve"> </w:t>
      </w:r>
      <w:r>
        <w:rPr>
          <w:rFonts w:ascii="Times New Roman" w:hAnsi="Times New Roman"/>
          <w:noProof/>
          <w:sz w:val="24"/>
          <w:szCs w:val="24"/>
        </w:rPr>
        <w:t>parlamentarni rzecznicy praw obywatelskich oceniali przestrzeganie w ramach środków nadzwyczajnych podstawowych praw i wolności. W</w:t>
      </w:r>
      <w:r>
        <w:rPr>
          <w:noProof/>
        </w:rPr>
        <w:t xml:space="preserve"> </w:t>
      </w:r>
      <w:hyperlink r:id="rId296" w:history="1">
        <w:r>
          <w:rPr>
            <w:rStyle w:val="Hyperlink"/>
            <w:rFonts w:ascii="Times New Roman" w:hAnsi="Times New Roman"/>
            <w:noProof/>
            <w:sz w:val="24"/>
            <w:szCs w:val="24"/>
          </w:rPr>
          <w:t>Irlandii</w:t>
        </w:r>
      </w:hyperlink>
      <w:r>
        <w:rPr>
          <w:noProof/>
        </w:rPr>
        <w:t xml:space="preserve"> </w:t>
      </w:r>
      <w:r>
        <w:rPr>
          <w:rFonts w:ascii="Times New Roman" w:hAnsi="Times New Roman"/>
          <w:noProof/>
          <w:sz w:val="24"/>
          <w:szCs w:val="24"/>
        </w:rPr>
        <w:t>irlandzka Komisja ds. Praw Człowieka i Równouprawnienia zaleciła przedłużanie stosowania środków wprowadzonych w związku z COVID-19 na krótsze okresy oraz określenie w przepisach prawa maksymalnego czasu trwania każdego przedłużenia.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Organizacje społeczeństwa obywatelskiego odczuły skutki pandemii nie tylko ze względu na ograniczenia swobody przemieszczania się i zgromadzeń, ale także pod względem finansowania. Zaangażowanie społeczeństwa obywatelskiego w opracowywanie i wdrażanie środków w związku z COVID-19 było na ogół bardzo ograniczone. W </w:t>
      </w:r>
      <w:hyperlink r:id="rId297" w:history="1">
        <w:r>
          <w:rPr>
            <w:rStyle w:val="Hyperlink"/>
            <w:rFonts w:ascii="Times New Roman" w:hAnsi="Times New Roman"/>
            <w:noProof/>
            <w:sz w:val="24"/>
            <w:szCs w:val="24"/>
          </w:rPr>
          <w:t>Austrii</w:t>
        </w:r>
      </w:hyperlink>
      <w:r>
        <w:rPr>
          <w:rFonts w:ascii="Times New Roman" w:hAnsi="Times New Roman"/>
          <w:noProof/>
          <w:sz w:val="24"/>
          <w:szCs w:val="24"/>
        </w:rPr>
        <w:t xml:space="preserve"> rząd podjął działania na rzecz dalszego rozwoju dialogu ze społeczeństwem obywatelskim, w szczególności konsultując się z nim w kwestii wsparcia przyznawanego w czasie pandemii.</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W niektórych państwach członkowskich doświadczenia te skutkowały już refleksjami nad zmianami (konstytucyjnymi), aby lepiej przygotować się na przyszłe kryzysy. W </w:t>
      </w:r>
      <w:hyperlink r:id="rId298" w:history="1">
        <w:r>
          <w:rPr>
            <w:rStyle w:val="Hyperlink"/>
            <w:rFonts w:ascii="Times New Roman" w:hAnsi="Times New Roman"/>
            <w:bCs/>
            <w:noProof/>
            <w:sz w:val="24"/>
            <w:szCs w:val="24"/>
          </w:rPr>
          <w:t>Finlandii</w:t>
        </w:r>
      </w:hyperlink>
      <w:r>
        <w:rPr>
          <w:rFonts w:ascii="Times New Roman" w:hAnsi="Times New Roman"/>
          <w:bCs/>
          <w:noProof/>
          <w:sz w:val="24"/>
          <w:szCs w:val="24"/>
        </w:rPr>
        <w:t xml:space="preserve"> Komisja ds. Prawa Konstytucyjnego zwróciła się o dokonanie szczegółowego przeglądu przepisów dotyczących stanu nadzwyczajnego po zakończeniu pandemii. W </w:t>
      </w:r>
      <w:hyperlink r:id="rId299" w:history="1">
        <w:r>
          <w:rPr>
            <w:rStyle w:val="Hyperlink"/>
            <w:rFonts w:ascii="Times New Roman" w:hAnsi="Times New Roman"/>
            <w:bCs/>
            <w:noProof/>
            <w:sz w:val="24"/>
            <w:szCs w:val="24"/>
          </w:rPr>
          <w:t xml:space="preserve">Szwecji </w:t>
        </w:r>
      </w:hyperlink>
      <w:r>
        <w:rPr>
          <w:rFonts w:ascii="Times New Roman" w:hAnsi="Times New Roman"/>
          <w:bCs/>
          <w:noProof/>
          <w:sz w:val="24"/>
          <w:szCs w:val="24"/>
        </w:rPr>
        <w:t xml:space="preserve">powołana zostanie komisja śledcza, która zbada potrzebę dodania do konstytucji przepisów dotyczących stanu nadzwyczajnego w czasie pokoju. We </w:t>
      </w:r>
      <w:hyperlink r:id="rId300" w:history="1">
        <w:r>
          <w:rPr>
            <w:rStyle w:val="Hyperlink"/>
            <w:rFonts w:ascii="Times New Roman" w:hAnsi="Times New Roman"/>
            <w:bCs/>
            <w:noProof/>
            <w:sz w:val="24"/>
            <w:szCs w:val="24"/>
          </w:rPr>
          <w:t>Włoszech</w:t>
        </w:r>
      </w:hyperlink>
      <w:r>
        <w:rPr>
          <w:rFonts w:ascii="Times New Roman" w:hAnsi="Times New Roman"/>
          <w:bCs/>
          <w:noProof/>
          <w:sz w:val="24"/>
          <w:szCs w:val="24"/>
        </w:rPr>
        <w:t xml:space="preserve"> Senat zaproponował utworzenie specjalnej dwuizbowej komisji konsultacyjnej w celu zapewnienia parlamentowi centralnej roli w sytuacjach nadzwyczajnych. Na </w:t>
      </w:r>
      <w:hyperlink r:id="rId301" w:history="1">
        <w:r>
          <w:rPr>
            <w:rStyle w:val="Hyperlink"/>
            <w:rFonts w:ascii="Times New Roman" w:hAnsi="Times New Roman"/>
            <w:bCs/>
            <w:noProof/>
            <w:sz w:val="24"/>
            <w:szCs w:val="24"/>
          </w:rPr>
          <w:t>Węgrzech</w:t>
        </w:r>
      </w:hyperlink>
      <w:r>
        <w:rPr>
          <w:rFonts w:ascii="Times New Roman" w:hAnsi="Times New Roman"/>
          <w:bCs/>
          <w:noProof/>
          <w:sz w:val="24"/>
          <w:szCs w:val="24"/>
        </w:rPr>
        <w:t xml:space="preserve"> w drodze zmiany konstytucji od lipca 2023 r. nastąpi ograniczenie uprawnień rządu w odniesieniu do systemów szczególnego porządku prawnego. Obecny konstytucyjny system dotyczący stanu nadzwyczajnego, który daje rządowi szerokie uprawnienia, nadal obowiązuje i będzie obowiązywał, dopóki rząd nie zdecyduje się go zlikwidować.</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ROZWÓJ SYTUACJI I DZIAŁANIA NA SZCZEBLU UE W ZAKRESIE PRAWORZĄDNOŚCI </w:t>
      </w:r>
    </w:p>
    <w:p>
      <w:pPr>
        <w:pStyle w:val="BodyText"/>
        <w:spacing w:after="0"/>
        <w:rPr>
          <w:i/>
          <w:noProof/>
        </w:rPr>
      </w:pPr>
      <w:r>
        <w:rPr>
          <w:noProof/>
        </w:rPr>
        <w:t xml:space="preserve">W ubiegłym roku praworządność nadal zajmowała wysokie miejsce w programie działań UE. Po opublikowaniu pierwszego rocznego sprawozdania na temat praworządności we wrześniu 2020 r. odbyły się ważne debaty w Parlamencie Europejskim i Radzie. Podjęto także działania informacyjne w stosunku do społeczeństwa obywatelskiego i państw członkowskich, w tym parlamentów narodowych. Ten rozwój sytuacji na szczeblu UE można postrzegać jako stopniową konsolidację procesu praworządności wzdłuż kilku osi: dialogu międzyinstytucjonalnego, dialogu z państwami członkowskimi i między nimi, dialogu z zainteresowanymi stronami oraz współpracy międzynarodowej. Równolegle w TSUE kontynuowano prace nad egzekwowaniem praworządności, a Komisja wypełniała swoją rolę strażnika Traktatów poprzez postępowania w sprawie uchybienia zobowiązaniom państwa członkowskiego. Ponadto dalej rozwijano zestaw instrumentów na rzecz praworządności po osiągnięciu porozumienia w sprawie systemu warunkowości.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Wzmocnienie reakcji międzyinstytucjonalnej</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Kluczowym celem sprawozdania na temat praworządności było podnoszenie świadomości i promowanie otwartej dyskusji między państwami członkowskimi w kwestiach praworządności. Jak zauważono w sprawozdaniu z 2020 r.</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w wyniku przeglądu dorocznego dialogu Rady na temat praworządności w 2019 r. osiągnięto szeroko zakrojony konsensus w sprawie wzmocnienia tego dialogu na podstawie sprawozdania Komisji. W związku z tym jesienią 2020 r. prezydencja zorganizowała dwuetapowy proces obejmujący dyskusję horyzontalną na temat ogólnego rozwoju sytuacji w zakresie praworządności, a także odrębną dyskusję dotyczącą poszczególnych państw, obejmującą najpierw pięć państw członkowskich</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na podstawie sprawozdania na temat praworządności. Wiosną 2021 r. kontynuowano dialog dotyczący poszczególnych państw, obejmując nim pięć kolejnych państw członkowskich</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Wyznacza to roczny cykl dyskusji w Radzie do Spraw Ogólnych. Obecna prezydencja ogłosiła, że będzie kontynuować to podejście w drugiej połowie 2021 r. Dotychczasowe dyskusje w Radzie wykazały wyraźne zainteresowanie państw członkowskich dzieleniem się zmianami i najlepszymi praktykami, aby przyczynić się do zapobiegania problemom w sposób integracyjny i konstruktywny. Równolegle w różnych składach Rady przeprowadzono również wymiany tematyczne dotyczące kwestii praworządności, w tym wymiany dobrych praktyk.</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Parlament Europejski odgrywa coraz ważniejszą rolę w inicjowaniu debaty na temat praworządności, przy czym tendencja ta utrzymywała się w ubiegłym roku. W październiku 2020 r. Parlament przyjął rezolucję, w której wezwał Komisję i Radę do rozpoczęcia negocjacji w sprawie porozumienia międzyinstytucjonalnego w sprawie wzmocnienia wartości Unii</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Komisja z zadowoleniem przyjęła tę rezolucję i w pełni zgadza się z Parlamentem Europejskim co do znaczenia wzmocnienia zdolności UE do monitorowania i stania na straży wspólnych wartości UE. Roczne sprawozdanie na temat praworządności odgrywa ważną rolę w tym względzie, obejmując kwestie mające bezpośrednie znaczenie także dla innych wartości Unii, takich jak demokracja i prawa podstawowe, co wiąże się także z pracami nad europejskim planem działania na rzecz demokracji, wspieraniem Karty praw podstawowych oraz promowaniem Unii równości. Rozwijający się dialog między instytucjami na temat praworządności należy postrzegać w tym szerszym kontekście i w nadchodzących latach będzie się on nadal rozwijał. Parlament Europejski przyjął rezolucję, w której z zadowoleniem przyjął sprawozdanie na temat praworządności z 2020 r., ponawiając jednocześnie swoje wcześniejsze apele o wprowadzenie ulepszeń, w szczególności o włączenie zaleceń dla poszczególnych krajów</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Komisja z zadowoleniem przyjmuje tę rezolucję i dokładnie ją przeanalizuje podczas przygotowywania przyszłych sprawozdań.</w:t>
      </w:r>
      <w:r>
        <w:rPr>
          <w:noProof/>
        </w:rPr>
        <w:t xml:space="preserve"> </w:t>
      </w:r>
      <w:r>
        <w:rPr>
          <w:rFonts w:ascii="Times New Roman" w:hAnsi="Times New Roman"/>
          <w:noProof/>
          <w:sz w:val="24"/>
          <w:szCs w:val="24"/>
        </w:rPr>
        <w:t>Komisja podtrzymuje swoje zobowiązanie do pogłębienia dialogu z Parlamentem Europejskim.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Jeżeli chodzi o sytuację w poszczególnych państwach członkowskich, w ubiegłym roku Parlament Europejski przyjął rezolucje w sprawie sytuacji w zakresie praworządności w </w:t>
      </w:r>
      <w:r>
        <w:rPr>
          <w:rFonts w:ascii="Times New Roman" w:hAnsi="Times New Roman"/>
          <w:bCs/>
          <w:noProof/>
          <w:sz w:val="24"/>
          <w:szCs w:val="24"/>
        </w:rPr>
        <w:t>Bułgarii</w:t>
      </w:r>
      <w:r>
        <w:rPr>
          <w:rFonts w:ascii="Times New Roman" w:hAnsi="Times New Roman"/>
          <w:noProof/>
          <w:sz w:val="24"/>
          <w:szCs w:val="24"/>
        </w:rPr>
        <w:t>, na Malcie i w Polsce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Grupa ds. monitorowania demokracji, praworządności i praw podstawowych</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przy Komisji Wolności Obywatelskich, Sprawiedliwości i Spraw Wewnętrznych (LIBE) Parlamentu Europejskiego odegrała ważną rolę w pogłębianiu debaty na temat praworządności w Parlamencie Europejskim. Grupa ds. monitorowania przeprowadziła wymianę poglądów na temat sytuacji w </w:t>
      </w:r>
      <w:r>
        <w:rPr>
          <w:rFonts w:ascii="Times New Roman" w:hAnsi="Times New Roman"/>
          <w:bCs/>
          <w:noProof/>
          <w:sz w:val="24"/>
          <w:szCs w:val="24"/>
        </w:rPr>
        <w:t>Bułgarii</w:t>
      </w:r>
      <w:r>
        <w:rPr>
          <w:rFonts w:ascii="Times New Roman" w:hAnsi="Times New Roman"/>
          <w:noProof/>
          <w:sz w:val="24"/>
          <w:szCs w:val="24"/>
        </w:rPr>
        <w:t>, na Malcie, w Polsce, na Słowacji i w Słowenii dotyczącą konkretnego przypadku w Belgii oraz przestrzeni dla społeczeństwa obywatelskiego w UE. Grupa ds. monitorowania aktywnie śledziła także sytuację w Unii w odniesieniu do środków związanych z COVID-19</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Ponadto Europejski Komitet Ekonomiczno-Społeczny, za pośrednictwem swojej grupy ad hoc ds. praw podstawowych i praworządności</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oraz Komitet Regionów, za pośrednictwem swojej Komisji Obywatelstwa, Sprawowania Rządów, Spraw Instytucjonalnych i Zewnętrznych (Komisja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również przyczyniły się do dialogu na temat praworządności na szczeblu UE.</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Wzmocnienie dialogu z państwami członkowskimi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 opublikowaniu sprawozdania na temat praworządności z 2020 r. dołożono szczególnych starań, aby dotrzeć do państw członkowskich. Na szczeblu politycznym parlamenty narodowe odgrywają kluczową rolę w utrzymaniu praworządności, zarówno jako ustawodawcy, jak i w rozliczaniu władzy wykonawczej. W ciągu ostatniego roku Komisja</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odwiedziła większość parlamentów narodowych w celu przedstawienia i omówienia metodyki oraz ustaleń dotyczących poszczególnych państw zawartych w sprawozdaniu na temat praworządności z 2020 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Komisja przeprowadziła również spotkania dwustronne, w tym zarówno dialog</w:t>
      </w:r>
      <w:r>
        <w:rPr>
          <w:rFonts w:ascii="Times New Roman" w:hAnsi="Times New Roman"/>
          <w:noProof/>
          <w:sz w:val="24"/>
        </w:rPr>
        <w:t xml:space="preserve"> na szczeblu politycznym</w:t>
      </w:r>
      <w:r>
        <w:rPr>
          <w:rFonts w:ascii="Times New Roman" w:hAnsi="Times New Roman"/>
          <w:noProof/>
          <w:sz w:val="24"/>
          <w:szCs w:val="24"/>
        </w:rPr>
        <w:t>, jak i spotkania techniczne w celu zebrania informacji na temat stanu realizacji kluczowych reform w ramach działań następczych w związku z ustaleniami ze sprawozdania na temat praworządności z 2020 r. W pierwszym roku kontakty takie ograniczały się do kilku państw członkowskich, ale w przyszłości mogą stać się bardziej znaczącym elementem.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Nadal odbywały się regularne spotkania w ramach sieci punktów kontaktowych ds. praworządności, skupiającej przedstawicieli wszystkich państw członkowskich. Forum to, w obrębie którego skoncentrowano się początkowo na pomocy w tworzeniu mechanizmu i jego metodyki, obecnie w coraz większym stopniu działa jako kanał bieżącej komunikacji z państwami członkowskimi i między nimi w celu przygotowania sprawozdania na temat praworządności. Przewiduje się również, że spotkania te mogłyby w coraz większym stopniu służyć jako platforma dzielenia się dobrymi praktykami i wymiany informacji na temat planowanych reform związanych z praworządnością między państwami członkowskimi na szczeblu technicznym.</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Wzmocnienie dialogu z zainteresowanymi stronami na szczeblu krajowym i unijnym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Społeczeństwo obywatelskie jest kluczowym partnerem UE w jej działaniach na rzecz promowania silniejszej europejskiej kultury praworządności. Przygotowując sprawozdanie, Komisja odbyła spotkania w celu omówienia rozwoju sytuacji w zakresie praworządności z zainteresowanymi stronami, takimi jak sieci europejskie, krajowe i europejskie organizacje społeczeństwa obywatelskiego oraz stowarzyszenia pracowników</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Organizacje społeczeństwa obywatelskiego wniosły również znaczną liczbę pisemnych uwag jako wkład do sprawozdania</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maju 2021 r. prezydencja portugalska we współpracy z Komisją Europejską zorganizowała w Coimbrze pierwszą konferencję wysokiego szczebla na temat praworządności w Europie, w ramach której zgromadzono decydentów, organizacje społeczeństwa obywatelskiego, europejskie sieci sądowe, przedstawicieli środowisk akademickich i dziennikarzy. Na konferencji podsumowano starania na rzecz utrzymania praworządności w Europie i skoncentrowano się na roli społeczeństwa obywatelskiego, wyzwaniach związanych z informowaniem o kwestiach praworządności oraz na praworządności w kontekście pandemii i ożywienia gospodarczego.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Duży wkład społeczeństwa obywatelskiego w przygotowanie drugiego sprawozdania przyczynił się do uznania organizacji społeczeństwa obywatelskiego na szczeblu krajowym i dodatkowo zachęcił do tworzenia powiązań i sieci poza granicami państw. Komisja będzie nadal zastanawiać się nad sposobami mobilizowania społeczeństwa obywatelskiego, stowarzyszeń pracowników i innych zainteresowanych stron do udziału w debacie na temat praworządności na szczeblu krajowym i europejskim.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Wzmacnianie współpracy międzynarodowej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Praworządność jest dla UE zasadą przewodnią również poza jej granicami. Kierując się uniwersalnymi wartościami i zasadami zawartymi w Karcie Narodów Zjednoczonych i prawie międzynarodowym, w tym międzynarodowym prawie humanitarnym, UE jest zagorzałym obrońcą praw człowieka, demokracji i praworządności na całym świecie, czego dowodem jest nowy Plan działania UE dotyczący praw człowieka i demokracji na lata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w zgodzie z celami zrównoważonego rozwoju</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UE będzie nadal stosować spójne podejście we współpracy z krajami kandydującymi i potencjalnymi krajami kandydującymi, państwami sąsiadującymi, a także we wszystkich swoich działaniach zewnętrznych na szczeblu dwustronnym, regionalnym i wielostronnym.</w:t>
      </w:r>
      <w:r>
        <w:rPr>
          <w:noProof/>
        </w:rPr>
        <w:t xml:space="preserve"> </w:t>
      </w:r>
      <w:r>
        <w:rPr>
          <w:rFonts w:ascii="Times New Roman" w:hAnsi="Times New Roman"/>
          <w:noProof/>
          <w:sz w:val="24"/>
          <w:szCs w:val="24"/>
        </w:rPr>
        <w:t>UE regularnie porusza kwestie praworządności w dialogach dotyczących praw człowieka z krajami partnerskimi oraz na szczeblu wielostronnym, w szczególności z Organizacją Narodów Zjednoczonych.</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Umacnianie praworządności na szczeblu globalnym obejmuje zacieśnienie współpracy w kwestiach praworządności z organizacjami międzynarodowymi i regionalnymi</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Oceny wyspecjalizowanych organów międzynarodowych stanowiły istotny wkład w analizę Komisji, a bliższa współpraca i wymiana pozwoliły Komisji na lepsze zrozumienie sytuacji w państwach członkowskich. Na poziomie technicznym kontakty między służbami Komisji a poszczególnymi organami Rady Europy stały się regularnym elementem przygotowywania sprawozdania</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Komisja dąży do dalszego wzmocnienia tego kluczowego elementu w swoich działaniach na rzecz praworządności, opierając się na bliskich stosunkach z Radą Europy i innymi organami międzynarodowymi. W dniu 26 stycznia 2021 r. Komisja przedstawiła Zgromadzeniu Parlamentarnemu Rady Europy sprawozdanie na temat praworządności z 2020 r. Komisja brała także udział w wydarzeniach organizowanych przez Organizację Współpracy Gospodarczej i Rozwoju (OECD), podczas których przedstawiano i omawiano tematy objęte mechanizmem praworządności.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Inne zmiany instytucjonalne związane z praworządnością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TSUE nadal rozwijał swoje orzecznictwo w zakresie praworządności, zwłaszcza w odniesieniu do określonego w Traktacie wymogu, zgodnie z którym państwa członkowskie ustanawiają środki niezbędne do zapewnienia skutecznej ochrony prawnej w dziedzinach objętych prawem Unii</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w ramach czego TSUE doprecyzował gwarancje niezależności sądów w prawie Unii. Za pomocą mechanizmu odesłania prejudycjalnego sądy krajowe w dalszym ciągu zwracały uwagę TSUE na kwestie praworządności. Trybunał rozstrzygnął wnioski o wydanie orzeczeń w trybie prejudycjalnym w sprawach dotyczących praworządności złożone przez sądy z Malty, Polski, Niderlandów i Rumunii. </w:t>
      </w:r>
      <w:r>
        <w:rPr>
          <w:rFonts w:ascii="Times New Roman" w:hAnsi="Times New Roman"/>
          <w:iCs/>
          <w:noProof/>
          <w:sz w:val="24"/>
          <w:szCs w:val="24"/>
        </w:rPr>
        <w:t>Orzeczenia te dotyczyły w szczególności</w:t>
      </w:r>
      <w:r>
        <w:rPr>
          <w:rFonts w:ascii="Times New Roman" w:hAnsi="Times New Roman"/>
          <w:noProof/>
          <w:sz w:val="24"/>
          <w:szCs w:val="24"/>
        </w:rPr>
        <w:t xml:space="preserve"> </w:t>
      </w:r>
      <w:r>
        <w:rPr>
          <w:rFonts w:ascii="Times New Roman" w:hAnsi="Times New Roman"/>
          <w:iCs/>
          <w:noProof/>
          <w:sz w:val="24"/>
          <w:szCs w:val="24"/>
        </w:rPr>
        <w:t>procedur</w:t>
      </w:r>
      <w:r>
        <w:rPr>
          <w:rFonts w:ascii="Times New Roman" w:hAnsi="Times New Roman"/>
          <w:noProof/>
          <w:sz w:val="24"/>
          <w:szCs w:val="24"/>
        </w:rPr>
        <w:t xml:space="preserve"> </w:t>
      </w:r>
      <w:r>
        <w:rPr>
          <w:rFonts w:ascii="Times New Roman" w:hAnsi="Times New Roman"/>
          <w:iCs/>
          <w:noProof/>
          <w:sz w:val="24"/>
          <w:szCs w:val="24"/>
        </w:rPr>
        <w:t>powoływania sędziów, wykonywania europejskich nakazów aresztowania</w:t>
      </w:r>
      <w:r>
        <w:rPr>
          <w:rFonts w:ascii="Times New Roman" w:hAnsi="Times New Roman"/>
          <w:noProof/>
          <w:sz w:val="24"/>
          <w:szCs w:val="24"/>
        </w:rPr>
        <w:t xml:space="preserve"> w przypadku utrzymujących się braków w zakresie niezależności sądów w danym państwie członkowskim, </w:t>
      </w:r>
      <w:r>
        <w:rPr>
          <w:rFonts w:ascii="Times New Roman" w:hAnsi="Times New Roman"/>
          <w:iCs/>
          <w:noProof/>
          <w:sz w:val="24"/>
          <w:szCs w:val="24"/>
        </w:rPr>
        <w:t>modelu postępowań dyscyplinarnych wobec sędziów, odpowiedzialności osobistej sędziów, utworzenia specjalnej sekcji prokuratury zajmującej się sędziami</w:t>
      </w:r>
      <w:r>
        <w:rPr>
          <w:rFonts w:ascii="Times New Roman" w:hAnsi="Times New Roman"/>
          <w:noProof/>
          <w:sz w:val="24"/>
          <w:szCs w:val="24"/>
        </w:rPr>
        <w:t xml:space="preserve"> oraz zasady pierwszeństwa prawa UE</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Ponadto Komisja nadal pełniła rolę strażnika Traktatów UE, wszczynając postępowania w sprawie uchybienia zobowiązaniom państwa członkowskiego. W niektórych szczególnych przypadkach Komisja zwróciła się do TSUE o zarządzenie środków tymczasowych. aby zapobiec nieodwracalnym szkodom</w:t>
      </w:r>
      <w:r>
        <w:rPr>
          <w:rStyle w:val="FootnoteReference"/>
          <w:rFonts w:ascii="Times New Roman" w:eastAsia="Calibri" w:hAnsi="Times New Roman" w:cs="Times New Roman"/>
          <w:noProof/>
          <w:sz w:val="24"/>
          <w:szCs w:val="24"/>
          <w:lang w:eastAsia="en-IE"/>
        </w:rPr>
        <w:footnoteReference w:id="78"/>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Oprócz postępowań w sprawie uchybienia zobowiązaniom państwa członkowskiego, które mają na celu przeciwdziałanie określonym naruszeniom prawa Unii, w art. 7 Traktatu o Unii Europejskiej przewidziano bardziej ogólną procedurę służącą ochronie wspólnych wartości Unii, w tym praworządności. Rada pozostaje zajęta dwoma postępowaniami, wszczętymi przez Komisję przeciwko Polsce w 2017 r. i przez Parlament Europejski przeciwko Węgrom w 2018 r., z myślą o stwierdzeniu, że istnieje wyraźne ryzyko poważnego naruszenia wartości Unii. We wrześniu 2020 r. Komisja przedstawiła Radzie najnowsze informacje na temat rozwoju sytuacji w dziedzinach objętych uzasadnionymi wnioskami. W czerwcu 2021 r. Rada przeprowadziła wysłuchania dotyczące zarówno Węgier, jak i Polski.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Praworządność jest warunkiem wstępnym właściwego zarządzania funduszami UE, a w maju 2018 r. Komisja zaproponowała, aby do swoich wniosków dotyczących nowych ram budżetowych dołączyć wniosek ustawodawczy dotyczący specjalnego mechanizmu ochrony funduszy UE przed ryzykiem wynikającym z naruszeń praworządności w poszczególnych państwach członkowskich. Wynikające z tego rozporządzenie przyjęto w grudniu 2020 r.</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Komisja jest w pełni zaangażowana w egzekwowanie rozporządzenia i aktywnie pracuje nad jego konkretnym zastosowaniem. Komisja konsultuje się obecnie z Parlamentem Europejskim i państwami członkowskimi w sprawie wytycznych, które posłużą do bardziej szczegółowego określenia, w jaki sposób Komisja zamierza stosować wspomniane rozporządzenie w praktyce. Równocześnie Komisja rozpoczęła monitorowanie potencjalnych przypadków. Rozporządzenie stosuje się od dnia 1 stycznia 2021 r. i obejmie ono wszelkie naruszenia, które wystąpią począwszy od tego dnia.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Dzień 1 czerwca 2021 r. to data rozpoczęcia działalności przez Prokuraturę Europejską (EPPO), która jest właściwa do prowadzenia dochodzeń, ścigania i stawiania przed sądem w przypadkach nadużyć finansowych i innych przestępstw związanych z budżetem UE</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uzupełniając rolę Europejskiego Urzędu ds. Zwalczania Nadużyć Finansowych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EPPO wszczyna postępowania przygotowawcze, wnosi akty oskarżenia i sprawuje funkcje oskarżyciela publicznego przed właściwymi sądami uczestniczących państw członkowskich aż do ostatecznego zakończenia sprawy. Skuteczność krajowych systemów wymiaru sprawiedliwości analizowanych w niniejszym sprawozdaniu będzie kluczowym czynnikiem zapewniającym zakończenie spraw i zastosowanie skutecznych sankcji.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Praworządność odgrywa również istotną rolę we wdrażaniu Instrumentu na rzecz Odbudowy i Zwiększania Odporności. Plany odbudowy i zwiększania odporności państw członkowskich obejmują ważne priorytety w zakresie reform, takie jak poprawa otoczenia biznesu poprzez skuteczną administrację publiczną i systemy wymiaru sprawiedliwości. Oprócz tego Komisja Europejska zapewnia państwom członkowskim wsparcie techniczne, w szczególności za pośrednictwem Instrumentu Wsparcia Technicznego, z myślą o poprawie skuteczności, jakości i niezależności administracji publicznej oraz systemów wymiaru sprawiedliwości.</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WNIOSKI I DALSZE DZIAŁANIA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Pandemia COVID-19 jeszcze bardziej uwypukliła znaczenie praworządności dla naszych demokracji, naszych praw podstawowych oraz codziennego życia Europejczyków. Była ona również testem warunków skrajnych pod kątem praworządności. Doświadczenia związane z pandemią pokazały, że systemy krajowe są ogółem bardzo odporne, a jednocześnie ujawniły szereg określonych obszarów, w których praworządność znalazła się pod naciskiem. Praworządność stanowi ważny element gotowości na czasy kryzysu.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W niniejszym sprawozdaniu udało się wykazać wiele pozytywnych zmian w zakresie praworządności w państwach członkowskich, w ramach których podjęto działania następcze w związku z wcześniej zidentyfikowanymi wyzwaniami. Pokazano w nim także, gdzie nadal występują lub nasilają się wyzwania i obawy, niekiedy poważne. Komisja z zadowoleniem przyjmuje udział wszystkich państw członkowskich, które wykazują stałe zaangażowanie i współpracę oraz gotowość do podjęcia dialogu na temat delikatnych kwestii.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Przyjęcie sprawozdania na temat praworządności z 2021 r. oznacza rozpoczęcie nowego cyklu dialogu i monitorowania. Komisja zwraca się do Rady i Parlamentu Europejskiego o przeprowadzenie na podstawie niniejszego sprawozdania debat ogólnych i dotyczących poszczególnych państw, a także do parlamentów narodowych i innych kluczowych podmiotów o zintensyfikowanie debat krajowych. Komisja wzywa państwa członkowskie do skutecznego podjęcia wyzwań określonych w tym sprawozdaniu i jest gotowa wspierać je w tych dążeniach. Wspólnym zobowiązaniem państw członkowskich i UE jest ochrona, propagowanie i umacnianie praworządności oraz uczynienie z niej żywego elementu kultury politycznej.</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Komisja z niecierpliwością oczekuje na kontynuację dialogu z kluczowymi podmiotami działającymi na rzecz praworządności. Poszanowanie praworządności, jak również demokracji i praw człowieka, jest postrzegane przez Europejczyków jako jeden z głównych atutów UE. Daje to wszystkim państwom członkowskim i instytucjom Unii poczucie odpowiedzialności i przesądza o kierunku ich działań w tym zakresie.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 2 Traktatu o Unii Europejskiej.</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Specjalne badanie Eurobarometr nr 500 na temat przyszłości Europy.</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rPr>
        <w:t>Zob. sprawozdanie na temat praworządności z 2020 r., COM(2020) 580 final, s. 1 i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Np. stwierdzenie, że przestrzeganie zasad praworządności jest warunkiem wstępnym przystąpienia do UE, a państwa członkowskie nie mogą następnie zmieniać swojego ustawodawstwa w sposób powodujący zmniejszenie ochrony wartości praworządności. Zob. wyrok z dnia 20 marca 2021 r., Repubblika/Il-Prim Ministru, C-896/19, ECLI:EU:C:2021:311.</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Takich jak unijna tablica wyników wymiaru sprawiedliwości, Instrument na rzecz Odbudowy i Zwiększania Odporności, fundusze strukturalne oraz Instrument Wsparcia Technicznego.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Zob. strategia na rzecz równouprawnienia płci na lata 2020–2025, COM(2020) 152; Unijny plan działania przeciwko rasizmowi na lata 2020–2025, COM(2020) 565 final; unijne ramy strategiczne na rzecz równouprawnienia, włączenia społecznego i udziału Romów, COM(2020) 620, strategia na rzecz równości osób LGBTIQ na lata 2020–2025, COM(2020) 698; strategia UE na rzecz praw dziecka, COM(2021) 142; strategia na rzecz praw osób z niepełnosprawnościami na lata 2021–2030, COM(2021) 101; Plan działania na rzecz Europejskiego filaru praw socjalnych,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Aby chronić tych praw, Komisja wszczyna postępowania w sprawie uchybienia zobowiązaniom państwa członkowskiego. Do najnowszych przykładów należą sprawy przeciwko Węgrom i Polsce dotyczące naruszeń podstawowych praw osoby LGBTIQ. W przypadku Węgier chodzi o niedawno przyjęte prawo zakazujące treści LGBTIQ oraz o decyzję nakładającą obowiązku zamieszczenia specjalnej adnotacji na książce dla dzieci zawierających treści LGBTIQ. W przypadku Polski chodzi o naruszenia związane ze „strefami wolnymi od ideologii LGBT”.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Komisja Wenecka, opinia nr 995/2020 „Interim report on the measures taken in the EU Member States as a result of the COVID-19 crisis and their impact on democracy, the rule of law and fundamental rights” („Sprawozdanie okresowe dotyczące środków przyjętych w państwach członkowskich UE w wyniku kryzysu związanego z COVID-19 i ich wpływu na demokrację, praworządność i prawa podstawowe”).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Komisja Wenecka monitoruje zmiany zachodzące we wszystkich państwach członkowskich i opublikuje sprawozdanie w 2022 r.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 tym celu zapewniono linki do rozdziałów dotyczących poszczególnych państw.</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Dodatkowe szczegółowe informacje na temat wizyt krajowych można znaleźć w rozdziałach dotyczących poszczególnych państw. W trakcie tych wizyt krajowych Komisja omówiła zmiany w zakresie praworządności z przedstawicielami organów krajowych państw członkowskich, w tym organów sądowych i niezależnych, organów ścigania, a także zainteresowanych stron, takich jak stowarzyszenia dziennikarzy i społeczeństwo obywatelskie.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Odnośniki do odpowiedniego orzecznictwa znajdują się w sprawozdaniu na temat praworządności z 2020 r.,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Odniesienie do kluczowych orzeczeń wydanych od czasu ostatniego sprawozdania znajduje się w sekcji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Wykresy 48 i 50, unijna tablica wyników wymiaru sprawiedliwości z 2021 r.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TSUE uznał, że Rada Sądownictwa może stanowić zabezpieczenie niezależności sądów pod warunkiem, że taki organ jest wystarczająco niezależny od władzy wykonawczej i ustawodawczej oraz od organu, któremu przedkłada opinię. Zob. np. sprawa C-824/18, A.B. i in., pkt 123–125 oraz cytowane orzecznictwo.</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Zob. sprawa C-824/18, A.B. i in., pkt 117, 119, 123 oraz cytowane orzecznictwo.</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 dniu 15 lipca 2021 r. Trybunał Sprawiedliwości wydał ostateczne orzeczenie, w którym stwierdzono, że system odpowiedzialności dyscyplinarnej sędziów w Polsce jest niezgodny z prawem Unii (wyrok Trybunału Sprawiedliwości z dnia 15 lipca 2021 r., Komisja/Polska,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Wyrok z dnia 7 maja 2021 r., Xero Flor w Polsce sp. z o.o./Polska (skarga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Specjalna sekcja prokuratury zajmująca się badaniem przestępstw popełnionych przez sędziów i prokuratorów oraz wprowadzony w 2018 r. system odpowiedzialności cywilnej, a także tymczasowe powołanie kierownictwa Inspekcji Sądowej.</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Wyrok z dnia 18 maja 2021 r., Asociaţia „Forumul Judecătorilor Din România”/Inspecţia Judiciară i in.,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 komunikacie w sprawie cyfryzacji wymiaru sprawiedliwości Komisja zaproponowała zestaw narzędzi służących cyfryzacji wymiaru sprawiedliwości w celu osiągnięcia postępów w rozwoju sektora sprawiedliwości w obszarze cyfrowym na poziomie krajowym i unijnym. COM(2020) 710 i towarzyszący mu dokument SWD(2020) 540, z dnia 2 grudnia 2020 r.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 wskaźnik postrzegania korupcji w 2020 r.: </w:t>
      </w:r>
      <w:hyperlink r:id="rId5" w:history="1">
        <w:r>
          <w:rPr>
            <w:rStyle w:val="Hyperlink"/>
            <w:rFonts w:ascii="Times New Roman" w:hAnsi="Times New Roman"/>
          </w:rPr>
          <w:t>https://www.transparency.org/en/news/cpi-2020-western-europe-eu</w:t>
        </w:r>
      </w:hyperlink>
      <w:r>
        <w:rPr>
          <w:rFonts w:ascii="Times New Roman" w:hAnsi="Times New Roman"/>
        </w:rPr>
        <w:t xml:space="preserve"> Wskaźnik ten odzwierciedla sposób postrzegania przez ekspertów i przedsiębiorców poziomu korupcji w danym państwie. Obejmuje on różne praktyki korupcyjne, w tym przekupstwo, sprzeniewierzenie funduszy publicznych, nadużywanie urzędu publicznego dla prywatnych korzyści, odpowiednie przepisy zapobiegania korupcji i ich egzekwowanie, takie jak przepisy dotyczące ujawniania informacji finansowych i konfliktu interesów, a także skuteczne prowadzenie postępowań karnych w sprawach o korupcję z udziałem urzędników publicznych. Dane Eurobarometru dotyczące postrzegania korupcji przez obywateli i przedsiębiorstwa oraz doświadczeń z nią związanych, przedstawione w ubiegłym roku, są aktualizowane co dwa lata. Najnowsze zbiory danych to specjalne badanie Eurobarometr 502 (2020) i badanie Eurobarometr Flash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Według kolejności uzyskanych punktów są to następujące państwa członkowskie: Dania, Finlandia, Szwecja, Niderlandy, Niemcy, Luksemburg, Austria, Belgia, Estonia i Irlandia.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 rozdziałach dotyczących poszczególnych państw postrzegany poziom korupcji dzieli się na następujące kategorie: niski (postrzeganie korupcji w sektorze publicznym przez ekspertów i pracowników na stanowiskach kierowniczych w przedsiębiorstwach z wynikiem powyżej 79), stosunkowo niski (wynik 79–60), stosunkowo wysoki (59–50), wysoki (wynik poniżej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Zmiana jest „znacząca”, jeżeli wynik zmienił się o więcej niż pięć punktów w ciągu ostatnich pięciu lat.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Głównie konwencji Rady Europy, Prawnokarnej konwencji o korupcji i Cywilnoprawnej konwencji o korupcji; Konwencji OECD o zwalczaniu przekupstwa zagranicznych funkcjonariuszy publicznych w międzynarodowych transakcjach handlowych; i Konwencji Narodów Zjednoczonych przeciwko korupcji.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 ciągu ostatnich kilku lat przyjęto przepisy UE mające na celu zintensyfikowanie walki z korupcją, w tym normy ochrony sygnalistów przed wszelkimi formami odwetu. Zmienione przepisy dotyczące przeciwdziałania praniu pieniędzy, w szczególności poprzez ustanowienie obowiązujących przedsiębiorstwa rejestrów beneficjentów rzeczywistych oraz dalsze działania mające na celu ułatwienie wymiany informacji finansowych i przyspieszenie dochodzeń finansowych również mają istotny wpływ na ułatwianie walki z korupcją.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Jak zauważono w sprawozdaniu na temat praworządności z 2020 r., brak jednolitych, aktualnych i skonsolidowanych statystyk we wszystkich państwach członkowskich utrudnia śledzenie porównywania wyników dochodzeń i ścigania przestępstw korupcyjnych.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 czerwcu 2021 r. Stany Zjednoczone nałożyły sankcje na niektórych obywateli Bułgarii (w tym na byłego członka parlamentu) za akty korupcji, zgodnie z ustawą Stanów Zjednoczonych Global Magnitsky Act.</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OECD (2021), Lobbying in the 21</w:t>
      </w:r>
      <w:r>
        <w:rPr>
          <w:sz w:val="20"/>
          <w:szCs w:val="20"/>
          <w:vertAlign w:val="superscript"/>
        </w:rPr>
        <w:t>st</w:t>
      </w:r>
      <w:r>
        <w:rPr>
          <w:sz w:val="20"/>
          <w:szCs w:val="20"/>
        </w:rPr>
        <w:t xml:space="preserve"> century [Lobbing w XXI w.].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OECD (2010), Recommendation of the Council on Principles for Transparency and Integrity in Lobbying [Zalecenie Rady w sprawie zasad przejrzystości i uczciwości w lobbingu]; Council of Europe standards on lobbying transparency [Normy Rady Europy dotyczące przejrzystości lobbingu], zalecenie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Dyrektywa (UE) 2019/1937 w sprawie ochrony osób zgłaszających naruszenia prawa Unii. Termin transpozycji upływa w dniu 17 grudnia 2021 r.</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GRECO (2020) Corruption risks and useful legal references in the context of COVID-19 [Ryzyko korupcji i przydatne odniesienia prawne w kontekście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 zaleceniach dla poszczególnych krajów z 2020 r. w odniesieniu do kilku państw członkowskich podkreślono, że dalsze starania na rzecz wzmocnienia ram przeciwdziałania korupcji i jej karania mają zasadnicze znaczenie dla zapewnienia odbudowy po kryzysie związanym z COVID-19 oraz zagwarantowania efektywnego, rozliczalnego i przejrzystego przeznaczenia i podziału funduszy i zasobów.</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OECD (2020) Policy measures to avoid corruption and bribery in the COVID-19 response and recovery [Środki polityki mające na celu zapobieganie korupcji i przekupstwu w ramach reagowania na COVID-19 i odbudowy po kryzysie].</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Monitor pluralizmu mediów 2021 był ważnym źródłem informacji podczas przygotowywania sprawozdania na temat praworządności z 2021 r. Monitor pluralizmu mediów jest kompleksowym narzędziem naukowym służącym dokumentowaniu stanu ekosystemów medialnych, szczegółowo określającym zagrożenia dla pluralizmu i wolności mediów w państwach członkowskich i niektórych krajach kandydujących. Jest on współfinansowany przez Unię Europejską i od 2013/2014 r. jest w niezależny sposób regularnie wdrażany przez Centrum ds. Pluralizmu i Wolności Mediów. Komisja korzystała również z innych źródeł, takich jak światowy ranking wolności prasy Reporterów bez Granic, o których to źródłach mowa w rozdziałach dotyczących poszczególnych państw.</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Bułgaria, Węgry, Malta, Polska, Rumunia, Słowenia.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Dyrektywa (UE) 2018/1808 z dnia 14 listopada 2018 r.</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Zalecenie CM/Rec(2018)11 Komitetu Ministrów dla państw członkowskich w sprawie pluralizmu mediów i przejrzystości własności mediów.</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Dyrektywa (UE) 2018/1808 z dnia 14 listopada 2018 r., art. 5 ust. 2. Ogólne (niesektorowe) obowiązki w zakresie przejrzystości beneficjentów rzeczywistych występują również w dyrektywach w sprawie przeciwdziałania praniu pieniędzy (dyrektywa (UE) 2018/843 z dnia 30 maja 2018 r. oraz dyrektywa (UE) 2015/849 z dnia 20 maja 2015 r.).</w:t>
      </w:r>
    </w:p>
  </w:footnote>
  <w:footnote w:id="48">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W czerwcu 2021 r. Komisja wszczęła przeciwko Węgrom postępowanie w sprawie uchybienia zobowiązaniom państwa członkowskiego w następstwie decyzji Rady ds. Mediów o odrzuceniu wniosku Klubrádió o korzystanie z widma radiowego.</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https://rm.coe.int/final-version-annual-report-2021-en-wanted-real-action-for-media-freed/1680a2440e</w:t>
        </w:r>
      </w:hyperlink>
    </w:p>
  </w:footnote>
  <w:footnote w:id="50">
    <w:p>
      <w:pPr>
        <w:pStyle w:val="FootnoteText"/>
        <w:ind w:left="284" w:hanging="284"/>
        <w:contextualSpacing/>
        <w:jc w:val="both"/>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rPr>
          <w:t>www.mappingmediafreedom.org</w:t>
        </w:r>
      </w:hyperlink>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Wyrok Federalnego Trybunału Konstytucyjnego z dnia 5 maja 2020 r.,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Sprawa P 7/20, wniesiona przez Izbę Dyscyplinarną Sądu Najwyższego;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 tym ostatnim wyroku, powołując się na wiążący charakter orzeczeń Trybunału Sprawiedliwości, Rada Stanu odrzuciła jednak wniosek rządu o rozważenie, czy orzeczenie TSUE może naruszać zasadę przyznania i podziału kompetencji między Unią a jej państwami członkowskimi; taki wniosek jest sam w sobie problematyczny.</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 szczególności zbadał on rosnącą liczbę zarzutów dotyczących przypadków zawracania migrantów na granicach zewnętrznych.</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Zgodnie z Konstytucją RP, Rzecznik Praw Obywatelskich jest powoływany przez Sejm na okres 5 lat. Trybunał Konstytucyjny uznał dalsze pełnienie funkcji przez Rzecznika Praw Obywatelskich po upływie 5 letniej kadencji przewidzianej w Konstytucji za sprzeczne z Konstytucją.</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Według oceny przeprowadzonej przez organizację pozarządową CIVICUS. Ocen dokonuje się według skali obejmującej pięć kategorii zdefiniowanych jako: otwarta, ograniczona, utrudniona, stłumiona i zamknięta. </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Sprawozdanie na temat praworządności z 2020 r., s.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Belgia, Bułgaria, Republika Czeska, Dania i Estonia.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Niemcy, Grecja, Hiszpania, Francja i Irlandia. Ogólnie rzecz biorąc, wybór państw odbywa się zgodnie z porządkiem protokolarnym, z wyjątkiem tego, że Niemcy zastąpiła Estonię podczas jej prezydencji.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Rezolucja Parlamentu Europejskiego z dnia 7 października 2020 r. w sprawie ustanowienia unijnego mechanizmu na rzecz demokracji, praworządności i praw podstawowych.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Rezolucja Parlamentu Europejskiego z dnia 24 czerwca 2021 r. w sprawie sprawozdania Komisji na temat praworządności z 2020 r.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Rezolucja Parlamentu Europejskiego z dnia 8 października 2020 r. w sprawie Bułgarii, P9_TA(2020)0264; z dnia 29 kwietnia 2021 r. w sprawie zabójstwa Daphne Caruany Galizii i praworządności na Malcie, P9_TA(2021)0148; oraz z dnia 17 września 2020 r. w sprawie Polski,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Grupa ds. monitorowania koncentruje się na zagrożeniach dla demokracji, praworządności i praw podstawowych, a także na walce z korupcją w UE we wszystkich państwach członkowskich. Może rekomendować LIBE konkretne działania, takie jak spotkania z zainteresowanymi stronami, wysłuchania i podróże służbowe, a także przedstawiać wnioski dotyczące rezolucji i sprawozdań.</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Sprawozdanie z działalności Grupy ds. monitorowania demokracji, praworządności i praw podstawowych, 16 czerwca 2021 r.</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Grupa ad hoc ds. praw podstawowych i praworządności (grupa PPiP) jest organem horyzontalnym EKES-u, którego zadaniem jest zapewnienie europejskim organizacjom społeczeństwa obywatelskiego forum spotkań i wymiany poglądów na temat stanu praw podstawowych, demokracji i praworządności w państwach członkowskich.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Kompetencje Komisji CIVEX obejmują sprawy konstytucyjne, sprawowanie rządów, lepsze stanowienie prawa, pomocniczość i proporcjonalność.</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Podczas tych spotkań Komisja była reprezentowana przez wiceprzewodniczącą Věrę Jourovą lub członka Komisji Didiera Reyndersa.</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Obejmują one Sieć Współpracy na rzecz Praw Człowieka i Demokracji, Agencję Praw Podstawowych, EuroCommerce, ENNHRI, Społeczeństwo Obywatelskie Europy,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https://data.consilium.europa.eu/doc/document/ST-12848-2020-INIT/pl/pdf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Takimi jak Organizacja Narodów Zjednoczonych, Rada Europy, Organizacja Współpracy Gospodarczej i Rozwoju (OECD) oraz Organizacja Bezpieczeństwa i Współpracy w Europie (OBWE).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Takimi jak Komisja Wenecka, Grupa Państw przeciwko Korupcji, Departament Wykonywania Wyroków i Departament Mediów. Aby wzmocnić współpracę, Rada Europy wyznaczyła osobę odpowiedzialną za kontakty, która koordynuje prace.</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 19 ust. 1 TUE, akapit drugi.</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 najważniejszych orzeczeń wydanych od ostatniego sprawozdania należą wyroki: z dnia 6 października 2020 r., Komisja/Węgry, C-66/18, ECLI:EU:C:2020:792; z dnia 24 listopada 2020 r., AZ (podrabianie dokumentów), C-510/19, ECLI:EU:C:2020:953; z dnia 17 grudnia 2020 r., Openbaar Ministerie, C-354/20 PPU i C-412/20 PPU, ECLI:EU:C:2020:1033; z dnia 2 marca 2021 r., A.B. i in., C-824/18, ECLI:EU:C:2021:153; z dnia 20 marca 2021 r., Repubblika/Il-Prim Ministru, C-896/19, ECLI:EU:C:2021:311; Wyrok z dnia 18 maja 2021 r., Asociaţia „Forumul Judecătorilor Din România”/Inspecţia Judiciară i in., C-83/19, C-127/19, C-195/19, C-291/19, C-397/19, ECLI:EU:C:2021:393.</w:t>
      </w:r>
      <w:r>
        <w:t xml:space="preserve"> </w:t>
      </w:r>
      <w:r>
        <w:rPr>
          <w:rFonts w:ascii="Times New Roman" w:hAnsi="Times New Roman"/>
        </w:rPr>
        <w:t>z</w:t>
      </w:r>
      <w:r>
        <w:t> </w:t>
      </w:r>
      <w:r>
        <w:rPr>
          <w:rFonts w:ascii="Times New Roman" w:hAnsi="Times New Roman"/>
        </w:rPr>
        <w:t xml:space="preserve">dnia 15 lipca 2021 r., Komisja/Polska,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Zob. w szczególności komunikat prasowy Komisji z dnia 31 marca 2021 r., IP/21/1524. Sprawa zarejestrowana jako C-204/21. TSUE zarządził w tej sprawie środki tymczasowe (postanowienie wiceprezesa Trybunału Sprawiedliwości z dnia 14 lipca 2021 r., Komisja/Polska,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 xml:space="preserve"> Rozporządzenie (UE, Euratom) 2020/2092 z dnia 16 grudnia 2020 r. w sprawie ogólnego systemu warunkowości służącego ochronie budżetu Unii, Dz.U. L 433I z 22.12.2020, s. 1.</w:t>
      </w:r>
      <w:r>
        <w:rPr>
          <w:rFonts w:ascii="Times New Roman" w:hAnsi="Times New Roman"/>
          <w:sz w:val="20"/>
          <w:szCs w:val="20"/>
        </w:rPr>
        <w:t xml:space="preserve"> Węgry i Polska zakwestionowały ważność rozporządzenia przed Trybunałem Sprawiedliwości Unii Europejskiej, zob. odpowiednio sprawy C-156/21 i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Obejmuje to wydatki i przychody UE, podatek VAT (powyżej 10 mln EUR i transgraniczny), pranie pieniędzy, korupcję czynną i bierną, sprzeniewierzenie środków publicznych lub mienia UE przez urzędnika publicznego oraz przestępczość zorganizowaną związaną z budżetem UE.</w:t>
      </w:r>
      <w:r>
        <w:rPr>
          <w:rFonts w:ascii="Times New Roman" w:hAnsi="Times New Roman"/>
        </w:rPr>
        <w:t xml:space="preserve"> Uczestniczące obecnie państwa członkowskie to: Belgia, Bułgaria, Republika Czeska, Niemcy, Estonia, Grecja, Hiszpania, Francja, Chorwacja, Włochy, Cypr, Łotwa, Litwa, Luksemburg, Malta, Niderlandy, Austria, Portugalia, Rumunia, Słowenia, Słowacja i Finlandia.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 2021 r. weszły w życie nowe przepisy (rozporządzenie (UE, Euratom) 2020/2223 (Dz.U. L 437 z 28.12.2020, s. 49)), służące wzmocnieniu roli OLAF-u i zapewnieniu sprawnej współpracy z EPPO.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E22DCC-A74F-4433-95F8-076F4B5E076C"/>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na temat praworz\u261?dno\u347?ci z 2021 r._x000d__x000d__x000b_Sytuacja w zakresie praworz\u261?dno\u347?ci w Unii Europejskiej"/>
    <w:docVar w:name="LW_TYPE.DOC.CP" w:val="KOMUNIKAT KOMISJI DO PARLAMENTU EUROPEJSKIEGO, RADY, EUROPEJSKIEGO KOMITETU EKONOMICZNO-SPO\u321?ECZNEGO I KOMITETU REGIONÓW"/>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pl-PL"/>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pl-PL"/>
    </w:rPr>
  </w:style>
  <w:style w:type="character" w:customStyle="1" w:styleId="Heading1Char">
    <w:name w:val="Heading 1 Char"/>
    <w:basedOn w:val="DefaultParagraphFont"/>
    <w:link w:val="Heading1"/>
    <w:uiPriority w:val="9"/>
    <w:rPr>
      <w:rFonts w:ascii="Times New Roman" w:hAnsi="Times New Roman" w:cs="Times New Roman"/>
      <w:sz w:val="24"/>
      <w:szCs w:val="24"/>
      <w:lang w:val="pl-P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pl-PL"/>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pl-PL"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pl-PL"/>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pl-PL"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pl-PL"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pl-P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pl-P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pl-PL"/>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pl-PL"/>
    </w:rPr>
  </w:style>
  <w:style w:type="character" w:customStyle="1" w:styleId="Heading1Char">
    <w:name w:val="Heading 1 Char"/>
    <w:basedOn w:val="DefaultParagraphFont"/>
    <w:link w:val="Heading1"/>
    <w:uiPriority w:val="9"/>
    <w:rPr>
      <w:rFonts w:ascii="Times New Roman" w:hAnsi="Times New Roman" w:cs="Times New Roman"/>
      <w:sz w:val="24"/>
      <w:szCs w:val="24"/>
      <w:lang w:val="pl-P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pl-PL"/>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pl-PL"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pl-PL"/>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pl-PL"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pl-PL"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pl-P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pl-P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F31695-8883-4DCE-9A96-CD90E50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17034</Words>
  <Characters>118047</Characters>
  <Application>Microsoft Office Word</Application>
  <DocSecurity>0</DocSecurity>
  <Lines>1735</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