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8A" w:rsidRPr="008B7FA4" w:rsidRDefault="008C58B7" w:rsidP="008C58B7">
      <w:pPr>
        <w:pStyle w:val="Pagedecouverture"/>
        <w:rPr>
          <w:noProof/>
        </w:rPr>
      </w:pPr>
      <w:bookmarkStart w:id="0" w:name="_Toc85553108"/>
      <w:bookmarkStart w:id="1" w:name="_Toc90673702"/>
      <w:bookmarkStart w:id="2" w:name="_Toc92382165"/>
      <w:bookmarkStart w:id="3" w:name="_Toc92283875"/>
      <w:bookmarkStart w:id="4"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5BF1C640-ACBB-42BF-BFB7-22A2D37F8484" style="width:455.25pt;height:310.5pt">
            <v:imagedata r:id="rId8" o:title=""/>
          </v:shape>
        </w:pict>
      </w:r>
    </w:p>
    <w:bookmarkEnd w:id="4"/>
    <w:p w:rsidR="002C4A8A" w:rsidRPr="008B7FA4" w:rsidRDefault="002C4A8A" w:rsidP="002C4A8A">
      <w:pPr>
        <w:pStyle w:val="Pagedecouverture"/>
        <w:rPr>
          <w:noProof/>
        </w:rPr>
        <w:sectPr w:rsidR="002C4A8A" w:rsidRPr="008B7FA4" w:rsidSect="008C58B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630C8C" w:rsidRPr="008B7FA4" w:rsidRDefault="00630C8C" w:rsidP="009E7D75">
      <w:pPr>
        <w:pStyle w:val="Heading1"/>
        <w:spacing w:before="0"/>
        <w:rPr>
          <w:noProof/>
        </w:rPr>
      </w:pPr>
      <w:bookmarkStart w:id="5" w:name="_GoBack"/>
      <w:bookmarkEnd w:id="5"/>
      <w:r w:rsidRPr="008B7FA4">
        <w:rPr>
          <w:noProof/>
        </w:rPr>
        <w:lastRenderedPageBreak/>
        <w:t>WPROWADZENIE</w:t>
      </w:r>
      <w:bookmarkEnd w:id="0"/>
      <w:bookmarkEnd w:id="1"/>
      <w:bookmarkEnd w:id="2"/>
    </w:p>
    <w:p w:rsidR="00630C8C" w:rsidRPr="008B7FA4" w:rsidRDefault="00630C8C" w:rsidP="0030712E">
      <w:pPr>
        <w:rPr>
          <w:noProof/>
        </w:rPr>
      </w:pPr>
      <w:r w:rsidRPr="008B7FA4">
        <w:rPr>
          <w:noProof/>
        </w:rPr>
        <w:t>Nieustannie rosnąca ilość śmieci kosmicznych</w:t>
      </w:r>
      <w:r w:rsidR="006B6BC0" w:rsidRPr="008B7FA4">
        <w:rPr>
          <w:noProof/>
        </w:rPr>
        <w:t xml:space="preserve"> i wyk</w:t>
      </w:r>
      <w:r w:rsidRPr="008B7FA4">
        <w:rPr>
          <w:noProof/>
        </w:rPr>
        <w:t>ładniczy wzrost natężenia ruchu</w:t>
      </w:r>
      <w:r w:rsidR="006B6BC0" w:rsidRPr="008B7FA4">
        <w:rPr>
          <w:noProof/>
        </w:rPr>
        <w:t xml:space="preserve"> w prz</w:t>
      </w:r>
      <w:r w:rsidRPr="008B7FA4">
        <w:rPr>
          <w:noProof/>
        </w:rPr>
        <w:t>estrzeni kosmicznej sprawiają, że</w:t>
      </w:r>
      <w:r w:rsidR="006B6BC0" w:rsidRPr="008B7FA4">
        <w:rPr>
          <w:noProof/>
        </w:rPr>
        <w:t xml:space="preserve"> w kos</w:t>
      </w:r>
      <w:r w:rsidRPr="008B7FA4">
        <w:rPr>
          <w:noProof/>
        </w:rPr>
        <w:t>mosie pojawia się coraz więcej zatorów komunikacyjnych, co stanowi zagrożenie dla rentowności</w:t>
      </w:r>
      <w:r w:rsidR="006B6BC0" w:rsidRPr="008B7FA4">
        <w:rPr>
          <w:noProof/>
        </w:rPr>
        <w:t xml:space="preserve"> i bez</w:t>
      </w:r>
      <w:r w:rsidRPr="008B7FA4">
        <w:rPr>
          <w:noProof/>
        </w:rPr>
        <w:t>pieczeństwa infrastruktury kosmicznej</w:t>
      </w:r>
      <w:r w:rsidR="006B6BC0" w:rsidRPr="008B7FA4">
        <w:rPr>
          <w:noProof/>
        </w:rPr>
        <w:t xml:space="preserve"> i ope</w:t>
      </w:r>
      <w:r w:rsidRPr="008B7FA4">
        <w:rPr>
          <w:noProof/>
        </w:rPr>
        <w:t>racji kosmicznych. Ta bezprecedensowo duża liczba obiektów</w:t>
      </w:r>
      <w:r w:rsidR="006B6BC0" w:rsidRPr="008B7FA4">
        <w:rPr>
          <w:noProof/>
        </w:rPr>
        <w:t xml:space="preserve"> w prz</w:t>
      </w:r>
      <w:r w:rsidRPr="008B7FA4">
        <w:rPr>
          <w:noProof/>
        </w:rPr>
        <w:t>estrzeni okołoziemskiej stanowi realne, konkretne zagrożenie dla rutynowych operacji przeprowadzanych na orbicie każdego dnia,</w:t>
      </w:r>
      <w:r w:rsidR="006B6BC0" w:rsidRPr="008B7FA4">
        <w:rPr>
          <w:noProof/>
        </w:rPr>
        <w:t xml:space="preserve"> a tym</w:t>
      </w:r>
      <w:r w:rsidRPr="008B7FA4">
        <w:rPr>
          <w:noProof/>
        </w:rPr>
        <w:t xml:space="preserve"> samym</w:t>
      </w:r>
      <w:r w:rsidRPr="008B7FA4">
        <w:rPr>
          <w:b/>
          <w:noProof/>
        </w:rPr>
        <w:t xml:space="preserve"> stwarza bezpośrednie zagrożenie dla bezpieczeństwa ruchu na orbicie</w:t>
      </w:r>
      <w:r w:rsidR="006B6BC0" w:rsidRPr="008B7FA4">
        <w:rPr>
          <w:b/>
          <w:noProof/>
        </w:rPr>
        <w:t xml:space="preserve"> i zró</w:t>
      </w:r>
      <w:r w:rsidRPr="008B7FA4">
        <w:rPr>
          <w:b/>
          <w:noProof/>
        </w:rPr>
        <w:t>wnoważonego charakteru działalności związanej</w:t>
      </w:r>
      <w:r w:rsidR="006B6BC0" w:rsidRPr="008B7FA4">
        <w:rPr>
          <w:b/>
          <w:noProof/>
        </w:rPr>
        <w:t xml:space="preserve"> z prz</w:t>
      </w:r>
      <w:r w:rsidRPr="008B7FA4">
        <w:rPr>
          <w:b/>
          <w:noProof/>
        </w:rPr>
        <w:t>estrzenią kosmiczną.</w:t>
      </w:r>
      <w:r w:rsidRPr="008B7FA4">
        <w:rPr>
          <w:noProof/>
        </w:rPr>
        <w:t xml:space="preserve"> Stoimy obecnie na rozstaju dróg: jeżeli nie znajdziemy sposobu na skuteczne zarządzanie ruchem</w:t>
      </w:r>
      <w:r w:rsidR="006B6BC0" w:rsidRPr="008B7FA4">
        <w:rPr>
          <w:noProof/>
        </w:rPr>
        <w:t xml:space="preserve"> w prz</w:t>
      </w:r>
      <w:r w:rsidRPr="008B7FA4">
        <w:rPr>
          <w:noProof/>
        </w:rPr>
        <w:t>estrzeni kosmicznej, nasze przeszłe</w:t>
      </w:r>
      <w:r w:rsidR="006B6BC0" w:rsidRPr="008B7FA4">
        <w:rPr>
          <w:noProof/>
        </w:rPr>
        <w:t xml:space="preserve"> i obe</w:t>
      </w:r>
      <w:r w:rsidRPr="008B7FA4">
        <w:rPr>
          <w:noProof/>
        </w:rPr>
        <w:t>cne działania</w:t>
      </w:r>
      <w:r w:rsidR="006B6BC0" w:rsidRPr="008B7FA4">
        <w:rPr>
          <w:noProof/>
        </w:rPr>
        <w:t xml:space="preserve"> w kos</w:t>
      </w:r>
      <w:r w:rsidRPr="008B7FA4">
        <w:rPr>
          <w:noProof/>
        </w:rPr>
        <w:t>mosie mogą uniemożliwić prowadzenie takich działań</w:t>
      </w:r>
      <w:r w:rsidR="006B6BC0" w:rsidRPr="008B7FA4">
        <w:rPr>
          <w:noProof/>
        </w:rPr>
        <w:t xml:space="preserve"> w prz</w:t>
      </w:r>
      <w:r w:rsidRPr="008B7FA4">
        <w:rPr>
          <w:noProof/>
        </w:rPr>
        <w:t>yszłości</w:t>
      </w:r>
      <w:r w:rsidR="006B6BC0" w:rsidRPr="008B7FA4">
        <w:rPr>
          <w:noProof/>
        </w:rPr>
        <w:t xml:space="preserve"> w spo</w:t>
      </w:r>
      <w:r w:rsidRPr="008B7FA4">
        <w:rPr>
          <w:noProof/>
        </w:rPr>
        <w:t>sób bezpieczny</w:t>
      </w:r>
      <w:r w:rsidR="006B6BC0" w:rsidRPr="008B7FA4">
        <w:rPr>
          <w:noProof/>
        </w:rPr>
        <w:t xml:space="preserve"> i zró</w:t>
      </w:r>
      <w:r w:rsidRPr="008B7FA4">
        <w:rPr>
          <w:noProof/>
        </w:rPr>
        <w:t>wnoważony,</w:t>
      </w:r>
      <w:r w:rsidR="006B6BC0" w:rsidRPr="008B7FA4">
        <w:rPr>
          <w:noProof/>
        </w:rPr>
        <w:t xml:space="preserve"> a tym</w:t>
      </w:r>
      <w:r w:rsidRPr="008B7FA4">
        <w:rPr>
          <w:noProof/>
        </w:rPr>
        <w:t xml:space="preserve"> samym wykorzystywanie przez nas kosmosu do świadczenia ważnych usług dla dobra całej ludzkości. </w:t>
      </w:r>
    </w:p>
    <w:p w:rsidR="00013C87" w:rsidRPr="008B7FA4" w:rsidRDefault="006945F1" w:rsidP="00013C87">
      <w:pPr>
        <w:rPr>
          <w:noProof/>
        </w:rPr>
      </w:pPr>
      <w:r w:rsidRPr="008B7FA4">
        <w:rPr>
          <w:noProof/>
        </w:rPr>
        <w:t>Bliskie przejścia stają się coraz powszechniejsze na niskiej orbicie okołoziemskiej</w:t>
      </w:r>
      <w:r w:rsidR="006B6BC0" w:rsidRPr="008B7FA4">
        <w:rPr>
          <w:noProof/>
        </w:rPr>
        <w:t xml:space="preserve"> z pow</w:t>
      </w:r>
      <w:r w:rsidRPr="008B7FA4">
        <w:rPr>
          <w:noProof/>
        </w:rPr>
        <w:t>odu coraz większej liczby satelitów spowodowanej rosnącą liczbą megakonstelacji</w:t>
      </w:r>
      <w:r w:rsidR="006B6BC0" w:rsidRPr="008B7FA4">
        <w:rPr>
          <w:noProof/>
        </w:rPr>
        <w:t>. W ost</w:t>
      </w:r>
      <w:r w:rsidRPr="008B7FA4">
        <w:rPr>
          <w:noProof/>
        </w:rPr>
        <w:t>atnim czasie dochodziło do coraz większej liczby incydentów, których skutki mogły okazać się katastrofalne. Sama liczba możliwych</w:t>
      </w:r>
      <w:r w:rsidR="006B6BC0" w:rsidRPr="008B7FA4">
        <w:rPr>
          <w:noProof/>
        </w:rPr>
        <w:t xml:space="preserve"> i nie</w:t>
      </w:r>
      <w:r w:rsidRPr="008B7FA4">
        <w:rPr>
          <w:noProof/>
        </w:rPr>
        <w:t>możliwych do namierzenia obiektów kosmicznych</w:t>
      </w:r>
      <w:r w:rsidR="006B6BC0" w:rsidRPr="008B7FA4">
        <w:rPr>
          <w:noProof/>
        </w:rPr>
        <w:t xml:space="preserve"> i szy</w:t>
      </w:r>
      <w:r w:rsidRPr="008B7FA4">
        <w:rPr>
          <w:noProof/>
        </w:rPr>
        <w:t>bkie tempo przeprowadzania operacji kosmicznych sprawiają, że ryzyko wystąpienia incydentów tego rodzaju</w:t>
      </w:r>
      <w:r w:rsidR="006B6BC0" w:rsidRPr="008B7FA4">
        <w:rPr>
          <w:noProof/>
        </w:rPr>
        <w:t xml:space="preserve"> w prz</w:t>
      </w:r>
      <w:r w:rsidRPr="008B7FA4">
        <w:rPr>
          <w:noProof/>
        </w:rPr>
        <w:t xml:space="preserve">yszłości wzrasta wykładniczo. </w:t>
      </w:r>
      <w:r w:rsidRPr="008B7FA4">
        <w:rPr>
          <w:b/>
          <w:noProof/>
        </w:rPr>
        <w:t>Ich ewentualne reperkusje mogą sprawić, że niektóre orbity staną się niezdatne do użytku na całe dziesięciolecia;</w:t>
      </w:r>
      <w:r w:rsidR="006B6BC0" w:rsidRPr="008B7FA4">
        <w:rPr>
          <w:b/>
          <w:noProof/>
        </w:rPr>
        <w:t xml:space="preserve"> </w:t>
      </w:r>
      <w:r w:rsidRPr="008B7FA4">
        <w:rPr>
          <w:b/>
          <w:noProof/>
        </w:rPr>
        <w:t>bezpośrednim następstwem takiego stanu rzeczy będzie bardzo poważne utrudnienia</w:t>
      </w:r>
      <w:r w:rsidR="006B6BC0" w:rsidRPr="008B7FA4">
        <w:rPr>
          <w:b/>
          <w:noProof/>
        </w:rPr>
        <w:t xml:space="preserve"> w pro</w:t>
      </w:r>
      <w:r w:rsidRPr="008B7FA4">
        <w:rPr>
          <w:b/>
          <w:noProof/>
        </w:rPr>
        <w:t>wadzeniu operacji kosmicznych czy wręcz ich niepowodzenie</w:t>
      </w:r>
      <w:r w:rsidRPr="008B7FA4">
        <w:rPr>
          <w:noProof/>
        </w:rPr>
        <w:t>. Biorąc pod uwagę coraz większą zależność od danych</w:t>
      </w:r>
      <w:r w:rsidR="006B6BC0" w:rsidRPr="008B7FA4">
        <w:rPr>
          <w:noProof/>
        </w:rPr>
        <w:t xml:space="preserve"> i usł</w:t>
      </w:r>
      <w:r w:rsidRPr="008B7FA4">
        <w:rPr>
          <w:noProof/>
        </w:rPr>
        <w:t>ug satelitarnych, ta druga sytuacja może wiązać się</w:t>
      </w:r>
      <w:r w:rsidR="006B6BC0" w:rsidRPr="008B7FA4">
        <w:rPr>
          <w:noProof/>
        </w:rPr>
        <w:t xml:space="preserve"> z wys</w:t>
      </w:r>
      <w:r w:rsidRPr="008B7FA4">
        <w:rPr>
          <w:noProof/>
        </w:rPr>
        <w:t>okim poziomem ryzyka strategicznego</w:t>
      </w:r>
      <w:r w:rsidR="006B6BC0" w:rsidRPr="008B7FA4">
        <w:rPr>
          <w:noProof/>
        </w:rPr>
        <w:t xml:space="preserve"> i pow</w:t>
      </w:r>
      <w:r w:rsidRPr="008B7FA4">
        <w:rPr>
          <w:noProof/>
        </w:rPr>
        <w:t>odować zakłócenia</w:t>
      </w:r>
      <w:r w:rsidR="006B6BC0" w:rsidRPr="008B7FA4">
        <w:rPr>
          <w:noProof/>
        </w:rPr>
        <w:t xml:space="preserve"> w świ</w:t>
      </w:r>
      <w:r w:rsidRPr="008B7FA4">
        <w:rPr>
          <w:noProof/>
        </w:rPr>
        <w:t>adczeniu kluczowych usług, takich jak komunikacja, ochrona ludności</w:t>
      </w:r>
      <w:r w:rsidR="006B6BC0" w:rsidRPr="008B7FA4">
        <w:rPr>
          <w:noProof/>
        </w:rPr>
        <w:t xml:space="preserve"> i rea</w:t>
      </w:r>
      <w:r w:rsidRPr="008B7FA4">
        <w:rPr>
          <w:noProof/>
        </w:rPr>
        <w:t>gowanie kryzysowe. Na przykład jeżeli doszłoby w UE do przerwania lub poważnego ograniczenia przekazywania globalnych danych</w:t>
      </w:r>
      <w:r w:rsidR="006B6BC0" w:rsidRPr="008B7FA4">
        <w:rPr>
          <w:noProof/>
        </w:rPr>
        <w:t xml:space="preserve"> w zak</w:t>
      </w:r>
      <w:r w:rsidRPr="008B7FA4">
        <w:rPr>
          <w:noProof/>
        </w:rPr>
        <w:t>resie pozycjonowania, nawigacji</w:t>
      </w:r>
      <w:r w:rsidR="006B6BC0" w:rsidRPr="008B7FA4">
        <w:rPr>
          <w:noProof/>
        </w:rPr>
        <w:t xml:space="preserve"> i syn</w:t>
      </w:r>
      <w:r w:rsidRPr="008B7FA4">
        <w:rPr>
          <w:noProof/>
        </w:rPr>
        <w:t>chronizacji czasu (PNT)</w:t>
      </w:r>
      <w:r w:rsidR="006B6BC0" w:rsidRPr="008B7FA4">
        <w:rPr>
          <w:noProof/>
        </w:rPr>
        <w:t xml:space="preserve"> i dan</w:t>
      </w:r>
      <w:r w:rsidRPr="008B7FA4">
        <w:rPr>
          <w:noProof/>
        </w:rPr>
        <w:t>ych</w:t>
      </w:r>
      <w:r w:rsidR="006B6BC0" w:rsidRPr="008B7FA4">
        <w:rPr>
          <w:noProof/>
        </w:rPr>
        <w:t xml:space="preserve"> z obs</w:t>
      </w:r>
      <w:r w:rsidRPr="008B7FA4">
        <w:rPr>
          <w:noProof/>
        </w:rPr>
        <w:t>erwacji Ziemi lub świadczenia globalnych usług PNT</w:t>
      </w:r>
      <w:r w:rsidR="006B6BC0" w:rsidRPr="008B7FA4">
        <w:rPr>
          <w:noProof/>
        </w:rPr>
        <w:t xml:space="preserve"> i usł</w:t>
      </w:r>
      <w:r w:rsidRPr="008B7FA4">
        <w:rPr>
          <w:noProof/>
        </w:rPr>
        <w:t>ug związanych</w:t>
      </w:r>
      <w:r w:rsidR="006B6BC0" w:rsidRPr="008B7FA4">
        <w:rPr>
          <w:noProof/>
        </w:rPr>
        <w:t xml:space="preserve"> z obs</w:t>
      </w:r>
      <w:r w:rsidRPr="008B7FA4">
        <w:rPr>
          <w:noProof/>
        </w:rPr>
        <w:t>erwacją Ziemi, taka sytuacja wywarłaby bezpośredni wpływ na bezpieczeństwo, gospodarkę</w:t>
      </w:r>
      <w:r w:rsidR="006B6BC0" w:rsidRPr="008B7FA4">
        <w:rPr>
          <w:noProof/>
        </w:rPr>
        <w:t xml:space="preserve"> i dob</w:t>
      </w:r>
      <w:r w:rsidRPr="008B7FA4">
        <w:rPr>
          <w:noProof/>
        </w:rPr>
        <w:t>rostan obywateli Unii, ograniczając tym samym naszą swobodę działania.</w:t>
      </w:r>
    </w:p>
    <w:p w:rsidR="00FA268C" w:rsidRPr="008B7FA4" w:rsidRDefault="00C565C6" w:rsidP="00013C87">
      <w:pPr>
        <w:rPr>
          <w:noProof/>
        </w:rPr>
      </w:pPr>
      <w:r w:rsidRPr="008B7FA4">
        <w:rPr>
          <w:noProof/>
        </w:rPr>
        <w:t>W warunkach,</w:t>
      </w:r>
      <w:r w:rsidR="006B6BC0" w:rsidRPr="008B7FA4">
        <w:rPr>
          <w:noProof/>
        </w:rPr>
        <w:t xml:space="preserve"> w któ</w:t>
      </w:r>
      <w:r w:rsidRPr="008B7FA4">
        <w:rPr>
          <w:noProof/>
        </w:rPr>
        <w:t>rych środowisko kosmiczne staje się polem coraz bardziej zażartej konkurencji, rozwiązania</w:t>
      </w:r>
      <w:r w:rsidR="006B6BC0" w:rsidRPr="008B7FA4">
        <w:rPr>
          <w:noProof/>
        </w:rPr>
        <w:t xml:space="preserve"> w zak</w:t>
      </w:r>
      <w:r w:rsidRPr="008B7FA4">
        <w:rPr>
          <w:noProof/>
        </w:rPr>
        <w:t>resie zarządzania ruchem</w:t>
      </w:r>
      <w:r w:rsidR="006B6BC0" w:rsidRPr="008B7FA4">
        <w:rPr>
          <w:noProof/>
        </w:rPr>
        <w:t xml:space="preserve"> w prz</w:t>
      </w:r>
      <w:r w:rsidRPr="008B7FA4">
        <w:rPr>
          <w:noProof/>
        </w:rPr>
        <w:t>estrzeni kosmicznej (STM) przyczynią się do poprawy pozycji UE, jeżeli chodzi</w:t>
      </w:r>
      <w:r w:rsidR="006B6BC0" w:rsidRPr="008B7FA4">
        <w:rPr>
          <w:noProof/>
        </w:rPr>
        <w:t xml:space="preserve"> o </w:t>
      </w:r>
      <w:r w:rsidR="006B6BC0" w:rsidRPr="008B7FA4">
        <w:rPr>
          <w:b/>
          <w:noProof/>
        </w:rPr>
        <w:t>wym</w:t>
      </w:r>
      <w:r w:rsidRPr="008B7FA4">
        <w:rPr>
          <w:b/>
          <w:noProof/>
        </w:rPr>
        <w:t>iar bezpieczeństwa</w:t>
      </w:r>
      <w:r w:rsidR="006B6BC0" w:rsidRPr="008B7FA4">
        <w:rPr>
          <w:b/>
          <w:noProof/>
        </w:rPr>
        <w:t xml:space="preserve"> i obr</w:t>
      </w:r>
      <w:r w:rsidRPr="008B7FA4">
        <w:rPr>
          <w:b/>
          <w:noProof/>
        </w:rPr>
        <w:t>onności</w:t>
      </w:r>
      <w:r w:rsidR="006B6BC0" w:rsidRPr="008B7FA4">
        <w:rPr>
          <w:noProof/>
        </w:rPr>
        <w:t xml:space="preserve"> w kos</w:t>
      </w:r>
      <w:r w:rsidRPr="008B7FA4">
        <w:rPr>
          <w:noProof/>
        </w:rPr>
        <w:t>mosie. Usługi kosmiczne stanowią kluczowe czynniki sprzyjające rozwojowi zdolności obronnych</w:t>
      </w:r>
      <w:r w:rsidR="006B6BC0" w:rsidRPr="008B7FA4">
        <w:rPr>
          <w:noProof/>
        </w:rPr>
        <w:t xml:space="preserve"> i cyw</w:t>
      </w:r>
      <w:r w:rsidRPr="008B7FA4">
        <w:rPr>
          <w:noProof/>
        </w:rPr>
        <w:t>ilnych. Ze względu na ich strategiczny charakter aktywa kosmiczne stają się celami różnego rodzaju zagrożeń. Zakłócenie ich prawidłowego działania mogłoby wywrzeć poważny wpływ na zdolność UE</w:t>
      </w:r>
      <w:r w:rsidR="006B6BC0" w:rsidRPr="008B7FA4">
        <w:rPr>
          <w:noProof/>
        </w:rPr>
        <w:t xml:space="preserve"> i jej</w:t>
      </w:r>
      <w:r w:rsidRPr="008B7FA4">
        <w:rPr>
          <w:noProof/>
        </w:rPr>
        <w:t xml:space="preserve"> państw członkowskich do skutecznej obrony. Ponadto ograniczenie ryzyka kolizji na orbicie przyczyni się do zwiększenia odporności infrastruktury kosmicznej,</w:t>
      </w:r>
      <w:r w:rsidR="006B6BC0" w:rsidRPr="008B7FA4">
        <w:rPr>
          <w:noProof/>
        </w:rPr>
        <w:t xml:space="preserve"> w tym</w:t>
      </w:r>
      <w:r w:rsidRPr="008B7FA4">
        <w:rPr>
          <w:noProof/>
        </w:rPr>
        <w:t xml:space="preserve"> odporności satelitów wykorzystywanych do zastosowań związanych</w:t>
      </w:r>
      <w:r w:rsidR="006B6BC0" w:rsidRPr="008B7FA4">
        <w:rPr>
          <w:noProof/>
        </w:rPr>
        <w:t xml:space="preserve"> z bez</w:t>
      </w:r>
      <w:r w:rsidRPr="008B7FA4">
        <w:rPr>
          <w:noProof/>
        </w:rPr>
        <w:t>pieczeństwem</w:t>
      </w:r>
      <w:r w:rsidR="006B6BC0" w:rsidRPr="008B7FA4">
        <w:rPr>
          <w:noProof/>
        </w:rPr>
        <w:t xml:space="preserve"> i obr</w:t>
      </w:r>
      <w:r w:rsidRPr="008B7FA4">
        <w:rPr>
          <w:noProof/>
        </w:rPr>
        <w:t>onnością. Dlatego też kluczowe znaczenie dla wsparcia STM ma zwiększanie autonomicznych unijnych zdolności</w:t>
      </w:r>
      <w:r w:rsidR="006B6BC0" w:rsidRPr="008B7FA4">
        <w:rPr>
          <w:noProof/>
        </w:rPr>
        <w:t xml:space="preserve"> w zak</w:t>
      </w:r>
      <w:r w:rsidRPr="008B7FA4">
        <w:rPr>
          <w:noProof/>
        </w:rPr>
        <w:t>resie obserwacji</w:t>
      </w:r>
      <w:r w:rsidR="006B6BC0" w:rsidRPr="008B7FA4">
        <w:rPr>
          <w:noProof/>
        </w:rPr>
        <w:t xml:space="preserve"> i śle</w:t>
      </w:r>
      <w:r w:rsidRPr="008B7FA4">
        <w:rPr>
          <w:noProof/>
        </w:rPr>
        <w:t>dzenia obiektów kosmicznych, które będą jednak interoperacyjne ze zdolnościami naszych głównych partnerów. Globalne starania</w:t>
      </w:r>
      <w:r w:rsidR="006B6BC0" w:rsidRPr="008B7FA4">
        <w:rPr>
          <w:noProof/>
        </w:rPr>
        <w:t xml:space="preserve"> w obs</w:t>
      </w:r>
      <w:r w:rsidRPr="008B7FA4">
        <w:rPr>
          <w:noProof/>
        </w:rPr>
        <w:t>zarze STM przyczyniłyby się również –</w:t>
      </w:r>
      <w:r w:rsidR="006B6BC0" w:rsidRPr="008B7FA4">
        <w:rPr>
          <w:noProof/>
        </w:rPr>
        <w:t xml:space="preserve"> w uję</w:t>
      </w:r>
      <w:r w:rsidRPr="008B7FA4">
        <w:rPr>
          <w:noProof/>
        </w:rPr>
        <w:t>ciu ogólnym – do poprawy przejrzystości</w:t>
      </w:r>
      <w:r w:rsidR="006B6BC0" w:rsidRPr="008B7FA4">
        <w:rPr>
          <w:noProof/>
        </w:rPr>
        <w:t xml:space="preserve"> i zwi</w:t>
      </w:r>
      <w:r w:rsidRPr="008B7FA4">
        <w:rPr>
          <w:noProof/>
        </w:rPr>
        <w:t>ększenia poziomu pewności,</w:t>
      </w:r>
      <w:r w:rsidR="006B6BC0" w:rsidRPr="008B7FA4">
        <w:rPr>
          <w:noProof/>
        </w:rPr>
        <w:t xml:space="preserve"> a tak</w:t>
      </w:r>
      <w:r w:rsidRPr="008B7FA4">
        <w:rPr>
          <w:noProof/>
        </w:rPr>
        <w:t>że pozwoliłyby uniknąć nieporozumień</w:t>
      </w:r>
      <w:r w:rsidR="006B6BC0" w:rsidRPr="008B7FA4">
        <w:rPr>
          <w:noProof/>
        </w:rPr>
        <w:t xml:space="preserve"> i umo</w:t>
      </w:r>
      <w:r w:rsidRPr="008B7FA4">
        <w:rPr>
          <w:noProof/>
        </w:rPr>
        <w:t>żliwiłyby deeskalację napięć</w:t>
      </w:r>
      <w:r w:rsidR="006B6BC0" w:rsidRPr="008B7FA4">
        <w:rPr>
          <w:noProof/>
        </w:rPr>
        <w:t xml:space="preserve"> w prz</w:t>
      </w:r>
      <w:r w:rsidRPr="008B7FA4">
        <w:rPr>
          <w:noProof/>
        </w:rPr>
        <w:t>ypadku incydentów.</w:t>
      </w:r>
    </w:p>
    <w:p w:rsidR="00630C8C" w:rsidRPr="008B7FA4" w:rsidRDefault="00630C8C" w:rsidP="0030712E">
      <w:pPr>
        <w:rPr>
          <w:noProof/>
        </w:rPr>
      </w:pPr>
      <w:r w:rsidRPr="008B7FA4">
        <w:rPr>
          <w:noProof/>
        </w:rPr>
        <w:t>Ponieważ środowisko orbitalne stanowi wspólny zasób globalny, operatorzy prowadzący działalność</w:t>
      </w:r>
      <w:r w:rsidR="006B6BC0" w:rsidRPr="008B7FA4">
        <w:rPr>
          <w:noProof/>
        </w:rPr>
        <w:t xml:space="preserve"> w prz</w:t>
      </w:r>
      <w:r w:rsidRPr="008B7FA4">
        <w:rPr>
          <w:noProof/>
        </w:rPr>
        <w:t>estrzeni kosmicznej na całym świecie są ze sobą</w:t>
      </w:r>
      <w:r w:rsidR="006B6BC0" w:rsidRPr="008B7FA4">
        <w:rPr>
          <w:noProof/>
        </w:rPr>
        <w:t xml:space="preserve"> w róż</w:t>
      </w:r>
      <w:r w:rsidRPr="008B7FA4">
        <w:rPr>
          <w:noProof/>
        </w:rPr>
        <w:t>nym stopniu powiązani</w:t>
      </w:r>
      <w:r w:rsidR="006B6BC0" w:rsidRPr="008B7FA4">
        <w:rPr>
          <w:noProof/>
        </w:rPr>
        <w:t>. W rez</w:t>
      </w:r>
      <w:r w:rsidRPr="008B7FA4">
        <w:rPr>
          <w:noProof/>
        </w:rPr>
        <w:t>ultacie ustanowienie STM wiąże się</w:t>
      </w:r>
      <w:r w:rsidR="006B6BC0" w:rsidRPr="008B7FA4">
        <w:rPr>
          <w:noProof/>
        </w:rPr>
        <w:t xml:space="preserve"> z kon</w:t>
      </w:r>
      <w:r w:rsidRPr="008B7FA4">
        <w:rPr>
          <w:noProof/>
        </w:rPr>
        <w:t>iecznością uzyskania akceptacji wszystkich podmiotów działających</w:t>
      </w:r>
      <w:r w:rsidR="006B6BC0" w:rsidRPr="008B7FA4">
        <w:rPr>
          <w:noProof/>
        </w:rPr>
        <w:t xml:space="preserve"> w sek</w:t>
      </w:r>
      <w:r w:rsidRPr="008B7FA4">
        <w:rPr>
          <w:noProof/>
        </w:rPr>
        <w:t>torze lotów kosmicznych.</w:t>
      </w:r>
    </w:p>
    <w:p w:rsidR="00630C8C" w:rsidRPr="008B7FA4" w:rsidRDefault="00630C8C" w:rsidP="0030712E">
      <w:pPr>
        <w:rPr>
          <w:noProof/>
        </w:rPr>
      </w:pPr>
      <w:r w:rsidRPr="008B7FA4">
        <w:rPr>
          <w:noProof/>
        </w:rPr>
        <w:t>UE jest jednym</w:t>
      </w:r>
      <w:r w:rsidR="006B6BC0" w:rsidRPr="008B7FA4">
        <w:rPr>
          <w:noProof/>
        </w:rPr>
        <w:t xml:space="preserve"> z głó</w:t>
      </w:r>
      <w:r w:rsidRPr="008B7FA4">
        <w:rPr>
          <w:noProof/>
        </w:rPr>
        <w:t>wnych międzynarodowych podmiotów działających</w:t>
      </w:r>
      <w:r w:rsidR="006B6BC0" w:rsidRPr="008B7FA4">
        <w:rPr>
          <w:noProof/>
        </w:rPr>
        <w:t xml:space="preserve"> w sek</w:t>
      </w:r>
      <w:r w:rsidRPr="008B7FA4">
        <w:rPr>
          <w:noProof/>
        </w:rPr>
        <w:t>torze lotów kosmicznych, który prowadzi swoją własną europejską politykę kosmiczną</w:t>
      </w:r>
      <w:r w:rsidR="006B6BC0" w:rsidRPr="008B7FA4">
        <w:rPr>
          <w:noProof/>
        </w:rPr>
        <w:t xml:space="preserve"> i rea</w:t>
      </w:r>
      <w:r w:rsidRPr="008B7FA4">
        <w:rPr>
          <w:noProof/>
        </w:rPr>
        <w:t>lizuje swój własny program kosmiczny,</w:t>
      </w:r>
      <w:r w:rsidR="006B6BC0" w:rsidRPr="008B7FA4">
        <w:rPr>
          <w:noProof/>
        </w:rPr>
        <w:t xml:space="preserve"> w któ</w:t>
      </w:r>
      <w:r w:rsidRPr="008B7FA4">
        <w:rPr>
          <w:noProof/>
        </w:rPr>
        <w:t>rego skład wchodzi komponent dotyczący pozycjonowania, nawigacji</w:t>
      </w:r>
      <w:r w:rsidR="006B6BC0" w:rsidRPr="008B7FA4">
        <w:rPr>
          <w:noProof/>
        </w:rPr>
        <w:t xml:space="preserve"> i syn</w:t>
      </w:r>
      <w:r w:rsidRPr="008B7FA4">
        <w:rPr>
          <w:noProof/>
        </w:rPr>
        <w:t>chronizacji czasu (PNT) oraz komponent obserwacji Ziemi. UE ma zatem obowiązek</w:t>
      </w:r>
      <w:r w:rsidR="006B6BC0" w:rsidRPr="008B7FA4">
        <w:rPr>
          <w:noProof/>
        </w:rPr>
        <w:t xml:space="preserve"> i uza</w:t>
      </w:r>
      <w:r w:rsidRPr="008B7FA4">
        <w:rPr>
          <w:noProof/>
        </w:rPr>
        <w:t>sadniony interes</w:t>
      </w:r>
      <w:r w:rsidR="006B6BC0" w:rsidRPr="008B7FA4">
        <w:rPr>
          <w:noProof/>
        </w:rPr>
        <w:t xml:space="preserve"> w tym</w:t>
      </w:r>
      <w:r w:rsidRPr="008B7FA4">
        <w:rPr>
          <w:noProof/>
        </w:rPr>
        <w:t>, aby aktywnie uczestniczyć</w:t>
      </w:r>
      <w:r w:rsidR="006B6BC0" w:rsidRPr="008B7FA4">
        <w:rPr>
          <w:noProof/>
        </w:rPr>
        <w:t xml:space="preserve"> w glo</w:t>
      </w:r>
      <w:r w:rsidRPr="008B7FA4">
        <w:rPr>
          <w:noProof/>
        </w:rPr>
        <w:t>balnej debacie</w:t>
      </w:r>
      <w:r w:rsidR="006B6BC0" w:rsidRPr="008B7FA4">
        <w:rPr>
          <w:noProof/>
        </w:rPr>
        <w:t xml:space="preserve"> w zak</w:t>
      </w:r>
      <w:r w:rsidRPr="008B7FA4">
        <w:rPr>
          <w:noProof/>
        </w:rPr>
        <w:t>resie zarządzania ruchem</w:t>
      </w:r>
      <w:r w:rsidR="006B6BC0" w:rsidRPr="008B7FA4">
        <w:rPr>
          <w:noProof/>
        </w:rPr>
        <w:t xml:space="preserve"> w prz</w:t>
      </w:r>
      <w:r w:rsidRPr="008B7FA4">
        <w:rPr>
          <w:noProof/>
        </w:rPr>
        <w:t>estrzeni kosmicznej</w:t>
      </w:r>
      <w:r w:rsidR="006B6BC0" w:rsidRPr="008B7FA4">
        <w:rPr>
          <w:noProof/>
        </w:rPr>
        <w:t xml:space="preserve"> i aby</w:t>
      </w:r>
      <w:r w:rsidRPr="008B7FA4">
        <w:rPr>
          <w:noProof/>
        </w:rPr>
        <w:t xml:space="preserve"> nadawać kierunek niezbędnym działaniom</w:t>
      </w:r>
      <w:r w:rsidR="006B6BC0" w:rsidRPr="008B7FA4">
        <w:rPr>
          <w:noProof/>
        </w:rPr>
        <w:t xml:space="preserve"> w tej</w:t>
      </w:r>
      <w:r w:rsidRPr="008B7FA4">
        <w:rPr>
          <w:noProof/>
        </w:rPr>
        <w:t xml:space="preserve"> dziedzinie. </w:t>
      </w:r>
      <w:r w:rsidRPr="008B7FA4">
        <w:rPr>
          <w:b/>
          <w:noProof/>
        </w:rPr>
        <w:t>UE wspiera już wielostronne podejście służące zapewnieniu zachowania długoterminowego bezpieczeństwa</w:t>
      </w:r>
      <w:r w:rsidR="006B6BC0" w:rsidRPr="008B7FA4">
        <w:rPr>
          <w:b/>
          <w:noProof/>
        </w:rPr>
        <w:t xml:space="preserve"> i zró</w:t>
      </w:r>
      <w:r w:rsidRPr="008B7FA4">
        <w:rPr>
          <w:b/>
          <w:noProof/>
        </w:rPr>
        <w:t>wnoważonego charakteru działań prowadzonych</w:t>
      </w:r>
      <w:r w:rsidR="006B6BC0" w:rsidRPr="008B7FA4">
        <w:rPr>
          <w:b/>
          <w:noProof/>
        </w:rPr>
        <w:t xml:space="preserve"> w prz</w:t>
      </w:r>
      <w:r w:rsidRPr="008B7FA4">
        <w:rPr>
          <w:b/>
          <w:noProof/>
        </w:rPr>
        <w:t>estrzeni kosmicznej, aby ograniczyć zagrożenia</w:t>
      </w:r>
      <w:r w:rsidR="006B6BC0" w:rsidRPr="008B7FA4">
        <w:rPr>
          <w:b/>
          <w:noProof/>
        </w:rPr>
        <w:t xml:space="preserve"> i ryz</w:t>
      </w:r>
      <w:r w:rsidRPr="008B7FA4">
        <w:rPr>
          <w:b/>
          <w:noProof/>
        </w:rPr>
        <w:t>yko dla wszystkich systemów kosmicznych.</w:t>
      </w:r>
      <w:r w:rsidRPr="008B7FA4">
        <w:rPr>
          <w:noProof/>
        </w:rPr>
        <w:t xml:space="preserve"> UE od dziesięcioleci angażuje się</w:t>
      </w:r>
      <w:r w:rsidR="006B6BC0" w:rsidRPr="008B7FA4">
        <w:rPr>
          <w:noProof/>
        </w:rPr>
        <w:t xml:space="preserve"> w dzi</w:t>
      </w:r>
      <w:r w:rsidRPr="008B7FA4">
        <w:rPr>
          <w:noProof/>
        </w:rPr>
        <w:t>ałania przyczyniające się do utrzymania bezpieczeństwa, zrównoważonego charakteru, stabilności</w:t>
      </w:r>
      <w:r w:rsidR="006B6BC0" w:rsidRPr="008B7FA4">
        <w:rPr>
          <w:noProof/>
        </w:rPr>
        <w:t xml:space="preserve"> i odp</w:t>
      </w:r>
      <w:r w:rsidRPr="008B7FA4">
        <w:rPr>
          <w:noProof/>
        </w:rPr>
        <w:t>owiedniego poziomu ochrony kosmosu</w:t>
      </w:r>
      <w:r w:rsidR="006B6BC0" w:rsidRPr="008B7FA4">
        <w:rPr>
          <w:noProof/>
        </w:rPr>
        <w:t xml:space="preserve"> i nie</w:t>
      </w:r>
      <w:r w:rsidRPr="008B7FA4">
        <w:rPr>
          <w:noProof/>
        </w:rPr>
        <w:t>ustannie dąży do zagwarantowania korzystania</w:t>
      </w:r>
      <w:r w:rsidR="006B6BC0" w:rsidRPr="008B7FA4">
        <w:rPr>
          <w:noProof/>
        </w:rPr>
        <w:t xml:space="preserve"> z prz</w:t>
      </w:r>
      <w:r w:rsidRPr="008B7FA4">
        <w:rPr>
          <w:noProof/>
        </w:rPr>
        <w:t>estrzeni kosmicznej</w:t>
      </w:r>
      <w:r w:rsidR="006B6BC0" w:rsidRPr="008B7FA4">
        <w:rPr>
          <w:noProof/>
        </w:rPr>
        <w:t xml:space="preserve"> w pok</w:t>
      </w:r>
      <w:r w:rsidRPr="008B7FA4">
        <w:rPr>
          <w:noProof/>
        </w:rPr>
        <w:t>ojowy sposób.</w:t>
      </w:r>
    </w:p>
    <w:p w:rsidR="00630C8C" w:rsidRPr="008B7FA4" w:rsidRDefault="00574DC1" w:rsidP="0030712E">
      <w:pPr>
        <w:rPr>
          <w:noProof/>
        </w:rPr>
      </w:pPr>
      <w:r w:rsidRPr="008B7FA4">
        <w:rPr>
          <w:noProof/>
        </w:rPr>
        <w:t>W szeregu dokumentów programowych wysokiego szczebla wzywających do podjęcia pilnych działań Rada, Komisja</w:t>
      </w:r>
      <w:r w:rsidR="006B6BC0" w:rsidRPr="008B7FA4">
        <w:rPr>
          <w:noProof/>
        </w:rPr>
        <w:t xml:space="preserve"> i Wys</w:t>
      </w:r>
      <w:r w:rsidRPr="008B7FA4">
        <w:rPr>
          <w:noProof/>
        </w:rPr>
        <w:t>oki Przedstawiciel potwierdzili potrzebę wypracowania unijnego podejścia do STM, aby odnieść się do tych globalnych, wieloaspektowych wyzwań zagrażających bezpieczeństwu</w:t>
      </w:r>
      <w:r w:rsidR="006B6BC0" w:rsidRPr="008B7FA4">
        <w:rPr>
          <w:noProof/>
        </w:rPr>
        <w:t xml:space="preserve"> i zró</w:t>
      </w:r>
      <w:r w:rsidRPr="008B7FA4">
        <w:rPr>
          <w:noProof/>
        </w:rPr>
        <w:t>wnoważonemu charakterowi operacji kosmicznych</w:t>
      </w:r>
      <w:r w:rsidRPr="008B7FA4">
        <w:rPr>
          <w:rStyle w:val="FootnoteReference"/>
          <w:noProof/>
        </w:rPr>
        <w:footnoteReference w:id="2"/>
      </w:r>
      <w:r w:rsidRPr="008B7FA4">
        <w:rPr>
          <w:noProof/>
        </w:rPr>
        <w:t>.</w:t>
      </w:r>
    </w:p>
    <w:p w:rsidR="00630C8C" w:rsidRPr="008B7FA4" w:rsidRDefault="00630C8C" w:rsidP="0030712E">
      <w:pPr>
        <w:rPr>
          <w:noProof/>
        </w:rPr>
      </w:pPr>
      <w:r w:rsidRPr="008B7FA4">
        <w:rPr>
          <w:noProof/>
        </w:rPr>
        <w:t>Wobec braku międzynarodowych ram regulacyjnych za pomocą szeregu inicjatyw publicznych</w:t>
      </w:r>
      <w:r w:rsidR="006B6BC0" w:rsidRPr="008B7FA4">
        <w:rPr>
          <w:noProof/>
        </w:rPr>
        <w:t xml:space="preserve"> i pry</w:t>
      </w:r>
      <w:r w:rsidRPr="008B7FA4">
        <w:rPr>
          <w:noProof/>
        </w:rPr>
        <w:t>watnych podjęto próbę uregulowania kwestii bezpieczeństwa operacji kosmicznych</w:t>
      </w:r>
      <w:r w:rsidR="006B6BC0" w:rsidRPr="008B7FA4">
        <w:rPr>
          <w:noProof/>
        </w:rPr>
        <w:t>. W wyś</w:t>
      </w:r>
      <w:r w:rsidRPr="008B7FA4">
        <w:rPr>
          <w:noProof/>
        </w:rPr>
        <w:t>cigu, którego celem jest ustanowienie bezpiecznego środowiska</w:t>
      </w:r>
      <w:r w:rsidR="006B6BC0" w:rsidRPr="008B7FA4">
        <w:rPr>
          <w:noProof/>
        </w:rPr>
        <w:t xml:space="preserve"> w prz</w:t>
      </w:r>
      <w:r w:rsidRPr="008B7FA4">
        <w:rPr>
          <w:noProof/>
        </w:rPr>
        <w:t xml:space="preserve">estrzeni kosmicznej gwarantującego bezpieczeństwo na Ziemi, </w:t>
      </w:r>
      <w:r w:rsidRPr="008B7FA4">
        <w:rPr>
          <w:b/>
          <w:noProof/>
        </w:rPr>
        <w:t>UE musi już teraz rozpocząć podejmowanie niezwłocznych, wspólnych</w:t>
      </w:r>
      <w:r w:rsidR="006B6BC0" w:rsidRPr="008B7FA4">
        <w:rPr>
          <w:b/>
          <w:noProof/>
        </w:rPr>
        <w:t xml:space="preserve"> i dob</w:t>
      </w:r>
      <w:r w:rsidRPr="008B7FA4">
        <w:rPr>
          <w:b/>
          <w:noProof/>
        </w:rPr>
        <w:t>rze przemyślanych działań</w:t>
      </w:r>
      <w:r w:rsidRPr="008B7FA4">
        <w:rPr>
          <w:noProof/>
        </w:rPr>
        <w:t xml:space="preserve">. </w:t>
      </w:r>
    </w:p>
    <w:p w:rsidR="002C4A8A" w:rsidRPr="008B7FA4" w:rsidRDefault="00630C8C" w:rsidP="002C4A8A">
      <w:pPr>
        <w:rPr>
          <w:rFonts w:eastAsia="Calibri"/>
          <w:noProof/>
        </w:rPr>
      </w:pPr>
      <w:r w:rsidRPr="008B7FA4">
        <w:rPr>
          <w:b/>
          <w:bCs/>
          <w:noProof/>
        </w:rPr>
        <w:t>Celem niniejszego wspólnego komunikatu jest przedstawienie konkretnego unijnego podejścia do STM</w:t>
      </w:r>
      <w:r w:rsidRPr="008B7FA4">
        <w:rPr>
          <w:b/>
          <w:noProof/>
        </w:rPr>
        <w:t>, aby zagwarantować bezpieczne</w:t>
      </w:r>
      <w:r w:rsidR="006B6BC0" w:rsidRPr="008B7FA4">
        <w:rPr>
          <w:b/>
          <w:noProof/>
        </w:rPr>
        <w:t xml:space="preserve"> i zró</w:t>
      </w:r>
      <w:r w:rsidRPr="008B7FA4">
        <w:rPr>
          <w:b/>
          <w:noProof/>
        </w:rPr>
        <w:t>wnoważone korzystanie</w:t>
      </w:r>
      <w:r w:rsidR="006B6BC0" w:rsidRPr="008B7FA4">
        <w:rPr>
          <w:b/>
          <w:noProof/>
        </w:rPr>
        <w:t xml:space="preserve"> z prz</w:t>
      </w:r>
      <w:r w:rsidRPr="008B7FA4">
        <w:rPr>
          <w:b/>
          <w:noProof/>
        </w:rPr>
        <w:t>estrzeni kosmicznej oraz zapewnić zachowanie interesów UE przy pełnym poszanowaniu odpowiednich kompetencji UE</w:t>
      </w:r>
      <w:r w:rsidR="006B6BC0" w:rsidRPr="008B7FA4">
        <w:rPr>
          <w:b/>
          <w:noProof/>
        </w:rPr>
        <w:t xml:space="preserve"> i jej</w:t>
      </w:r>
      <w:r w:rsidRPr="008B7FA4">
        <w:rPr>
          <w:b/>
          <w:noProof/>
        </w:rPr>
        <w:t xml:space="preserve"> państw członkowskich</w:t>
      </w:r>
      <w:r w:rsidRPr="008B7FA4">
        <w:rPr>
          <w:noProof/>
        </w:rPr>
        <w:t>.</w:t>
      </w:r>
    </w:p>
    <w:p w:rsidR="006945F1" w:rsidRPr="008B7FA4" w:rsidRDefault="006945F1" w:rsidP="002C4A8A">
      <w:pPr>
        <w:rPr>
          <w:rFonts w:eastAsia="Calibri"/>
          <w:noProof/>
        </w:rPr>
      </w:pPr>
    </w:p>
    <w:p w:rsidR="00630C8C" w:rsidRPr="008B7FA4" w:rsidRDefault="00630C8C" w:rsidP="007E4653">
      <w:pPr>
        <w:pStyle w:val="Heading1"/>
        <w:rPr>
          <w:noProof/>
        </w:rPr>
      </w:pPr>
      <w:bookmarkStart w:id="6" w:name="_Toc90658844"/>
      <w:bookmarkStart w:id="7" w:name="_Toc90669910"/>
      <w:bookmarkStart w:id="8" w:name="_Toc90672536"/>
      <w:bookmarkStart w:id="9" w:name="_Toc90673540"/>
      <w:bookmarkStart w:id="10" w:name="_Toc90673621"/>
      <w:bookmarkStart w:id="11" w:name="_Toc90673703"/>
      <w:bookmarkStart w:id="12" w:name="_Toc90673789"/>
      <w:bookmarkStart w:id="13" w:name="_Toc90673861"/>
      <w:bookmarkStart w:id="14" w:name="_Toc90673933"/>
      <w:bookmarkStart w:id="15" w:name="_Toc90715589"/>
      <w:bookmarkStart w:id="16" w:name="_Toc90716557"/>
      <w:bookmarkStart w:id="17" w:name="_Toc90716664"/>
      <w:bookmarkStart w:id="18" w:name="_Toc90717242"/>
      <w:bookmarkStart w:id="19" w:name="_Toc90718164"/>
      <w:bookmarkStart w:id="20" w:name="_Toc90719445"/>
      <w:bookmarkStart w:id="21" w:name="_Toc90720588"/>
      <w:bookmarkStart w:id="22" w:name="_Toc90720668"/>
      <w:bookmarkStart w:id="23" w:name="_Toc90721856"/>
      <w:bookmarkStart w:id="24" w:name="_Toc90803152"/>
      <w:bookmarkStart w:id="25" w:name="_Toc90814335"/>
      <w:bookmarkStart w:id="26" w:name="_Toc90815325"/>
      <w:bookmarkStart w:id="27" w:name="_Toc90815397"/>
      <w:bookmarkStart w:id="28" w:name="_Toc90815469"/>
      <w:bookmarkStart w:id="29" w:name="_Toc90815803"/>
      <w:bookmarkStart w:id="30" w:name="_Toc90815878"/>
      <w:bookmarkStart w:id="31" w:name="_Toc90815994"/>
      <w:bookmarkStart w:id="32" w:name="_Toc90816124"/>
      <w:bookmarkStart w:id="33" w:name="_Toc90658845"/>
      <w:bookmarkStart w:id="34" w:name="_Toc90669911"/>
      <w:bookmarkStart w:id="35" w:name="_Toc90672537"/>
      <w:bookmarkStart w:id="36" w:name="_Toc90673541"/>
      <w:bookmarkStart w:id="37" w:name="_Toc90673622"/>
      <w:bookmarkStart w:id="38" w:name="_Toc90673704"/>
      <w:bookmarkStart w:id="39" w:name="_Toc90673790"/>
      <w:bookmarkStart w:id="40" w:name="_Toc90673862"/>
      <w:bookmarkStart w:id="41" w:name="_Toc90673934"/>
      <w:bookmarkStart w:id="42" w:name="_Toc90715590"/>
      <w:bookmarkStart w:id="43" w:name="_Toc90716558"/>
      <w:bookmarkStart w:id="44" w:name="_Toc90716665"/>
      <w:bookmarkStart w:id="45" w:name="_Toc90717243"/>
      <w:bookmarkStart w:id="46" w:name="_Toc90718165"/>
      <w:bookmarkStart w:id="47" w:name="_Toc90719446"/>
      <w:bookmarkStart w:id="48" w:name="_Toc90720589"/>
      <w:bookmarkStart w:id="49" w:name="_Toc90720669"/>
      <w:bookmarkStart w:id="50" w:name="_Toc90721857"/>
      <w:bookmarkStart w:id="51" w:name="_Toc90803153"/>
      <w:bookmarkStart w:id="52" w:name="_Toc90814336"/>
      <w:bookmarkStart w:id="53" w:name="_Toc90815326"/>
      <w:bookmarkStart w:id="54" w:name="_Toc90815398"/>
      <w:bookmarkStart w:id="55" w:name="_Toc90815470"/>
      <w:bookmarkStart w:id="56" w:name="_Toc90815804"/>
      <w:bookmarkStart w:id="57" w:name="_Toc90815879"/>
      <w:bookmarkStart w:id="58" w:name="_Toc90815995"/>
      <w:bookmarkStart w:id="59" w:name="_Toc90816125"/>
      <w:bookmarkStart w:id="60" w:name="_Toc9238216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8B7FA4">
        <w:rPr>
          <w:noProof/>
        </w:rPr>
        <w:t>KONIECZNOŚĆ WYPRACOWANIA UNIJNEGO PODEJŚCIA DO STM</w:t>
      </w:r>
      <w:bookmarkEnd w:id="60"/>
    </w:p>
    <w:p w:rsidR="00630C8C" w:rsidRPr="008B7FA4" w:rsidRDefault="00630C8C" w:rsidP="009E7D75">
      <w:pPr>
        <w:rPr>
          <w:rFonts w:cs="Times New Roman"/>
          <w:noProof/>
        </w:rPr>
      </w:pPr>
      <w:r w:rsidRPr="008B7FA4">
        <w:rPr>
          <w:noProof/>
        </w:rPr>
        <w:t>Konieczność kontynuowania przez UE procesu kształtowania polityki</w:t>
      </w:r>
      <w:r w:rsidR="006B6BC0" w:rsidRPr="008B7FA4">
        <w:rPr>
          <w:noProof/>
        </w:rPr>
        <w:t xml:space="preserve"> i pod</w:t>
      </w:r>
      <w:r w:rsidRPr="008B7FA4">
        <w:rPr>
          <w:noProof/>
        </w:rPr>
        <w:t>ejmowania działań</w:t>
      </w:r>
      <w:r w:rsidR="006B6BC0" w:rsidRPr="008B7FA4">
        <w:rPr>
          <w:noProof/>
        </w:rPr>
        <w:t xml:space="preserve"> w dzi</w:t>
      </w:r>
      <w:r w:rsidRPr="008B7FA4">
        <w:rPr>
          <w:noProof/>
        </w:rPr>
        <w:t>edzinie STM – wobec braku międzynarodowych norm</w:t>
      </w:r>
      <w:r w:rsidR="006B6BC0" w:rsidRPr="008B7FA4">
        <w:rPr>
          <w:noProof/>
        </w:rPr>
        <w:t xml:space="preserve"> i sta</w:t>
      </w:r>
      <w:r w:rsidRPr="008B7FA4">
        <w:rPr>
          <w:noProof/>
        </w:rPr>
        <w:t>ndardów – opiera się na pewnych kluczowych zagadnieniach: granicach tej szybko rozwijającej się dziedziny polityki publicznej, głównych czynnikach zachęcających do podejmowania działań oraz możliwych reakcjach UE na przypadki wystąpienia pilnej potrzeby stawienia czoła temu globalnemu wyzwaniu.</w:t>
      </w:r>
    </w:p>
    <w:p w:rsidR="00630C8C" w:rsidRPr="008B7FA4" w:rsidRDefault="00630C8C" w:rsidP="00A72424">
      <w:pPr>
        <w:pStyle w:val="Heading2"/>
        <w:rPr>
          <w:noProof/>
        </w:rPr>
      </w:pPr>
      <w:bookmarkStart w:id="61" w:name="_Toc90658847"/>
      <w:bookmarkStart w:id="62" w:name="_Toc90669913"/>
      <w:bookmarkStart w:id="63" w:name="_Toc90672539"/>
      <w:bookmarkStart w:id="64" w:name="_Toc90673543"/>
      <w:bookmarkStart w:id="65" w:name="_Toc90673624"/>
      <w:bookmarkStart w:id="66" w:name="_Toc90673706"/>
      <w:bookmarkStart w:id="67" w:name="_Toc90673792"/>
      <w:bookmarkStart w:id="68" w:name="_Toc90673864"/>
      <w:bookmarkStart w:id="69" w:name="_Toc90673936"/>
      <w:bookmarkStart w:id="70" w:name="_Toc90715592"/>
      <w:bookmarkStart w:id="71" w:name="_Toc90716560"/>
      <w:bookmarkStart w:id="72" w:name="_Toc90716667"/>
      <w:bookmarkStart w:id="73" w:name="_Toc90717245"/>
      <w:bookmarkStart w:id="74" w:name="_Toc90718167"/>
      <w:bookmarkStart w:id="75" w:name="_Toc90719448"/>
      <w:bookmarkStart w:id="76" w:name="_Toc90720591"/>
      <w:bookmarkStart w:id="77" w:name="_Toc90720671"/>
      <w:bookmarkStart w:id="78" w:name="_Toc90721859"/>
      <w:bookmarkStart w:id="79" w:name="_Toc90803155"/>
      <w:bookmarkStart w:id="80" w:name="_Toc90814338"/>
      <w:bookmarkStart w:id="81" w:name="_Toc90815328"/>
      <w:bookmarkStart w:id="82" w:name="_Toc90815400"/>
      <w:bookmarkStart w:id="83" w:name="_Toc90815472"/>
      <w:bookmarkStart w:id="84" w:name="_Toc90815806"/>
      <w:bookmarkStart w:id="85" w:name="_Toc90815881"/>
      <w:bookmarkStart w:id="86" w:name="_Toc90815997"/>
      <w:bookmarkStart w:id="87" w:name="_Toc90816127"/>
      <w:bookmarkStart w:id="88" w:name="_Toc9238216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8B7FA4">
        <w:rPr>
          <w:noProof/>
        </w:rPr>
        <w:t>Definicja STM</w:t>
      </w:r>
      <w:bookmarkEnd w:id="88"/>
    </w:p>
    <w:p w:rsidR="00630C8C" w:rsidRPr="008B7FA4" w:rsidRDefault="00630C8C" w:rsidP="009E7D75">
      <w:pPr>
        <w:rPr>
          <w:rFonts w:cs="Times New Roman"/>
          <w:noProof/>
        </w:rPr>
      </w:pPr>
      <w:r w:rsidRPr="008B7FA4">
        <w:rPr>
          <w:noProof/>
        </w:rPr>
        <w:t xml:space="preserve">Pierwszą kwestią, do jakiej należy się odnieść, jest </w:t>
      </w:r>
      <w:r w:rsidRPr="008B7FA4">
        <w:rPr>
          <w:b/>
          <w:noProof/>
        </w:rPr>
        <w:t>brak konsensusu</w:t>
      </w:r>
      <w:r w:rsidRPr="008B7FA4">
        <w:rPr>
          <w:noProof/>
        </w:rPr>
        <w:t xml:space="preserve"> co do </w:t>
      </w:r>
      <w:r w:rsidRPr="008B7FA4">
        <w:rPr>
          <w:b/>
          <w:noProof/>
        </w:rPr>
        <w:t>uzgodnionej na szczeblu międzynarodowym, jednoznacznej definicji</w:t>
      </w:r>
      <w:r w:rsidRPr="008B7FA4">
        <w:rPr>
          <w:noProof/>
        </w:rPr>
        <w:t xml:space="preserve"> zarządzania ruchem</w:t>
      </w:r>
      <w:r w:rsidR="006B6BC0" w:rsidRPr="008B7FA4">
        <w:rPr>
          <w:noProof/>
        </w:rPr>
        <w:t xml:space="preserve"> w prz</w:t>
      </w:r>
      <w:r w:rsidRPr="008B7FA4">
        <w:rPr>
          <w:noProof/>
        </w:rPr>
        <w:t>estrzeni kosmicznej oraz głównych celów tego zarządzania</w:t>
      </w:r>
      <w:r w:rsidRPr="008B7FA4">
        <w:rPr>
          <w:rStyle w:val="FootnoteReference"/>
          <w:rFonts w:cs="Times New Roman"/>
          <w:noProof/>
        </w:rPr>
        <w:footnoteReference w:id="3"/>
      </w:r>
      <w:r w:rsidRPr="008B7FA4">
        <w:rPr>
          <w:noProof/>
        </w:rPr>
        <w:t>. Choć powszechnie uznawana definicja tego pojęcia nie została jeszcze przyjęta na szczeblu międzynarodowym, nie można dłużej czekać</w:t>
      </w:r>
      <w:r w:rsidR="006B6BC0" w:rsidRPr="008B7FA4">
        <w:rPr>
          <w:noProof/>
        </w:rPr>
        <w:t xml:space="preserve"> z ure</w:t>
      </w:r>
      <w:r w:rsidRPr="008B7FA4">
        <w:rPr>
          <w:noProof/>
        </w:rPr>
        <w:t>gulowaniem kwestii związanych</w:t>
      </w:r>
      <w:r w:rsidR="006B6BC0" w:rsidRPr="008B7FA4">
        <w:rPr>
          <w:noProof/>
        </w:rPr>
        <w:t xml:space="preserve"> z och</w:t>
      </w:r>
      <w:r w:rsidRPr="008B7FA4">
        <w:rPr>
          <w:noProof/>
        </w:rPr>
        <w:t>roną infrastruktury kosmicznej</w:t>
      </w:r>
      <w:r w:rsidR="006B6BC0" w:rsidRPr="008B7FA4">
        <w:rPr>
          <w:noProof/>
        </w:rPr>
        <w:t xml:space="preserve"> i kon</w:t>
      </w:r>
      <w:r w:rsidRPr="008B7FA4">
        <w:rPr>
          <w:noProof/>
        </w:rPr>
        <w:t>iecznością zagwarantowania bezpiecznego</w:t>
      </w:r>
      <w:r w:rsidR="006B6BC0" w:rsidRPr="008B7FA4">
        <w:rPr>
          <w:noProof/>
        </w:rPr>
        <w:t xml:space="preserve"> i zró</w:t>
      </w:r>
      <w:r w:rsidRPr="008B7FA4">
        <w:rPr>
          <w:noProof/>
        </w:rPr>
        <w:t>wnoważonego sposobu korzystania</w:t>
      </w:r>
      <w:r w:rsidR="006B6BC0" w:rsidRPr="008B7FA4">
        <w:rPr>
          <w:noProof/>
        </w:rPr>
        <w:t xml:space="preserve"> z prz</w:t>
      </w:r>
      <w:r w:rsidRPr="008B7FA4">
        <w:rPr>
          <w:noProof/>
        </w:rPr>
        <w:t>estrzeni kosmicznej</w:t>
      </w:r>
      <w:r w:rsidR="006B6BC0" w:rsidRPr="008B7FA4">
        <w:rPr>
          <w:noProof/>
        </w:rPr>
        <w:t xml:space="preserve"> w per</w:t>
      </w:r>
      <w:r w:rsidRPr="008B7FA4">
        <w:rPr>
          <w:noProof/>
        </w:rPr>
        <w:t>spektywie długoterminowej, szczególnie</w:t>
      </w:r>
      <w:r w:rsidR="006B6BC0" w:rsidRPr="008B7FA4">
        <w:rPr>
          <w:noProof/>
        </w:rPr>
        <w:t xml:space="preserve"> z uwa</w:t>
      </w:r>
      <w:r w:rsidRPr="008B7FA4">
        <w:rPr>
          <w:noProof/>
        </w:rPr>
        <w:t>gi na coraz większą liczbę podmiotów działających</w:t>
      </w:r>
      <w:r w:rsidR="006B6BC0" w:rsidRPr="008B7FA4">
        <w:rPr>
          <w:noProof/>
        </w:rPr>
        <w:t xml:space="preserve"> w prz</w:t>
      </w:r>
      <w:r w:rsidRPr="008B7FA4">
        <w:rPr>
          <w:noProof/>
        </w:rPr>
        <w:t>estrzeni kosmicznej</w:t>
      </w:r>
      <w:r w:rsidR="006B6BC0" w:rsidRPr="008B7FA4">
        <w:rPr>
          <w:noProof/>
        </w:rPr>
        <w:t xml:space="preserve"> i zna</w:t>
      </w:r>
      <w:r w:rsidRPr="008B7FA4">
        <w:rPr>
          <w:noProof/>
        </w:rPr>
        <w:t>jdujących się</w:t>
      </w:r>
      <w:r w:rsidR="006B6BC0" w:rsidRPr="008B7FA4">
        <w:rPr>
          <w:noProof/>
        </w:rPr>
        <w:t xml:space="preserve"> w tej</w:t>
      </w:r>
      <w:r w:rsidRPr="008B7FA4">
        <w:rPr>
          <w:noProof/>
        </w:rPr>
        <w:t xml:space="preserve"> przestrzeni obiektów. </w:t>
      </w:r>
    </w:p>
    <w:p w:rsidR="00630C8C" w:rsidRPr="008B7FA4" w:rsidRDefault="00630C8C" w:rsidP="009E7D75">
      <w:pPr>
        <w:rPr>
          <w:rFonts w:cs="Times New Roman"/>
          <w:b/>
          <w:iCs/>
          <w:noProof/>
        </w:rPr>
      </w:pPr>
      <w:r w:rsidRPr="008B7FA4">
        <w:rPr>
          <w:noProof/>
        </w:rPr>
        <w:t>Na podstawie wyników wyczerpującego badania definicji</w:t>
      </w:r>
      <w:r w:rsidR="006B6BC0" w:rsidRPr="008B7FA4">
        <w:rPr>
          <w:noProof/>
        </w:rPr>
        <w:t xml:space="preserve"> i pod</w:t>
      </w:r>
      <w:r w:rsidRPr="008B7FA4">
        <w:rPr>
          <w:noProof/>
        </w:rPr>
        <w:t>ejść</w:t>
      </w:r>
      <w:r w:rsidRPr="008B7FA4">
        <w:rPr>
          <w:rStyle w:val="FootnoteReference"/>
          <w:rFonts w:cs="Times New Roman"/>
          <w:noProof/>
        </w:rPr>
        <w:footnoteReference w:id="4"/>
      </w:r>
      <w:r w:rsidRPr="008B7FA4">
        <w:rPr>
          <w:noProof/>
        </w:rPr>
        <w:t>,</w:t>
      </w:r>
      <w:r w:rsidR="006B6BC0" w:rsidRPr="008B7FA4">
        <w:rPr>
          <w:noProof/>
        </w:rPr>
        <w:t xml:space="preserve"> a tak</w:t>
      </w:r>
      <w:r w:rsidRPr="008B7FA4">
        <w:rPr>
          <w:noProof/>
        </w:rPr>
        <w:t>że aby poczynić postępy na szczeblu UE,</w:t>
      </w:r>
      <w:r w:rsidR="006B6BC0" w:rsidRPr="008B7FA4">
        <w:rPr>
          <w:noProof/>
        </w:rPr>
        <w:t xml:space="preserve"> w nin</w:t>
      </w:r>
      <w:r w:rsidRPr="008B7FA4">
        <w:rPr>
          <w:noProof/>
        </w:rPr>
        <w:t xml:space="preserve">iejszym komunikacie </w:t>
      </w:r>
      <w:r w:rsidRPr="008B7FA4">
        <w:rPr>
          <w:b/>
          <w:noProof/>
        </w:rPr>
        <w:t>STM</w:t>
      </w:r>
      <w:r w:rsidRPr="008B7FA4">
        <w:rPr>
          <w:noProof/>
        </w:rPr>
        <w:t xml:space="preserve"> </w:t>
      </w:r>
      <w:r w:rsidRPr="008B7FA4">
        <w:rPr>
          <w:b/>
          <w:noProof/>
        </w:rPr>
        <w:t>definiuje się</w:t>
      </w:r>
      <w:r w:rsidRPr="008B7FA4">
        <w:rPr>
          <w:b/>
          <w:iCs/>
          <w:noProof/>
        </w:rPr>
        <w:t xml:space="preserve"> jako środki</w:t>
      </w:r>
      <w:r w:rsidR="006B6BC0" w:rsidRPr="008B7FA4">
        <w:rPr>
          <w:b/>
          <w:iCs/>
          <w:noProof/>
        </w:rPr>
        <w:t xml:space="preserve"> i zas</w:t>
      </w:r>
      <w:r w:rsidRPr="008B7FA4">
        <w:rPr>
          <w:b/>
          <w:iCs/>
          <w:noProof/>
        </w:rPr>
        <w:t>ady</w:t>
      </w:r>
      <w:r w:rsidR="006B6BC0" w:rsidRPr="008B7FA4">
        <w:rPr>
          <w:b/>
          <w:iCs/>
          <w:noProof/>
        </w:rPr>
        <w:t xml:space="preserve"> w zak</w:t>
      </w:r>
      <w:r w:rsidRPr="008B7FA4">
        <w:rPr>
          <w:b/>
          <w:iCs/>
          <w:noProof/>
        </w:rPr>
        <w:t>resie bezpiecznego</w:t>
      </w:r>
      <w:r w:rsidR="006B6BC0" w:rsidRPr="008B7FA4">
        <w:rPr>
          <w:b/>
          <w:iCs/>
          <w:noProof/>
        </w:rPr>
        <w:t xml:space="preserve"> i zró</w:t>
      </w:r>
      <w:r w:rsidRPr="008B7FA4">
        <w:rPr>
          <w:b/>
          <w:iCs/>
          <w:noProof/>
        </w:rPr>
        <w:t>wnoważonego uzyskiwania dostępu do przestrzeni kosmicznej, prowadzenia działań</w:t>
      </w:r>
      <w:r w:rsidR="006B6BC0" w:rsidRPr="008B7FA4">
        <w:rPr>
          <w:b/>
          <w:iCs/>
          <w:noProof/>
        </w:rPr>
        <w:t xml:space="preserve"> w tej</w:t>
      </w:r>
      <w:r w:rsidRPr="008B7FA4">
        <w:rPr>
          <w:b/>
          <w:iCs/>
          <w:noProof/>
        </w:rPr>
        <w:t xml:space="preserve"> przestrzeni oraz powrotu</w:t>
      </w:r>
      <w:r w:rsidR="006B6BC0" w:rsidRPr="008B7FA4">
        <w:rPr>
          <w:b/>
          <w:iCs/>
          <w:noProof/>
        </w:rPr>
        <w:t xml:space="preserve"> z nie</w:t>
      </w:r>
      <w:r w:rsidRPr="008B7FA4">
        <w:rPr>
          <w:b/>
          <w:iCs/>
          <w:noProof/>
        </w:rPr>
        <w:t>j na Ziemię</w:t>
      </w:r>
      <w:r w:rsidRPr="008B7FA4">
        <w:rPr>
          <w:noProof/>
        </w:rPr>
        <w:t>.</w:t>
      </w:r>
      <w:r w:rsidRPr="008B7FA4">
        <w:rPr>
          <w:b/>
          <w:iCs/>
          <w:noProof/>
        </w:rPr>
        <w:t xml:space="preserve"> </w:t>
      </w:r>
    </w:p>
    <w:p w:rsidR="00630C8C" w:rsidRPr="008B7FA4" w:rsidRDefault="00630C8C" w:rsidP="009E7D75">
      <w:pPr>
        <w:rPr>
          <w:rFonts w:eastAsia="Calibri"/>
          <w:noProof/>
          <w:szCs w:val="24"/>
        </w:rPr>
      </w:pPr>
      <w:r w:rsidRPr="008B7FA4">
        <w:rPr>
          <w:noProof/>
        </w:rPr>
        <w:t>Zarządzanie ruchem</w:t>
      </w:r>
      <w:r w:rsidR="006B6BC0" w:rsidRPr="008B7FA4">
        <w:rPr>
          <w:noProof/>
        </w:rPr>
        <w:t xml:space="preserve"> w prz</w:t>
      </w:r>
      <w:r w:rsidRPr="008B7FA4">
        <w:rPr>
          <w:noProof/>
        </w:rPr>
        <w:t>estrzeni kosmicznej jest związane</w:t>
      </w:r>
      <w:r w:rsidR="006B6BC0" w:rsidRPr="008B7FA4">
        <w:rPr>
          <w:noProof/>
        </w:rPr>
        <w:t xml:space="preserve"> z nas</w:t>
      </w:r>
      <w:r w:rsidRPr="008B7FA4">
        <w:rPr>
          <w:noProof/>
        </w:rPr>
        <w:t>tępującymi elementami:</w:t>
      </w:r>
    </w:p>
    <w:p w:rsidR="00630C8C" w:rsidRPr="008B7FA4" w:rsidRDefault="00630C8C" w:rsidP="009E7D75">
      <w:pPr>
        <w:pStyle w:val="ListParagraph"/>
        <w:numPr>
          <w:ilvl w:val="0"/>
          <w:numId w:val="50"/>
        </w:numPr>
        <w:spacing w:after="120" w:line="360" w:lineRule="auto"/>
        <w:rPr>
          <w:rFonts w:ascii="Times New Roman" w:hAnsi="Times New Roman" w:cs="Times New Roman"/>
          <w:noProof/>
          <w:sz w:val="24"/>
          <w:szCs w:val="24"/>
        </w:rPr>
      </w:pPr>
      <w:r w:rsidRPr="008B7FA4">
        <w:rPr>
          <w:rFonts w:ascii="Times New Roman" w:hAnsi="Times New Roman"/>
          <w:noProof/>
          <w:sz w:val="24"/>
          <w:szCs w:val="24"/>
        </w:rPr>
        <w:t>działaniami</w:t>
      </w:r>
      <w:r w:rsidR="006B6BC0" w:rsidRPr="008B7FA4">
        <w:rPr>
          <w:rFonts w:ascii="Times New Roman" w:hAnsi="Times New Roman"/>
          <w:noProof/>
          <w:sz w:val="24"/>
          <w:szCs w:val="24"/>
        </w:rPr>
        <w:t xml:space="preserve"> w zak</w:t>
      </w:r>
      <w:r w:rsidRPr="008B7FA4">
        <w:rPr>
          <w:rFonts w:ascii="Times New Roman" w:hAnsi="Times New Roman"/>
          <w:noProof/>
          <w:sz w:val="24"/>
          <w:szCs w:val="24"/>
        </w:rPr>
        <w:t>resie orientacji sytuacyjnej</w:t>
      </w:r>
      <w:r w:rsidR="006B6BC0" w:rsidRPr="008B7FA4">
        <w:rPr>
          <w:rFonts w:ascii="Times New Roman" w:hAnsi="Times New Roman"/>
          <w:noProof/>
          <w:sz w:val="24"/>
          <w:szCs w:val="24"/>
        </w:rPr>
        <w:t xml:space="preserve"> w prz</w:t>
      </w:r>
      <w:r w:rsidRPr="008B7FA4">
        <w:rPr>
          <w:rFonts w:ascii="Times New Roman" w:hAnsi="Times New Roman"/>
          <w:noProof/>
          <w:sz w:val="24"/>
          <w:szCs w:val="24"/>
        </w:rPr>
        <w:t>estrzeni kosmicznej (SSA), uwzględniając obserwację</w:t>
      </w:r>
      <w:r w:rsidR="006B6BC0" w:rsidRPr="008B7FA4">
        <w:rPr>
          <w:rFonts w:ascii="Times New Roman" w:hAnsi="Times New Roman"/>
          <w:noProof/>
          <w:sz w:val="24"/>
          <w:szCs w:val="24"/>
        </w:rPr>
        <w:t xml:space="preserve"> i śle</w:t>
      </w:r>
      <w:r w:rsidRPr="008B7FA4">
        <w:rPr>
          <w:rFonts w:ascii="Times New Roman" w:hAnsi="Times New Roman"/>
          <w:noProof/>
          <w:sz w:val="24"/>
          <w:szCs w:val="24"/>
        </w:rPr>
        <w:t>dzenie obiektów kosmicznych (SST) oraz</w:t>
      </w:r>
    </w:p>
    <w:p w:rsidR="00630C8C" w:rsidRPr="008B7FA4" w:rsidRDefault="00630C8C" w:rsidP="009E7D75">
      <w:pPr>
        <w:pStyle w:val="ListParagraph"/>
        <w:numPr>
          <w:ilvl w:val="0"/>
          <w:numId w:val="50"/>
        </w:numPr>
        <w:spacing w:after="120" w:line="360" w:lineRule="auto"/>
        <w:rPr>
          <w:rFonts w:ascii="Times New Roman" w:hAnsi="Times New Roman" w:cs="Times New Roman"/>
          <w:noProof/>
          <w:sz w:val="24"/>
          <w:szCs w:val="24"/>
        </w:rPr>
      </w:pPr>
      <w:r w:rsidRPr="008B7FA4">
        <w:rPr>
          <w:rFonts w:ascii="Times New Roman" w:hAnsi="Times New Roman"/>
          <w:noProof/>
          <w:sz w:val="24"/>
          <w:szCs w:val="24"/>
        </w:rPr>
        <w:t>działaniami</w:t>
      </w:r>
      <w:r w:rsidR="006B6BC0" w:rsidRPr="008B7FA4">
        <w:rPr>
          <w:rFonts w:ascii="Times New Roman" w:hAnsi="Times New Roman"/>
          <w:noProof/>
          <w:sz w:val="24"/>
          <w:szCs w:val="24"/>
        </w:rPr>
        <w:t xml:space="preserve"> w zak</w:t>
      </w:r>
      <w:r w:rsidRPr="008B7FA4">
        <w:rPr>
          <w:rFonts w:ascii="Times New Roman" w:hAnsi="Times New Roman"/>
          <w:noProof/>
          <w:sz w:val="24"/>
          <w:szCs w:val="24"/>
        </w:rPr>
        <w:t>resie unieszkodliwiania</w:t>
      </w:r>
      <w:r w:rsidR="006B6BC0" w:rsidRPr="008B7FA4">
        <w:rPr>
          <w:rFonts w:ascii="Times New Roman" w:hAnsi="Times New Roman"/>
          <w:noProof/>
          <w:sz w:val="24"/>
          <w:szCs w:val="24"/>
        </w:rPr>
        <w:t xml:space="preserve"> i rem</w:t>
      </w:r>
      <w:r w:rsidRPr="008B7FA4">
        <w:rPr>
          <w:rFonts w:ascii="Times New Roman" w:hAnsi="Times New Roman"/>
          <w:noProof/>
          <w:sz w:val="24"/>
          <w:szCs w:val="24"/>
        </w:rPr>
        <w:t>ediacji śmieci kosmicznych;</w:t>
      </w:r>
    </w:p>
    <w:p w:rsidR="00630C8C" w:rsidRPr="008B7FA4" w:rsidRDefault="00630C8C" w:rsidP="009E7D75">
      <w:pPr>
        <w:pStyle w:val="ListParagraph"/>
        <w:numPr>
          <w:ilvl w:val="0"/>
          <w:numId w:val="50"/>
        </w:numPr>
        <w:spacing w:after="120" w:line="360" w:lineRule="auto"/>
        <w:rPr>
          <w:rFonts w:ascii="Times New Roman" w:hAnsi="Times New Roman" w:cs="Times New Roman"/>
          <w:noProof/>
          <w:sz w:val="24"/>
          <w:szCs w:val="24"/>
        </w:rPr>
      </w:pPr>
      <w:r w:rsidRPr="008B7FA4">
        <w:rPr>
          <w:rFonts w:ascii="Times New Roman" w:hAnsi="Times New Roman"/>
          <w:noProof/>
          <w:sz w:val="24"/>
          <w:szCs w:val="24"/>
        </w:rPr>
        <w:t>zarządzaniem orbitami kosmicznymi</w:t>
      </w:r>
      <w:r w:rsidR="006B6BC0" w:rsidRPr="008B7FA4">
        <w:rPr>
          <w:rFonts w:ascii="Times New Roman" w:hAnsi="Times New Roman"/>
          <w:noProof/>
          <w:sz w:val="24"/>
          <w:szCs w:val="24"/>
        </w:rPr>
        <w:t xml:space="preserve"> i wid</w:t>
      </w:r>
      <w:r w:rsidRPr="008B7FA4">
        <w:rPr>
          <w:rFonts w:ascii="Times New Roman" w:hAnsi="Times New Roman"/>
          <w:noProof/>
          <w:sz w:val="24"/>
          <w:szCs w:val="24"/>
        </w:rPr>
        <w:t>mem radiowym;</w:t>
      </w:r>
    </w:p>
    <w:p w:rsidR="00630C8C" w:rsidRPr="008B7FA4" w:rsidRDefault="00630C8C" w:rsidP="009E7D75">
      <w:pPr>
        <w:pStyle w:val="ListParagraph"/>
        <w:numPr>
          <w:ilvl w:val="0"/>
          <w:numId w:val="50"/>
        </w:numPr>
        <w:spacing w:after="120" w:line="360" w:lineRule="auto"/>
        <w:rPr>
          <w:rFonts w:ascii="Times New Roman" w:hAnsi="Times New Roman" w:cs="Times New Roman"/>
          <w:noProof/>
          <w:sz w:val="24"/>
          <w:szCs w:val="24"/>
        </w:rPr>
      </w:pPr>
      <w:r w:rsidRPr="008B7FA4">
        <w:rPr>
          <w:rFonts w:ascii="Times New Roman" w:hAnsi="Times New Roman"/>
          <w:noProof/>
          <w:sz w:val="24"/>
          <w:szCs w:val="24"/>
        </w:rPr>
        <w:t>całym cyklem życia operacji kosmicznych, począwszy od fazy wynoszenia statku kosmicznego</w:t>
      </w:r>
      <w:r w:rsidR="006B6BC0" w:rsidRPr="008B7FA4">
        <w:rPr>
          <w:rFonts w:ascii="Times New Roman" w:hAnsi="Times New Roman"/>
          <w:noProof/>
          <w:sz w:val="24"/>
          <w:szCs w:val="24"/>
        </w:rPr>
        <w:t xml:space="preserve"> w prz</w:t>
      </w:r>
      <w:r w:rsidRPr="008B7FA4">
        <w:rPr>
          <w:rFonts w:ascii="Times New Roman" w:hAnsi="Times New Roman"/>
          <w:noProof/>
          <w:sz w:val="24"/>
          <w:szCs w:val="24"/>
        </w:rPr>
        <w:t>estrzeń, przez operacje na orbicie,</w:t>
      </w:r>
      <w:r w:rsidR="006B6BC0" w:rsidRPr="008B7FA4">
        <w:rPr>
          <w:rFonts w:ascii="Times New Roman" w:hAnsi="Times New Roman"/>
          <w:noProof/>
          <w:sz w:val="24"/>
          <w:szCs w:val="24"/>
        </w:rPr>
        <w:t xml:space="preserve"> a sko</w:t>
      </w:r>
      <w:r w:rsidRPr="008B7FA4">
        <w:rPr>
          <w:rFonts w:ascii="Times New Roman" w:hAnsi="Times New Roman"/>
          <w:noProof/>
          <w:sz w:val="24"/>
          <w:szCs w:val="24"/>
        </w:rPr>
        <w:t>ńczywszy na operacjach deorbitacji po zakończeniu eksploatacji obiektów;</w:t>
      </w:r>
    </w:p>
    <w:p w:rsidR="00630C8C" w:rsidRPr="008B7FA4" w:rsidRDefault="00630C8C" w:rsidP="009E7D75">
      <w:pPr>
        <w:pStyle w:val="ListParagraph"/>
        <w:numPr>
          <w:ilvl w:val="0"/>
          <w:numId w:val="50"/>
        </w:numPr>
        <w:spacing w:after="120" w:line="360" w:lineRule="auto"/>
        <w:rPr>
          <w:rFonts w:ascii="Times New Roman" w:hAnsi="Times New Roman" w:cs="Times New Roman"/>
          <w:noProof/>
          <w:sz w:val="24"/>
          <w:szCs w:val="24"/>
        </w:rPr>
      </w:pPr>
      <w:r w:rsidRPr="008B7FA4">
        <w:rPr>
          <w:rFonts w:ascii="Times New Roman" w:hAnsi="Times New Roman"/>
          <w:noProof/>
          <w:sz w:val="24"/>
          <w:szCs w:val="24"/>
        </w:rPr>
        <w:t>ponownym wchodzeniem statku kosmicznego</w:t>
      </w:r>
      <w:r w:rsidR="006B6BC0" w:rsidRPr="008B7FA4">
        <w:rPr>
          <w:rFonts w:ascii="Times New Roman" w:hAnsi="Times New Roman"/>
          <w:noProof/>
          <w:sz w:val="24"/>
          <w:szCs w:val="24"/>
        </w:rPr>
        <w:t xml:space="preserve"> w atm</w:t>
      </w:r>
      <w:r w:rsidRPr="008B7FA4">
        <w:rPr>
          <w:rFonts w:ascii="Times New Roman" w:hAnsi="Times New Roman"/>
          <w:noProof/>
          <w:sz w:val="24"/>
          <w:szCs w:val="24"/>
        </w:rPr>
        <w:t>osferę (zarówno</w:t>
      </w:r>
      <w:r w:rsidR="006B6BC0" w:rsidRPr="008B7FA4">
        <w:rPr>
          <w:rFonts w:ascii="Times New Roman" w:hAnsi="Times New Roman"/>
          <w:noProof/>
          <w:sz w:val="24"/>
          <w:szCs w:val="24"/>
        </w:rPr>
        <w:t xml:space="preserve"> w war</w:t>
      </w:r>
      <w:r w:rsidRPr="008B7FA4">
        <w:rPr>
          <w:rFonts w:ascii="Times New Roman" w:hAnsi="Times New Roman"/>
          <w:noProof/>
          <w:sz w:val="24"/>
          <w:szCs w:val="24"/>
        </w:rPr>
        <w:t>unkach kontrolowanych, jak</w:t>
      </w:r>
      <w:r w:rsidR="006B6BC0" w:rsidRPr="008B7FA4">
        <w:rPr>
          <w:rFonts w:ascii="Times New Roman" w:hAnsi="Times New Roman"/>
          <w:noProof/>
          <w:sz w:val="24"/>
          <w:szCs w:val="24"/>
        </w:rPr>
        <w:t xml:space="preserve"> i w war</w:t>
      </w:r>
      <w:r w:rsidRPr="008B7FA4">
        <w:rPr>
          <w:rFonts w:ascii="Times New Roman" w:hAnsi="Times New Roman"/>
          <w:noProof/>
          <w:sz w:val="24"/>
          <w:szCs w:val="24"/>
        </w:rPr>
        <w:t>unkach niekontrolowanych).</w:t>
      </w:r>
    </w:p>
    <w:p w:rsidR="00630C8C" w:rsidRPr="008B7FA4" w:rsidRDefault="00630C8C" w:rsidP="009E7D75">
      <w:pPr>
        <w:rPr>
          <w:noProof/>
        </w:rPr>
      </w:pPr>
      <w:r w:rsidRPr="008B7FA4">
        <w:rPr>
          <w:noProof/>
        </w:rPr>
        <w:t xml:space="preserve">Charakter tej </w:t>
      </w:r>
      <w:r w:rsidRPr="008B7FA4">
        <w:rPr>
          <w:b/>
          <w:noProof/>
        </w:rPr>
        <w:t>roboczej definicji pozostaje dynamiczny</w:t>
      </w:r>
      <w:r w:rsidR="006B6BC0" w:rsidRPr="008B7FA4">
        <w:rPr>
          <w:noProof/>
        </w:rPr>
        <w:t xml:space="preserve"> i moż</w:t>
      </w:r>
      <w:r w:rsidRPr="008B7FA4">
        <w:rPr>
          <w:noProof/>
        </w:rPr>
        <w:t>e ulec ona dalszym zmianom</w:t>
      </w:r>
      <w:r w:rsidR="006B6BC0" w:rsidRPr="008B7FA4">
        <w:rPr>
          <w:noProof/>
        </w:rPr>
        <w:t xml:space="preserve"> w tok</w:t>
      </w:r>
      <w:r w:rsidRPr="008B7FA4">
        <w:rPr>
          <w:noProof/>
        </w:rPr>
        <w:t>u nadchodzących dyskusji poświęconych STM prowadzonych na szczeblu UE i na szczeblu międzynarodowym – wspomniane zmiany mogą przejawiać się bardziej szczegółowym omówieniem poszczególnych etapów działań,</w:t>
      </w:r>
      <w:r w:rsidR="006B6BC0" w:rsidRPr="008B7FA4">
        <w:rPr>
          <w:noProof/>
        </w:rPr>
        <w:t xml:space="preserve"> o któ</w:t>
      </w:r>
      <w:r w:rsidRPr="008B7FA4">
        <w:rPr>
          <w:noProof/>
        </w:rPr>
        <w:t>rych mowa powyżej,</w:t>
      </w:r>
      <w:r w:rsidR="006B6BC0" w:rsidRPr="008B7FA4">
        <w:rPr>
          <w:noProof/>
        </w:rPr>
        <w:t xml:space="preserve"> a tak</w:t>
      </w:r>
      <w:r w:rsidRPr="008B7FA4">
        <w:rPr>
          <w:noProof/>
        </w:rPr>
        <w:t>że ich uzupełnieniem.</w:t>
      </w:r>
    </w:p>
    <w:p w:rsidR="00630C8C" w:rsidRPr="008B7FA4" w:rsidRDefault="00630C8C" w:rsidP="00A72424">
      <w:pPr>
        <w:pStyle w:val="Heading2"/>
        <w:rPr>
          <w:noProof/>
        </w:rPr>
      </w:pPr>
      <w:bookmarkStart w:id="89" w:name="_Toc92382168"/>
      <w:bookmarkStart w:id="90" w:name="_Toc90673708"/>
      <w:r w:rsidRPr="008B7FA4">
        <w:rPr>
          <w:noProof/>
        </w:rPr>
        <w:t>Pilna potrzeba działania</w:t>
      </w:r>
      <w:bookmarkEnd w:id="89"/>
    </w:p>
    <w:p w:rsidR="00630C8C" w:rsidRPr="008B7FA4" w:rsidRDefault="0043463E" w:rsidP="009E7D75">
      <w:pPr>
        <w:rPr>
          <w:rFonts w:cs="Times New Roman"/>
          <w:noProof/>
        </w:rPr>
      </w:pPr>
      <w:r w:rsidRPr="008B7FA4">
        <w:rPr>
          <w:noProof/>
        </w:rPr>
        <w:t xml:space="preserve">Po 50 latach wykorzystywania systemów kosmicznych do celów komercyjnych konieczność wypracowania unijnego podejścia do STM jest </w:t>
      </w:r>
      <w:r w:rsidRPr="008B7FA4">
        <w:rPr>
          <w:b/>
          <w:noProof/>
        </w:rPr>
        <w:t>pilniejsza</w:t>
      </w:r>
      <w:r w:rsidRPr="008B7FA4">
        <w:rPr>
          <w:noProof/>
        </w:rPr>
        <w:t xml:space="preserve"> niż kiedykolwiek wcześniej.</w:t>
      </w:r>
      <w:r w:rsidRPr="008B7FA4">
        <w:rPr>
          <w:b/>
          <w:noProof/>
        </w:rPr>
        <w:t xml:space="preserve"> </w:t>
      </w:r>
      <w:r w:rsidRPr="008B7FA4">
        <w:rPr>
          <w:noProof/>
        </w:rPr>
        <w:t>Wspomniana pilność wynika</w:t>
      </w:r>
      <w:r w:rsidR="006B6BC0" w:rsidRPr="008B7FA4">
        <w:rPr>
          <w:noProof/>
        </w:rPr>
        <w:t xml:space="preserve"> z czt</w:t>
      </w:r>
      <w:r w:rsidRPr="008B7FA4">
        <w:rPr>
          <w:noProof/>
        </w:rPr>
        <w:t>erech zmian, jakie zaszły kolejno</w:t>
      </w:r>
      <w:r w:rsidR="006B6BC0" w:rsidRPr="008B7FA4">
        <w:rPr>
          <w:noProof/>
        </w:rPr>
        <w:t xml:space="preserve"> w sek</w:t>
      </w:r>
      <w:r w:rsidRPr="008B7FA4">
        <w:rPr>
          <w:noProof/>
        </w:rPr>
        <w:t xml:space="preserve">torze kosmicznym. Te cztery </w:t>
      </w:r>
      <w:r w:rsidRPr="008B7FA4">
        <w:rPr>
          <w:b/>
          <w:noProof/>
        </w:rPr>
        <w:t>czynniki</w:t>
      </w:r>
      <w:r w:rsidRPr="008B7FA4">
        <w:rPr>
          <w:noProof/>
        </w:rPr>
        <w:t xml:space="preserve"> –</w:t>
      </w:r>
      <w:r w:rsidR="006B6BC0" w:rsidRPr="008B7FA4">
        <w:rPr>
          <w:noProof/>
        </w:rPr>
        <w:t xml:space="preserve"> w tym</w:t>
      </w:r>
      <w:r w:rsidRPr="008B7FA4">
        <w:rPr>
          <w:noProof/>
        </w:rPr>
        <w:t xml:space="preserve"> m.in. wzrost natężenia ruchu</w:t>
      </w:r>
      <w:r w:rsidR="006B6BC0" w:rsidRPr="008B7FA4">
        <w:rPr>
          <w:noProof/>
        </w:rPr>
        <w:t xml:space="preserve"> w prz</w:t>
      </w:r>
      <w:r w:rsidRPr="008B7FA4">
        <w:rPr>
          <w:noProof/>
        </w:rPr>
        <w:t>estrzeni kosmicznej</w:t>
      </w:r>
      <w:r w:rsidR="006B6BC0" w:rsidRPr="008B7FA4">
        <w:rPr>
          <w:noProof/>
        </w:rPr>
        <w:t xml:space="preserve"> i pos</w:t>
      </w:r>
      <w:r w:rsidRPr="008B7FA4">
        <w:rPr>
          <w:noProof/>
        </w:rPr>
        <w:t>zerzenie spektrum podmiotów prowadzących działalność</w:t>
      </w:r>
      <w:r w:rsidR="006B6BC0" w:rsidRPr="008B7FA4">
        <w:rPr>
          <w:noProof/>
        </w:rPr>
        <w:t xml:space="preserve"> w śro</w:t>
      </w:r>
      <w:r w:rsidRPr="008B7FA4">
        <w:rPr>
          <w:noProof/>
        </w:rPr>
        <w:t>dowisku kosmicznym – sprawiają, że wprowadzenie rozwiązań</w:t>
      </w:r>
      <w:r w:rsidR="006B6BC0" w:rsidRPr="008B7FA4">
        <w:rPr>
          <w:noProof/>
        </w:rPr>
        <w:t xml:space="preserve"> w zak</w:t>
      </w:r>
      <w:r w:rsidRPr="008B7FA4">
        <w:rPr>
          <w:noProof/>
        </w:rPr>
        <w:t>resie zarządzania ruchem</w:t>
      </w:r>
      <w:r w:rsidR="006B6BC0" w:rsidRPr="008B7FA4">
        <w:rPr>
          <w:noProof/>
        </w:rPr>
        <w:t xml:space="preserve"> w prz</w:t>
      </w:r>
      <w:r w:rsidRPr="008B7FA4">
        <w:rPr>
          <w:noProof/>
        </w:rPr>
        <w:t>estrzeni kosmicznej staje się konieczne,</w:t>
      </w:r>
      <w:r w:rsidR="006B6BC0" w:rsidRPr="008B7FA4">
        <w:rPr>
          <w:noProof/>
        </w:rPr>
        <w:t xml:space="preserve"> i ini</w:t>
      </w:r>
      <w:r w:rsidRPr="008B7FA4">
        <w:rPr>
          <w:noProof/>
        </w:rPr>
        <w:t>cjują globalną reakcję</w:t>
      </w:r>
      <w:r w:rsidR="006B6BC0" w:rsidRPr="008B7FA4">
        <w:rPr>
          <w:noProof/>
        </w:rPr>
        <w:t xml:space="preserve"> w dzi</w:t>
      </w:r>
      <w:r w:rsidRPr="008B7FA4">
        <w:rPr>
          <w:noProof/>
        </w:rPr>
        <w:t>edzinie kształtowania polityki.</w:t>
      </w:r>
    </w:p>
    <w:p w:rsidR="00630C8C" w:rsidRPr="008B7FA4" w:rsidRDefault="00630C8C" w:rsidP="009E7D75">
      <w:pPr>
        <w:rPr>
          <w:rFonts w:cs="Times New Roman"/>
          <w:noProof/>
        </w:rPr>
      </w:pPr>
      <w:r w:rsidRPr="008B7FA4">
        <w:rPr>
          <w:noProof/>
        </w:rPr>
        <w:t xml:space="preserve">Po pierwsze, </w:t>
      </w:r>
      <w:r w:rsidRPr="008B7FA4">
        <w:rPr>
          <w:b/>
          <w:bCs/>
          <w:noProof/>
        </w:rPr>
        <w:t>aspekty ekonomiczne związane</w:t>
      </w:r>
      <w:r w:rsidR="006B6BC0" w:rsidRPr="008B7FA4">
        <w:rPr>
          <w:b/>
          <w:bCs/>
          <w:noProof/>
        </w:rPr>
        <w:t xml:space="preserve"> z prz</w:t>
      </w:r>
      <w:r w:rsidRPr="008B7FA4">
        <w:rPr>
          <w:b/>
          <w:bCs/>
          <w:noProof/>
        </w:rPr>
        <w:t>estrzenią kosmiczną zmieniają się wraz</w:t>
      </w:r>
      <w:r w:rsidR="006B6BC0" w:rsidRPr="008B7FA4">
        <w:rPr>
          <w:b/>
          <w:bCs/>
          <w:noProof/>
        </w:rPr>
        <w:t xml:space="preserve"> z nad</w:t>
      </w:r>
      <w:r w:rsidRPr="008B7FA4">
        <w:rPr>
          <w:b/>
          <w:bCs/>
          <w:noProof/>
        </w:rPr>
        <w:t>ejściem epoki „New Space”</w:t>
      </w:r>
      <w:r w:rsidRPr="008B7FA4">
        <w:rPr>
          <w:rStyle w:val="FootnoteReference"/>
          <w:rFonts w:cs="Times New Roman"/>
          <w:bCs/>
          <w:noProof/>
        </w:rPr>
        <w:footnoteReference w:id="5"/>
      </w:r>
      <w:r w:rsidRPr="008B7FA4">
        <w:rPr>
          <w:noProof/>
        </w:rPr>
        <w:t>. Koszt wysłania satelity</w:t>
      </w:r>
      <w:r w:rsidR="006B6BC0" w:rsidRPr="008B7FA4">
        <w:rPr>
          <w:noProof/>
        </w:rPr>
        <w:t xml:space="preserve"> w prz</w:t>
      </w:r>
      <w:r w:rsidRPr="008B7FA4">
        <w:rPr>
          <w:noProof/>
        </w:rPr>
        <w:t>estrzeń kosmiczną nieustannie maleje,</w:t>
      </w:r>
      <w:r w:rsidR="006B6BC0" w:rsidRPr="008B7FA4">
        <w:rPr>
          <w:noProof/>
        </w:rPr>
        <w:t xml:space="preserve"> w szc</w:t>
      </w:r>
      <w:r w:rsidRPr="008B7FA4">
        <w:rPr>
          <w:noProof/>
        </w:rPr>
        <w:t>zególności dzięki stosowaniu rakiet nośnych wielokrotnego użytku oraz dzięki rozwojowi mikrowyrzutni. Jednocześnie rozwój segmentu małych satelitów obniża cenę wyniesienia ładunków użytkowych</w:t>
      </w:r>
      <w:r w:rsidR="006B6BC0" w:rsidRPr="008B7FA4">
        <w:rPr>
          <w:noProof/>
        </w:rPr>
        <w:t xml:space="preserve"> w kos</w:t>
      </w:r>
      <w:r w:rsidRPr="008B7FA4">
        <w:rPr>
          <w:noProof/>
        </w:rPr>
        <w:t>mos. Wzrost potencjalnego zwrotu</w:t>
      </w:r>
      <w:r w:rsidR="006B6BC0" w:rsidRPr="008B7FA4">
        <w:rPr>
          <w:noProof/>
        </w:rPr>
        <w:t xml:space="preserve"> z inw</w:t>
      </w:r>
      <w:r w:rsidRPr="008B7FA4">
        <w:rPr>
          <w:noProof/>
        </w:rPr>
        <w:t xml:space="preserve">estycji przyciągnął kapitał wysokiego ryzyka do sektora kosmicznego. </w:t>
      </w:r>
    </w:p>
    <w:p w:rsidR="00630C8C" w:rsidRPr="008B7FA4" w:rsidRDefault="00630C8C" w:rsidP="009E7D75">
      <w:pPr>
        <w:rPr>
          <w:rFonts w:cs="Times New Roman"/>
          <w:noProof/>
        </w:rPr>
      </w:pPr>
      <w:r w:rsidRPr="008B7FA4">
        <w:rPr>
          <w:noProof/>
        </w:rPr>
        <w:t>Konsekwencją zmieniającego się otoczenia gospodarczego działań prowadzonych</w:t>
      </w:r>
      <w:r w:rsidR="006B6BC0" w:rsidRPr="008B7FA4">
        <w:rPr>
          <w:noProof/>
        </w:rPr>
        <w:t xml:space="preserve"> w prz</w:t>
      </w:r>
      <w:r w:rsidRPr="008B7FA4">
        <w:rPr>
          <w:noProof/>
        </w:rPr>
        <w:t xml:space="preserve">estrzeni kosmicznej jest </w:t>
      </w:r>
      <w:r w:rsidRPr="008B7FA4">
        <w:rPr>
          <w:b/>
          <w:bCs/>
          <w:noProof/>
        </w:rPr>
        <w:t>znaczny wzrost liczby satelitów na orbicie</w:t>
      </w:r>
      <w:r w:rsidRPr="008B7FA4">
        <w:rPr>
          <w:noProof/>
        </w:rPr>
        <w:t>,</w:t>
      </w:r>
      <w:r w:rsidR="006B6BC0" w:rsidRPr="008B7FA4">
        <w:rPr>
          <w:noProof/>
        </w:rPr>
        <w:t xml:space="preserve"> w szc</w:t>
      </w:r>
      <w:r w:rsidRPr="008B7FA4">
        <w:rPr>
          <w:noProof/>
        </w:rPr>
        <w:t>zególności</w:t>
      </w:r>
      <w:r w:rsidR="006B6BC0" w:rsidRPr="008B7FA4">
        <w:rPr>
          <w:noProof/>
        </w:rPr>
        <w:t xml:space="preserve"> w wyn</w:t>
      </w:r>
      <w:r w:rsidRPr="008B7FA4">
        <w:rPr>
          <w:noProof/>
        </w:rPr>
        <w:t>iku pojawienia się tzw. megakonstelacji. Od początku wyścigu kosmicznego</w:t>
      </w:r>
      <w:r w:rsidR="006B6BC0" w:rsidRPr="008B7FA4">
        <w:rPr>
          <w:noProof/>
        </w:rPr>
        <w:t xml:space="preserve"> w wyn</w:t>
      </w:r>
      <w:r w:rsidRPr="008B7FA4">
        <w:rPr>
          <w:noProof/>
        </w:rPr>
        <w:t>iku około 6 000 wyniesień na orbicie umieszczono 11 800 satelitów,</w:t>
      </w:r>
      <w:r w:rsidR="006B6BC0" w:rsidRPr="008B7FA4">
        <w:rPr>
          <w:noProof/>
        </w:rPr>
        <w:t xml:space="preserve"> z któ</w:t>
      </w:r>
      <w:r w:rsidRPr="008B7FA4">
        <w:rPr>
          <w:noProof/>
        </w:rPr>
        <w:t>rych 4 550 pozostaje obecnie</w:t>
      </w:r>
      <w:r w:rsidR="006B6BC0" w:rsidRPr="008B7FA4">
        <w:rPr>
          <w:noProof/>
        </w:rPr>
        <w:t xml:space="preserve"> w uży</w:t>
      </w:r>
      <w:r w:rsidRPr="008B7FA4">
        <w:rPr>
          <w:noProof/>
        </w:rPr>
        <w:t>ciu</w:t>
      </w:r>
      <w:r w:rsidRPr="008B7FA4">
        <w:rPr>
          <w:rStyle w:val="FootnoteReference"/>
          <w:rFonts w:cs="Times New Roman"/>
          <w:noProof/>
        </w:rPr>
        <w:footnoteReference w:id="6"/>
      </w:r>
      <w:r w:rsidRPr="008B7FA4">
        <w:rPr>
          <w:noProof/>
        </w:rPr>
        <w:t>. Szacuje się, że na przestrzeni nadchodzących dziesięciu lat wyniesionych zostanie ponad 20 000 kolejnych satelitów</w:t>
      </w:r>
      <w:r w:rsidRPr="008B7FA4">
        <w:rPr>
          <w:rStyle w:val="FootnoteReference"/>
          <w:rFonts w:cs="Times New Roman"/>
          <w:noProof/>
        </w:rPr>
        <w:footnoteReference w:id="7"/>
      </w:r>
      <w:r w:rsidRPr="008B7FA4">
        <w:rPr>
          <w:noProof/>
        </w:rPr>
        <w:t>. Ta rosnąca liczba satelitów zwiększa złożoność operacji kosmicznych</w:t>
      </w:r>
      <w:r w:rsidR="006B6BC0" w:rsidRPr="008B7FA4">
        <w:rPr>
          <w:noProof/>
        </w:rPr>
        <w:t xml:space="preserve"> i uni</w:t>
      </w:r>
      <w:r w:rsidRPr="008B7FA4">
        <w:rPr>
          <w:noProof/>
        </w:rPr>
        <w:t>emożliwia ich bezpieczne wykonywanie bez odpowiedniego monitorowania położenia innych statków kosmicznych.</w:t>
      </w:r>
    </w:p>
    <w:p w:rsidR="00630C8C" w:rsidRPr="008B7FA4" w:rsidRDefault="00630C8C" w:rsidP="009E7D75">
      <w:pPr>
        <w:rPr>
          <w:rFonts w:cs="Times New Roman"/>
          <w:noProof/>
        </w:rPr>
      </w:pPr>
      <w:r w:rsidRPr="008B7FA4">
        <w:rPr>
          <w:noProof/>
        </w:rPr>
        <w:t>Po drugie, wzrost liczby satelitów</w:t>
      </w:r>
      <w:r w:rsidR="006B6BC0" w:rsidRPr="008B7FA4">
        <w:rPr>
          <w:noProof/>
        </w:rPr>
        <w:t xml:space="preserve"> i zwi</w:t>
      </w:r>
      <w:r w:rsidRPr="008B7FA4">
        <w:rPr>
          <w:noProof/>
        </w:rPr>
        <w:t>ększenie natężenia ruchu</w:t>
      </w:r>
      <w:r w:rsidR="006B6BC0" w:rsidRPr="008B7FA4">
        <w:rPr>
          <w:noProof/>
        </w:rPr>
        <w:t xml:space="preserve"> w prz</w:t>
      </w:r>
      <w:r w:rsidRPr="008B7FA4">
        <w:rPr>
          <w:noProof/>
        </w:rPr>
        <w:t xml:space="preserve">estrzeni kosmicznej zwiększa </w:t>
      </w:r>
      <w:r w:rsidRPr="008B7FA4">
        <w:rPr>
          <w:b/>
          <w:bCs/>
          <w:noProof/>
        </w:rPr>
        <w:t>ilość wytwarzanych śmieci kosmicznych oraz ryzyko kolizji</w:t>
      </w:r>
      <w:r w:rsidRPr="008B7FA4">
        <w:rPr>
          <w:noProof/>
        </w:rPr>
        <w:t xml:space="preserve"> (zob. tabela 1). Obecnie na orbicie okołoziemskiej znajduje się już około 128 mln będących śmieciami obiektów</w:t>
      </w:r>
      <w:r w:rsidR="006B6BC0" w:rsidRPr="008B7FA4">
        <w:rPr>
          <w:noProof/>
        </w:rPr>
        <w:t xml:space="preserve"> o śre</w:t>
      </w:r>
      <w:r w:rsidRPr="008B7FA4">
        <w:rPr>
          <w:noProof/>
        </w:rPr>
        <w:t>dnicy mniejszej niż 1 cm</w:t>
      </w:r>
      <w:r w:rsidR="006B6BC0" w:rsidRPr="008B7FA4">
        <w:rPr>
          <w:noProof/>
        </w:rPr>
        <w:t xml:space="preserve"> i oko</w:t>
      </w:r>
      <w:r w:rsidRPr="008B7FA4">
        <w:rPr>
          <w:noProof/>
        </w:rPr>
        <w:t>ło 900 000 tego rodzaju obiektów</w:t>
      </w:r>
      <w:r w:rsidR="006B6BC0" w:rsidRPr="008B7FA4">
        <w:rPr>
          <w:noProof/>
        </w:rPr>
        <w:t xml:space="preserve"> o śre</w:t>
      </w:r>
      <w:r w:rsidRPr="008B7FA4">
        <w:rPr>
          <w:noProof/>
        </w:rPr>
        <w:t>dnicy mieszczącej się</w:t>
      </w:r>
      <w:r w:rsidR="006B6BC0" w:rsidRPr="008B7FA4">
        <w:rPr>
          <w:noProof/>
        </w:rPr>
        <w:t xml:space="preserve"> w prz</w:t>
      </w:r>
      <w:r w:rsidRPr="008B7FA4">
        <w:rPr>
          <w:noProof/>
        </w:rPr>
        <w:t>edziale od</w:t>
      </w:r>
      <w:r w:rsidR="006B6BC0" w:rsidRPr="008B7FA4">
        <w:rPr>
          <w:noProof/>
        </w:rPr>
        <w:t> </w:t>
      </w:r>
      <w:r w:rsidRPr="008B7FA4">
        <w:rPr>
          <w:noProof/>
        </w:rPr>
        <w:t>1 do</w:t>
      </w:r>
      <w:r w:rsidR="006B6BC0" w:rsidRPr="008B7FA4">
        <w:rPr>
          <w:noProof/>
        </w:rPr>
        <w:t> </w:t>
      </w:r>
      <w:r w:rsidRPr="008B7FA4">
        <w:rPr>
          <w:noProof/>
        </w:rPr>
        <w:t>10 cm. Aktualnie szacuje się, że liczba obiektów klasyfikowanych jako duże śmieci (o średnicy 10 cm lub większej) wynosi 34 000</w:t>
      </w:r>
      <w:r w:rsidRPr="008B7FA4">
        <w:rPr>
          <w:rStyle w:val="FootnoteReference"/>
          <w:rFonts w:cs="Times New Roman"/>
          <w:noProof/>
        </w:rPr>
        <w:footnoteReference w:id="8"/>
      </w:r>
      <w:r w:rsidRPr="008B7FA4">
        <w:rPr>
          <w:noProof/>
        </w:rPr>
        <w:t>.</w:t>
      </w:r>
    </w:p>
    <w:p w:rsidR="00630C8C" w:rsidRPr="008B7FA4" w:rsidRDefault="003A361B" w:rsidP="009E7D75">
      <w:pPr>
        <w:pStyle w:val="Table"/>
        <w:rPr>
          <w:rFonts w:eastAsia="Calibri"/>
          <w:noProof/>
          <w:szCs w:val="24"/>
        </w:rPr>
      </w:pPr>
      <w:r w:rsidRPr="008B7FA4">
        <w:rPr>
          <w:noProof/>
          <w:lang w:val="en-GB" w:eastAsia="en-GB"/>
        </w:rPr>
        <w:drawing>
          <wp:inline distT="0" distB="0" distL="0" distR="0">
            <wp:extent cx="5760720" cy="3763906"/>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3763906"/>
                    </a:xfrm>
                    <a:prstGeom prst="rect">
                      <a:avLst/>
                    </a:prstGeom>
                    <a:noFill/>
                    <a:ln>
                      <a:noFill/>
                    </a:ln>
                  </pic:spPr>
                </pic:pic>
              </a:graphicData>
            </a:graphic>
          </wp:inline>
        </w:drawing>
      </w:r>
    </w:p>
    <w:p w:rsidR="00630C8C" w:rsidRPr="008B7FA4" w:rsidRDefault="00630C8C" w:rsidP="009E7D75">
      <w:pPr>
        <w:pStyle w:val="Table"/>
        <w:rPr>
          <w:noProof/>
        </w:rPr>
      </w:pPr>
      <w:r w:rsidRPr="008B7FA4">
        <w:rPr>
          <w:noProof/>
        </w:rPr>
        <w:t>Tabela 1: Zdarzenia = ryzyko lub wysokie ryzyko kolizji między dwoma obiektami kosmicznymi wykrytymi przez unijny system obserwacji</w:t>
      </w:r>
      <w:r w:rsidR="006B6BC0" w:rsidRPr="008B7FA4">
        <w:rPr>
          <w:noProof/>
        </w:rPr>
        <w:t xml:space="preserve"> i śle</w:t>
      </w:r>
      <w:r w:rsidRPr="008B7FA4">
        <w:rPr>
          <w:noProof/>
        </w:rPr>
        <w:t>dzenia obiektów kosmicznych.</w:t>
      </w:r>
    </w:p>
    <w:p w:rsidR="00630C8C" w:rsidRPr="008B7FA4" w:rsidRDefault="00630C8C" w:rsidP="009E7D75">
      <w:pPr>
        <w:rPr>
          <w:rFonts w:cs="Times New Roman"/>
          <w:noProof/>
        </w:rPr>
      </w:pPr>
      <w:r w:rsidRPr="008B7FA4">
        <w:rPr>
          <w:noProof/>
        </w:rPr>
        <w:t>Po trzecie, kosmos staje się</w:t>
      </w:r>
      <w:r w:rsidR="006B6BC0" w:rsidRPr="008B7FA4">
        <w:rPr>
          <w:noProof/>
        </w:rPr>
        <w:t xml:space="preserve"> w cor</w:t>
      </w:r>
      <w:r w:rsidRPr="008B7FA4">
        <w:rPr>
          <w:noProof/>
        </w:rPr>
        <w:t xml:space="preserve">az większym stopniu przestrzenią sporną, co </w:t>
      </w:r>
      <w:r w:rsidRPr="008B7FA4">
        <w:rPr>
          <w:b/>
          <w:noProof/>
        </w:rPr>
        <w:t>zagraża bezpieczeństwu</w:t>
      </w:r>
      <w:r w:rsidR="006B6BC0" w:rsidRPr="008B7FA4">
        <w:rPr>
          <w:b/>
          <w:noProof/>
        </w:rPr>
        <w:t xml:space="preserve"> i trw</w:t>
      </w:r>
      <w:r w:rsidRPr="008B7FA4">
        <w:rPr>
          <w:b/>
          <w:noProof/>
        </w:rPr>
        <w:t>ałości</w:t>
      </w:r>
      <w:r w:rsidRPr="008B7FA4">
        <w:rPr>
          <w:noProof/>
        </w:rPr>
        <w:t xml:space="preserve"> aktywów kosmicznych UE</w:t>
      </w:r>
      <w:r w:rsidR="006B6BC0" w:rsidRPr="008B7FA4">
        <w:rPr>
          <w:noProof/>
        </w:rPr>
        <w:t xml:space="preserve"> i pań</w:t>
      </w:r>
      <w:r w:rsidRPr="008B7FA4">
        <w:rPr>
          <w:noProof/>
        </w:rPr>
        <w:t>stw członkowskich</w:t>
      </w:r>
      <w:r w:rsidR="006B6BC0" w:rsidRPr="008B7FA4">
        <w:rPr>
          <w:noProof/>
        </w:rPr>
        <w:t xml:space="preserve"> i sku</w:t>
      </w:r>
      <w:r w:rsidRPr="008B7FA4">
        <w:rPr>
          <w:noProof/>
        </w:rPr>
        <w:t>tkuje pilną potrzebą rozpoczęcia dyskusji na szczeblu międzynarodowym</w:t>
      </w:r>
      <w:r w:rsidR="006B6BC0" w:rsidRPr="008B7FA4">
        <w:rPr>
          <w:noProof/>
        </w:rPr>
        <w:t xml:space="preserve"> w cel</w:t>
      </w:r>
      <w:r w:rsidRPr="008B7FA4">
        <w:rPr>
          <w:noProof/>
        </w:rPr>
        <w:t>u uzgodnienia</w:t>
      </w:r>
      <w:r w:rsidR="006B6BC0" w:rsidRPr="008B7FA4">
        <w:rPr>
          <w:noProof/>
        </w:rPr>
        <w:t xml:space="preserve"> i wdr</w:t>
      </w:r>
      <w:r w:rsidRPr="008B7FA4">
        <w:rPr>
          <w:noProof/>
        </w:rPr>
        <w:t>ożenia norm odpowiedzialnych zachowań podmiotów państwowych</w:t>
      </w:r>
      <w:r w:rsidR="006B6BC0" w:rsidRPr="008B7FA4">
        <w:rPr>
          <w:noProof/>
        </w:rPr>
        <w:t xml:space="preserve"> i nie</w:t>
      </w:r>
      <w:r w:rsidRPr="008B7FA4">
        <w:rPr>
          <w:noProof/>
        </w:rPr>
        <w:t>państwowych</w:t>
      </w:r>
      <w:r w:rsidR="006B6BC0" w:rsidRPr="008B7FA4">
        <w:rPr>
          <w:noProof/>
        </w:rPr>
        <w:t xml:space="preserve"> w prz</w:t>
      </w:r>
      <w:r w:rsidRPr="008B7FA4">
        <w:rPr>
          <w:noProof/>
        </w:rPr>
        <w:t>estrzeni kosmicznej</w:t>
      </w:r>
      <w:r w:rsidR="006B6BC0" w:rsidRPr="008B7FA4">
        <w:rPr>
          <w:noProof/>
        </w:rPr>
        <w:t>. W szc</w:t>
      </w:r>
      <w:r w:rsidRPr="008B7FA4">
        <w:rPr>
          <w:noProof/>
        </w:rPr>
        <w:t>zególności niska orbita okołoziemska – część przestrzeni kosmicznej wokół Ziemi obejmująca wszystkie orbity poniżej 2 000 km, gdzie znajduje się Międzynarodowa Stacja Kosmiczna</w:t>
      </w:r>
      <w:r w:rsidR="006B6BC0" w:rsidRPr="008B7FA4">
        <w:rPr>
          <w:noProof/>
        </w:rPr>
        <w:t xml:space="preserve"> i tys</w:t>
      </w:r>
      <w:r w:rsidRPr="008B7FA4">
        <w:rPr>
          <w:noProof/>
        </w:rPr>
        <w:t>iące innych satelitów –</w:t>
      </w:r>
      <w:r w:rsidR="006B6BC0" w:rsidRPr="008B7FA4">
        <w:rPr>
          <w:noProof/>
        </w:rPr>
        <w:t xml:space="preserve"> w bar</w:t>
      </w:r>
      <w:r w:rsidRPr="008B7FA4">
        <w:rPr>
          <w:noProof/>
        </w:rPr>
        <w:t>dzo szybkim tempie przekształca się</w:t>
      </w:r>
      <w:r w:rsidR="006B6BC0" w:rsidRPr="008B7FA4">
        <w:rPr>
          <w:noProof/>
        </w:rPr>
        <w:t xml:space="preserve"> w str</w:t>
      </w:r>
      <w:r w:rsidRPr="008B7FA4">
        <w:rPr>
          <w:noProof/>
        </w:rPr>
        <w:t>efę niebezpieczną</w:t>
      </w:r>
      <w:r w:rsidR="006B6BC0" w:rsidRPr="008B7FA4">
        <w:rPr>
          <w:noProof/>
        </w:rPr>
        <w:t xml:space="preserve"> z pow</w:t>
      </w:r>
      <w:r w:rsidRPr="008B7FA4">
        <w:rPr>
          <w:noProof/>
        </w:rPr>
        <w:t>odu poruszających się po niej</w:t>
      </w:r>
      <w:r w:rsidR="006B6BC0" w:rsidRPr="008B7FA4">
        <w:rPr>
          <w:noProof/>
        </w:rPr>
        <w:t xml:space="preserve"> z bar</w:t>
      </w:r>
      <w:r w:rsidRPr="008B7FA4">
        <w:rPr>
          <w:noProof/>
        </w:rPr>
        <w:t>dzo wysoką prędkością śmieci kosmicznych</w:t>
      </w:r>
      <w:r w:rsidR="006B6BC0" w:rsidRPr="008B7FA4">
        <w:rPr>
          <w:noProof/>
        </w:rPr>
        <w:t xml:space="preserve"> i nie</w:t>
      </w:r>
      <w:r w:rsidRPr="008B7FA4">
        <w:rPr>
          <w:noProof/>
        </w:rPr>
        <w:t>nadających się do użytku statków kosmicznych. Możliwość wystąpienia reakcji łańcuchowej,</w:t>
      </w:r>
      <w:r w:rsidR="006B6BC0" w:rsidRPr="008B7FA4">
        <w:rPr>
          <w:noProof/>
        </w:rPr>
        <w:t xml:space="preserve"> w ram</w:t>
      </w:r>
      <w:r w:rsidRPr="008B7FA4">
        <w:rPr>
          <w:noProof/>
        </w:rPr>
        <w:t>ach której każda kolizja będzie zwiększała prawdopodobieństwo wystąpienia kolejnych kolizji, staje się coraz bardziej realnym zagrożeniem dla funkcjonalności niskiej orbity okołoziemskiej.</w:t>
      </w:r>
      <w:r w:rsidRPr="008B7FA4">
        <w:rPr>
          <w:rStyle w:val="FootnoteReference"/>
          <w:noProof/>
        </w:rPr>
        <w:t xml:space="preserve"> </w:t>
      </w:r>
      <w:r w:rsidRPr="008B7FA4">
        <w:rPr>
          <w:rStyle w:val="FootnoteReference"/>
          <w:rFonts w:cs="Times New Roman"/>
          <w:noProof/>
        </w:rPr>
        <w:footnoteReference w:id="9"/>
      </w:r>
    </w:p>
    <w:p w:rsidR="00630C8C" w:rsidRPr="008B7FA4" w:rsidRDefault="00630C8C" w:rsidP="009E7D75">
      <w:pPr>
        <w:rPr>
          <w:rFonts w:cs="Times New Roman"/>
          <w:noProof/>
        </w:rPr>
      </w:pPr>
      <w:r w:rsidRPr="008B7FA4">
        <w:rPr>
          <w:noProof/>
        </w:rPr>
        <w:t>Po czwarte, podczas gdy te trzy wzajemnie ze sobą powiązane czynniki wywierają wpływ na sytuację</w:t>
      </w:r>
      <w:r w:rsidR="006B6BC0" w:rsidRPr="008B7FA4">
        <w:rPr>
          <w:noProof/>
        </w:rPr>
        <w:t xml:space="preserve"> w kos</w:t>
      </w:r>
      <w:r w:rsidRPr="008B7FA4">
        <w:rPr>
          <w:noProof/>
        </w:rPr>
        <w:t xml:space="preserve">mosie, na chwilę obecną przyjęto jedynie </w:t>
      </w:r>
      <w:r w:rsidRPr="008B7FA4">
        <w:rPr>
          <w:b/>
          <w:bCs/>
          <w:noProof/>
        </w:rPr>
        <w:t>bardzo ograniczone globalne „zasady ruchu drogowego” regulujące zachowanie podmiotów podejmujących działania</w:t>
      </w:r>
      <w:r w:rsidR="006B6BC0" w:rsidRPr="008B7FA4">
        <w:rPr>
          <w:b/>
          <w:bCs/>
          <w:noProof/>
        </w:rPr>
        <w:t xml:space="preserve"> w prz</w:t>
      </w:r>
      <w:r w:rsidRPr="008B7FA4">
        <w:rPr>
          <w:b/>
          <w:bCs/>
          <w:noProof/>
        </w:rPr>
        <w:t>estrzeni kosmicznej</w:t>
      </w:r>
      <w:r w:rsidRPr="008B7FA4">
        <w:rPr>
          <w:noProof/>
        </w:rPr>
        <w:t>. Pomimo pewnych godnych odnotowania osiągnięć na poziomie Organizacji Narodów Zjednoczonych (ONZ)</w:t>
      </w:r>
      <w:r w:rsidRPr="008B7FA4">
        <w:rPr>
          <w:rStyle w:val="FootnoteReference"/>
          <w:rFonts w:cs="Times New Roman"/>
          <w:noProof/>
        </w:rPr>
        <w:footnoteReference w:id="10"/>
      </w:r>
      <w:r w:rsidRPr="008B7FA4">
        <w:rPr>
          <w:noProof/>
        </w:rPr>
        <w:t xml:space="preserve"> próby wypracowania kompleksowego podejścia na szczeblu międzynarodowym spotykają się ze znacznymi utrudnieniami</w:t>
      </w:r>
      <w:r w:rsidR="006B6BC0" w:rsidRPr="008B7FA4">
        <w:rPr>
          <w:noProof/>
        </w:rPr>
        <w:t xml:space="preserve"> o cha</w:t>
      </w:r>
      <w:r w:rsidRPr="008B7FA4">
        <w:rPr>
          <w:noProof/>
        </w:rPr>
        <w:t>rakterze dyplomatycznym</w:t>
      </w:r>
      <w:r w:rsidR="006B6BC0" w:rsidRPr="008B7FA4">
        <w:rPr>
          <w:noProof/>
        </w:rPr>
        <w:t xml:space="preserve"> i pol</w:t>
      </w:r>
      <w:r w:rsidRPr="008B7FA4">
        <w:rPr>
          <w:noProof/>
        </w:rPr>
        <w:t>itycznym, co sprawia, że podjęcie odpowiednich działań</w:t>
      </w:r>
      <w:r w:rsidR="006B6BC0" w:rsidRPr="008B7FA4">
        <w:rPr>
          <w:noProof/>
        </w:rPr>
        <w:t xml:space="preserve"> w tej</w:t>
      </w:r>
      <w:r w:rsidRPr="008B7FA4">
        <w:rPr>
          <w:noProof/>
        </w:rPr>
        <w:t xml:space="preserve"> dziedzinie staje się coraz pilniejsze.</w:t>
      </w:r>
    </w:p>
    <w:p w:rsidR="00630C8C" w:rsidRPr="008B7FA4" w:rsidRDefault="00630C8C" w:rsidP="009E7D75">
      <w:pPr>
        <w:rPr>
          <w:rFonts w:eastAsiaTheme="majorEastAsia" w:cstheme="majorBidi"/>
          <w:b/>
          <w:noProof/>
          <w:sz w:val="26"/>
          <w:szCs w:val="26"/>
        </w:rPr>
      </w:pPr>
      <w:r w:rsidRPr="008B7FA4">
        <w:rPr>
          <w:b/>
          <w:noProof/>
        </w:rPr>
        <w:t>W świetle powyższych zmian należy stwierdzić, że istnieje pilna potrzeba podjęcia przez UE stosownych działań oraz opracowania unijnego podejścia do STM.</w:t>
      </w:r>
    </w:p>
    <w:p w:rsidR="00630C8C" w:rsidRPr="008B7FA4" w:rsidRDefault="00630C8C" w:rsidP="00A72424">
      <w:pPr>
        <w:pStyle w:val="Heading2"/>
        <w:rPr>
          <w:noProof/>
        </w:rPr>
      </w:pPr>
      <w:bookmarkStart w:id="91" w:name="_Toc92382169"/>
      <w:r w:rsidRPr="008B7FA4">
        <w:rPr>
          <w:noProof/>
        </w:rPr>
        <w:t>Potrzeba wspólnego działania</w:t>
      </w:r>
      <w:bookmarkEnd w:id="91"/>
    </w:p>
    <w:bookmarkEnd w:id="90"/>
    <w:p w:rsidR="00630C8C" w:rsidRPr="008B7FA4" w:rsidRDefault="00630C8C" w:rsidP="009E7D75">
      <w:pPr>
        <w:rPr>
          <w:rFonts w:cs="Times New Roman"/>
          <w:noProof/>
        </w:rPr>
      </w:pPr>
      <w:r w:rsidRPr="008B7FA4">
        <w:rPr>
          <w:noProof/>
        </w:rPr>
        <w:t>Ponieważ kosmos ma charakter globalny</w:t>
      </w:r>
      <w:r w:rsidR="006B6BC0" w:rsidRPr="008B7FA4">
        <w:rPr>
          <w:noProof/>
        </w:rPr>
        <w:t xml:space="preserve"> i </w:t>
      </w:r>
      <w:r w:rsidR="006B6BC0" w:rsidRPr="008B7FA4">
        <w:rPr>
          <w:b/>
          <w:bCs/>
          <w:noProof/>
        </w:rPr>
        <w:t>nie</w:t>
      </w:r>
      <w:r w:rsidRPr="008B7FA4">
        <w:rPr>
          <w:b/>
          <w:bCs/>
          <w:noProof/>
        </w:rPr>
        <w:t xml:space="preserve"> podlega krajowej jurysdykcji terytorialnej</w:t>
      </w:r>
      <w:r w:rsidRPr="008B7FA4">
        <w:rPr>
          <w:noProof/>
        </w:rPr>
        <w:t>, zdolność poszczególnych państw do nakładania opracowywanych przez siebie zobowiązań prawnych</w:t>
      </w:r>
      <w:r w:rsidR="006B6BC0" w:rsidRPr="008B7FA4">
        <w:rPr>
          <w:noProof/>
        </w:rPr>
        <w:t xml:space="preserve"> w dzi</w:t>
      </w:r>
      <w:r w:rsidRPr="008B7FA4">
        <w:rPr>
          <w:noProof/>
        </w:rPr>
        <w:t>edzinie przestrzeni kosmicznej na inne państwa pozostaje ograniczona, nawet wówczas, gdy państwa wiodące prym</w:t>
      </w:r>
      <w:r w:rsidR="006B6BC0" w:rsidRPr="008B7FA4">
        <w:rPr>
          <w:noProof/>
        </w:rPr>
        <w:t xml:space="preserve"> w zak</w:t>
      </w:r>
      <w:r w:rsidRPr="008B7FA4">
        <w:rPr>
          <w:noProof/>
        </w:rPr>
        <w:t>resie lotów kosmicznych zdecydują się podjąć próbę rozwiązania problemu STM poprzez przyjęcie wytycznych krajowych regulujących kwestie związane z STM, jak miało to miejsce na przykład</w:t>
      </w:r>
      <w:r w:rsidR="006B6BC0" w:rsidRPr="008B7FA4">
        <w:rPr>
          <w:noProof/>
        </w:rPr>
        <w:t xml:space="preserve"> w prz</w:t>
      </w:r>
      <w:r w:rsidRPr="008B7FA4">
        <w:rPr>
          <w:noProof/>
        </w:rPr>
        <w:t>ypadku przyjęcia przez Stany Zjednoczone trzeciej dyrektywy</w:t>
      </w:r>
      <w:r w:rsidR="006B6BC0" w:rsidRPr="008B7FA4">
        <w:rPr>
          <w:noProof/>
        </w:rPr>
        <w:t xml:space="preserve"> w spr</w:t>
      </w:r>
      <w:r w:rsidRPr="008B7FA4">
        <w:rPr>
          <w:noProof/>
        </w:rPr>
        <w:t>awie polityki kosmicznej</w:t>
      </w:r>
      <w:r w:rsidR="006B6BC0" w:rsidRPr="008B7FA4">
        <w:rPr>
          <w:noProof/>
        </w:rPr>
        <w:t xml:space="preserve"> w 2</w:t>
      </w:r>
      <w:r w:rsidRPr="008B7FA4">
        <w:rPr>
          <w:noProof/>
        </w:rPr>
        <w:t>018</w:t>
      </w:r>
      <w:r w:rsidR="006B6BC0" w:rsidRPr="008B7FA4">
        <w:rPr>
          <w:noProof/>
        </w:rPr>
        <w:t> </w:t>
      </w:r>
      <w:r w:rsidRPr="008B7FA4">
        <w:rPr>
          <w:noProof/>
        </w:rPr>
        <w:t>r.</w:t>
      </w:r>
      <w:r w:rsidRPr="008B7FA4">
        <w:rPr>
          <w:rStyle w:val="FootnoteReference"/>
          <w:rFonts w:cs="Times New Roman"/>
          <w:noProof/>
        </w:rPr>
        <w:footnoteReference w:id="11"/>
      </w:r>
      <w:r w:rsidRPr="008B7FA4">
        <w:rPr>
          <w:noProof/>
        </w:rPr>
        <w:t xml:space="preserve"> </w:t>
      </w:r>
    </w:p>
    <w:p w:rsidR="00BC27BF" w:rsidRPr="008B7FA4" w:rsidRDefault="002F6C75" w:rsidP="007A3299">
      <w:pPr>
        <w:rPr>
          <w:rFonts w:cs="Times New Roman"/>
          <w:noProof/>
        </w:rPr>
      </w:pPr>
      <w:r w:rsidRPr="008B7FA4">
        <w:rPr>
          <w:noProof/>
        </w:rPr>
        <w:t>Jeżeli państwa członkowskie i UE chcą ochronić swoje aktywa kosmiczne, muszą wypracować wspólne podejście</w:t>
      </w:r>
      <w:r w:rsidR="006B6BC0" w:rsidRPr="008B7FA4">
        <w:rPr>
          <w:noProof/>
        </w:rPr>
        <w:t xml:space="preserve"> z udz</w:t>
      </w:r>
      <w:r w:rsidRPr="008B7FA4">
        <w:rPr>
          <w:noProof/>
        </w:rPr>
        <w:t>iałem wszystkich unijnych zainteresowanych stron. Przełoży się to na poprawę odporności UE dzięki uniknięciu zależności technologicznych, zapewni strategiczną autonomię poprzez zwiększenie zdolności Unii oraz zagwarantuje możliwość współpracy</w:t>
      </w:r>
      <w:r w:rsidR="006B6BC0" w:rsidRPr="008B7FA4">
        <w:rPr>
          <w:noProof/>
        </w:rPr>
        <w:t xml:space="preserve"> z par</w:t>
      </w:r>
      <w:r w:rsidRPr="008B7FA4">
        <w:rPr>
          <w:noProof/>
        </w:rPr>
        <w:t>tnerami,</w:t>
      </w:r>
      <w:r w:rsidR="006B6BC0" w:rsidRPr="008B7FA4">
        <w:rPr>
          <w:noProof/>
        </w:rPr>
        <w:t xml:space="preserve"> w szc</w:t>
      </w:r>
      <w:r w:rsidRPr="008B7FA4">
        <w:rPr>
          <w:noProof/>
        </w:rPr>
        <w:t>zególności</w:t>
      </w:r>
      <w:r w:rsidR="006B6BC0" w:rsidRPr="008B7FA4">
        <w:rPr>
          <w:noProof/>
        </w:rPr>
        <w:t xml:space="preserve"> w ram</w:t>
      </w:r>
      <w:r w:rsidRPr="008B7FA4">
        <w:rPr>
          <w:noProof/>
        </w:rPr>
        <w:t>ach podziału obciążenia.</w:t>
      </w:r>
    </w:p>
    <w:p w:rsidR="00D80048" w:rsidRPr="008B7FA4" w:rsidRDefault="00630C8C" w:rsidP="007E4653">
      <w:pPr>
        <w:rPr>
          <w:rFonts w:cs="Times New Roman"/>
          <w:noProof/>
          <w:szCs w:val="24"/>
        </w:rPr>
      </w:pPr>
      <w:r w:rsidRPr="008B7FA4">
        <w:rPr>
          <w:b/>
          <w:bCs/>
          <w:noProof/>
        </w:rPr>
        <w:t>UE znajduje się</w:t>
      </w:r>
      <w:r w:rsidR="006B6BC0" w:rsidRPr="008B7FA4">
        <w:rPr>
          <w:b/>
          <w:bCs/>
          <w:noProof/>
        </w:rPr>
        <w:t xml:space="preserve"> w dob</w:t>
      </w:r>
      <w:r w:rsidRPr="008B7FA4">
        <w:rPr>
          <w:b/>
          <w:bCs/>
          <w:noProof/>
        </w:rPr>
        <w:t>rej pozycji do podjęcia działań</w:t>
      </w:r>
      <w:r w:rsidR="006B6BC0" w:rsidRPr="008B7FA4">
        <w:rPr>
          <w:b/>
          <w:bCs/>
          <w:noProof/>
        </w:rPr>
        <w:t xml:space="preserve"> w tym</w:t>
      </w:r>
      <w:r w:rsidRPr="008B7FA4">
        <w:rPr>
          <w:b/>
          <w:bCs/>
          <w:noProof/>
        </w:rPr>
        <w:t xml:space="preserve"> zakresie, ponieważ jest</w:t>
      </w:r>
      <w:r w:rsidR="006B6BC0" w:rsidRPr="008B7FA4">
        <w:rPr>
          <w:b/>
          <w:bCs/>
          <w:noProof/>
        </w:rPr>
        <w:t xml:space="preserve"> w sta</w:t>
      </w:r>
      <w:r w:rsidRPr="008B7FA4">
        <w:rPr>
          <w:b/>
          <w:bCs/>
          <w:noProof/>
        </w:rPr>
        <w:t>nie identyfikować potrzeby, gromadzić wymogi, dokonywać syntezy opinii zainteresowanych stron, wykorzystywać technologię</w:t>
      </w:r>
      <w:r w:rsidR="006B6BC0" w:rsidRPr="008B7FA4">
        <w:rPr>
          <w:b/>
          <w:bCs/>
          <w:noProof/>
        </w:rPr>
        <w:t xml:space="preserve"> i koo</w:t>
      </w:r>
      <w:r w:rsidRPr="008B7FA4">
        <w:rPr>
          <w:b/>
          <w:bCs/>
          <w:noProof/>
        </w:rPr>
        <w:t>rdynować kwestie związane</w:t>
      </w:r>
      <w:r w:rsidR="006B6BC0" w:rsidRPr="008B7FA4">
        <w:rPr>
          <w:b/>
          <w:bCs/>
          <w:noProof/>
        </w:rPr>
        <w:t xml:space="preserve"> z ang</w:t>
      </w:r>
      <w:r w:rsidRPr="008B7FA4">
        <w:rPr>
          <w:b/>
          <w:bCs/>
          <w:noProof/>
        </w:rPr>
        <w:t>ażowaniem podmiotów trzecich.</w:t>
      </w:r>
      <w:bookmarkStart w:id="92" w:name="_Toc92283876"/>
      <w:bookmarkStart w:id="93" w:name="_Toc92382171"/>
      <w:bookmarkEnd w:id="3"/>
      <w:r w:rsidRPr="008B7FA4">
        <w:rPr>
          <w:noProof/>
        </w:rPr>
        <w:t xml:space="preserve"> </w:t>
      </w:r>
      <w:r w:rsidRPr="008B7FA4">
        <w:rPr>
          <w:b/>
          <w:noProof/>
          <w:szCs w:val="24"/>
        </w:rPr>
        <w:t>Unijne podejście do STM będzie opierało się na czterech rozwijanych równolegle filarach</w:t>
      </w:r>
      <w:r w:rsidRPr="008B7FA4">
        <w:rPr>
          <w:noProof/>
        </w:rPr>
        <w:t>: 1) ocenie wymogów związanych z STM</w:t>
      </w:r>
      <w:r w:rsidR="006B6BC0" w:rsidRPr="008B7FA4">
        <w:rPr>
          <w:noProof/>
        </w:rPr>
        <w:t xml:space="preserve"> i jeg</w:t>
      </w:r>
      <w:r w:rsidRPr="008B7FA4">
        <w:rPr>
          <w:noProof/>
        </w:rPr>
        <w:t>o wpływu na UE, 2) zwiększaniu zdolności operacyjnych UE</w:t>
      </w:r>
      <w:r w:rsidR="006B6BC0" w:rsidRPr="008B7FA4">
        <w:rPr>
          <w:noProof/>
        </w:rPr>
        <w:t xml:space="preserve"> w zak</w:t>
      </w:r>
      <w:r w:rsidRPr="008B7FA4">
        <w:rPr>
          <w:noProof/>
        </w:rPr>
        <w:t>resie obsługi STM, 3) tworzeniu warunków sprzyjających rozwojowi aspektów regulacyjnych STM oraz 4) propagowaniu unijnego podejścia do STM na szczeblu międzynarodowym.</w:t>
      </w:r>
    </w:p>
    <w:p w:rsidR="002E6B2D" w:rsidRPr="008B7FA4" w:rsidRDefault="002E6B2D" w:rsidP="007E4653">
      <w:pPr>
        <w:rPr>
          <w:rFonts w:cs="Times New Roman"/>
          <w:noProof/>
          <w:szCs w:val="24"/>
        </w:rPr>
      </w:pPr>
    </w:p>
    <w:p w:rsidR="00630C8C" w:rsidRPr="008B7FA4" w:rsidRDefault="00630C8C" w:rsidP="009E7D75">
      <w:pPr>
        <w:pStyle w:val="Heading1"/>
        <w:spacing w:before="0"/>
        <w:rPr>
          <w:rFonts w:eastAsia="Calibri"/>
          <w:b w:val="0"/>
          <w:noProof/>
        </w:rPr>
      </w:pPr>
      <w:r w:rsidRPr="008B7FA4">
        <w:rPr>
          <w:noProof/>
        </w:rPr>
        <w:t>OCENA WYMOGÓW ZWIĄZANYCH Z STM I JEGO WPŁYWU NA UE</w:t>
      </w:r>
      <w:bookmarkEnd w:id="92"/>
      <w:bookmarkEnd w:id="93"/>
    </w:p>
    <w:p w:rsidR="00630C8C" w:rsidRPr="008B7FA4" w:rsidRDefault="00630C8C" w:rsidP="009E7D75">
      <w:pPr>
        <w:rPr>
          <w:noProof/>
        </w:rPr>
      </w:pPr>
      <w:r w:rsidRPr="008B7FA4">
        <w:rPr>
          <w:noProof/>
        </w:rPr>
        <w:t xml:space="preserve">UE musi dysponować precyzyjną </w:t>
      </w:r>
      <w:r w:rsidRPr="008B7FA4">
        <w:rPr>
          <w:b/>
          <w:noProof/>
        </w:rPr>
        <w:t>wiedzą na temat wymogów związanych ze zmianami</w:t>
      </w:r>
      <w:r w:rsidR="006B6BC0" w:rsidRPr="008B7FA4">
        <w:rPr>
          <w:b/>
          <w:noProof/>
        </w:rPr>
        <w:t xml:space="preserve"> w obs</w:t>
      </w:r>
      <w:r w:rsidRPr="008B7FA4">
        <w:rPr>
          <w:b/>
          <w:noProof/>
        </w:rPr>
        <w:t>zarze STM i na temat potencjalnego wpływu tych</w:t>
      </w:r>
      <w:r w:rsidRPr="008B7FA4">
        <w:rPr>
          <w:noProof/>
        </w:rPr>
        <w:t xml:space="preserve"> </w:t>
      </w:r>
      <w:r w:rsidRPr="008B7FA4">
        <w:rPr>
          <w:b/>
          <w:noProof/>
        </w:rPr>
        <w:t>zmian</w:t>
      </w:r>
      <w:r w:rsidRPr="008B7FA4">
        <w:rPr>
          <w:noProof/>
        </w:rPr>
        <w:t xml:space="preserve"> na różne zainteresowane strony na szczeblu europejskim. Poza zdolnością do identyfikowania potrzeb</w:t>
      </w:r>
      <w:r w:rsidR="006B6BC0" w:rsidRPr="008B7FA4">
        <w:rPr>
          <w:noProof/>
        </w:rPr>
        <w:t xml:space="preserve"> i ust</w:t>
      </w:r>
      <w:r w:rsidRPr="008B7FA4">
        <w:rPr>
          <w:noProof/>
        </w:rPr>
        <w:t>anawiania wymogów, wiąże się to również</w:t>
      </w:r>
      <w:r w:rsidR="006B6BC0" w:rsidRPr="008B7FA4">
        <w:rPr>
          <w:noProof/>
        </w:rPr>
        <w:t xml:space="preserve"> z kon</w:t>
      </w:r>
      <w:r w:rsidRPr="008B7FA4">
        <w:rPr>
          <w:noProof/>
        </w:rPr>
        <w:t>iecznością zmobilizowania poszczególnych zainteresowanych stron ze środowisk cywilnych</w:t>
      </w:r>
      <w:r w:rsidR="006B6BC0" w:rsidRPr="008B7FA4">
        <w:rPr>
          <w:noProof/>
        </w:rPr>
        <w:t xml:space="preserve"> i woj</w:t>
      </w:r>
      <w:r w:rsidRPr="008B7FA4">
        <w:rPr>
          <w:noProof/>
        </w:rPr>
        <w:t>skowych oraz zagwarantowania konwergencji na wspólnej płaszczyźnie.</w:t>
      </w:r>
    </w:p>
    <w:p w:rsidR="00630C8C" w:rsidRPr="008B7FA4" w:rsidRDefault="00630C8C" w:rsidP="009E7D75">
      <w:pPr>
        <w:rPr>
          <w:noProof/>
        </w:rPr>
      </w:pPr>
      <w:r w:rsidRPr="008B7FA4">
        <w:rPr>
          <w:noProof/>
        </w:rPr>
        <w:t>Komisja</w:t>
      </w:r>
      <w:r w:rsidR="006B6BC0" w:rsidRPr="008B7FA4">
        <w:rPr>
          <w:noProof/>
        </w:rPr>
        <w:t xml:space="preserve"> i Wys</w:t>
      </w:r>
      <w:r w:rsidRPr="008B7FA4">
        <w:rPr>
          <w:noProof/>
        </w:rPr>
        <w:t>oki Przedstawiciel, działając</w:t>
      </w:r>
      <w:r w:rsidR="006B6BC0" w:rsidRPr="008B7FA4">
        <w:rPr>
          <w:noProof/>
        </w:rPr>
        <w:t xml:space="preserve"> w zak</w:t>
      </w:r>
      <w:r w:rsidRPr="008B7FA4">
        <w:rPr>
          <w:noProof/>
        </w:rPr>
        <w:t xml:space="preserve">resie przysługujących im kompetencji, ustanowią </w:t>
      </w:r>
      <w:r w:rsidRPr="008B7FA4">
        <w:rPr>
          <w:b/>
          <w:noProof/>
        </w:rPr>
        <w:t>procedurę konsultacji</w:t>
      </w:r>
      <w:r w:rsidR="006B6BC0" w:rsidRPr="008B7FA4">
        <w:rPr>
          <w:b/>
          <w:noProof/>
        </w:rPr>
        <w:t xml:space="preserve"> i dia</w:t>
      </w:r>
      <w:r w:rsidRPr="008B7FA4">
        <w:rPr>
          <w:b/>
          <w:noProof/>
        </w:rPr>
        <w:t>logu ze wszystkimi odpowiednimi zainteresowanymi stronami w UE</w:t>
      </w:r>
      <w:r w:rsidRPr="008B7FA4">
        <w:rPr>
          <w:noProof/>
        </w:rPr>
        <w:t xml:space="preserve"> do celów oceniania potrzeb</w:t>
      </w:r>
      <w:r w:rsidR="006B6BC0" w:rsidRPr="008B7FA4">
        <w:rPr>
          <w:noProof/>
        </w:rPr>
        <w:t xml:space="preserve"> w zak</w:t>
      </w:r>
      <w:r w:rsidRPr="008B7FA4">
        <w:rPr>
          <w:noProof/>
        </w:rPr>
        <w:t>resie STM oraz wpływu STM na poszczególne obszary polityki Unii. Jednym</w:t>
      </w:r>
      <w:r w:rsidR="006B6BC0" w:rsidRPr="008B7FA4">
        <w:rPr>
          <w:noProof/>
        </w:rPr>
        <w:t xml:space="preserve"> z tak</w:t>
      </w:r>
      <w:r w:rsidRPr="008B7FA4">
        <w:rPr>
          <w:noProof/>
        </w:rPr>
        <w:t>ich obszarów jest np. obszar transportu –</w:t>
      </w:r>
      <w:r w:rsidR="006B6BC0" w:rsidRPr="008B7FA4">
        <w:rPr>
          <w:noProof/>
        </w:rPr>
        <w:t xml:space="preserve"> w szc</w:t>
      </w:r>
      <w:r w:rsidRPr="008B7FA4">
        <w:rPr>
          <w:noProof/>
        </w:rPr>
        <w:t>zególności obszar transportu lotniczego, gdzie zagwarantowanie bezpieczeństwa</w:t>
      </w:r>
      <w:r w:rsidR="006B6BC0" w:rsidRPr="008B7FA4">
        <w:rPr>
          <w:noProof/>
        </w:rPr>
        <w:t xml:space="preserve"> i zró</w:t>
      </w:r>
      <w:r w:rsidRPr="008B7FA4">
        <w:rPr>
          <w:noProof/>
        </w:rPr>
        <w:t>wnoważonego charakteru ruchu lotniczego wiąże się</w:t>
      </w:r>
      <w:r w:rsidR="006B6BC0" w:rsidRPr="008B7FA4">
        <w:rPr>
          <w:noProof/>
        </w:rPr>
        <w:t xml:space="preserve"> z kon</w:t>
      </w:r>
      <w:r w:rsidRPr="008B7FA4">
        <w:rPr>
          <w:noProof/>
        </w:rPr>
        <w:t>iecznością zapewnienia spójności między procesem zarządzania ruchem</w:t>
      </w:r>
      <w:r w:rsidR="006B6BC0" w:rsidRPr="008B7FA4">
        <w:rPr>
          <w:noProof/>
        </w:rPr>
        <w:t xml:space="preserve"> w prz</w:t>
      </w:r>
      <w:r w:rsidRPr="008B7FA4">
        <w:rPr>
          <w:noProof/>
        </w:rPr>
        <w:t>estrzeni kosmicznej</w:t>
      </w:r>
      <w:r w:rsidR="006B6BC0" w:rsidRPr="008B7FA4">
        <w:rPr>
          <w:noProof/>
        </w:rPr>
        <w:t xml:space="preserve"> a pro</w:t>
      </w:r>
      <w:r w:rsidRPr="008B7FA4">
        <w:rPr>
          <w:noProof/>
        </w:rPr>
        <w:t>cesem zarządzania ruchem lotniczym</w:t>
      </w:r>
      <w:r w:rsidR="006B6BC0" w:rsidRPr="008B7FA4">
        <w:rPr>
          <w:noProof/>
        </w:rPr>
        <w:t xml:space="preserve"> z uwa</w:t>
      </w:r>
      <w:r w:rsidRPr="008B7FA4">
        <w:rPr>
          <w:noProof/>
        </w:rPr>
        <w:t>gi na coraz większe natężenie ruchu obiektów wysyłanych</w:t>
      </w:r>
      <w:r w:rsidR="006B6BC0" w:rsidRPr="008B7FA4">
        <w:rPr>
          <w:noProof/>
        </w:rPr>
        <w:t xml:space="preserve"> w prz</w:t>
      </w:r>
      <w:r w:rsidRPr="008B7FA4">
        <w:rPr>
          <w:noProof/>
        </w:rPr>
        <w:t>estrzeń kosmiczną</w:t>
      </w:r>
      <w:r w:rsidR="006B6BC0" w:rsidRPr="008B7FA4">
        <w:rPr>
          <w:noProof/>
        </w:rPr>
        <w:t xml:space="preserve"> i pow</w:t>
      </w:r>
      <w:r w:rsidRPr="008B7FA4">
        <w:rPr>
          <w:noProof/>
        </w:rPr>
        <w:t>racających</w:t>
      </w:r>
      <w:r w:rsidR="006B6BC0" w:rsidRPr="008B7FA4">
        <w:rPr>
          <w:noProof/>
        </w:rPr>
        <w:t xml:space="preserve"> z tej</w:t>
      </w:r>
      <w:r w:rsidRPr="008B7FA4">
        <w:rPr>
          <w:noProof/>
        </w:rPr>
        <w:t xml:space="preserve"> przestrzeni,</w:t>
      </w:r>
      <w:r w:rsidR="006B6BC0" w:rsidRPr="008B7FA4">
        <w:rPr>
          <w:noProof/>
        </w:rPr>
        <w:t xml:space="preserve"> a tak</w:t>
      </w:r>
      <w:r w:rsidRPr="008B7FA4">
        <w:rPr>
          <w:noProof/>
        </w:rPr>
        <w:t>że</w:t>
      </w:r>
      <w:r w:rsidR="006B6BC0" w:rsidRPr="008B7FA4">
        <w:rPr>
          <w:noProof/>
        </w:rPr>
        <w:t xml:space="preserve"> z uwa</w:t>
      </w:r>
      <w:r w:rsidRPr="008B7FA4">
        <w:rPr>
          <w:noProof/>
        </w:rPr>
        <w:t>gi na niekontrolowane przenikanie śmieci kosmicznych do przestrzeni powietrznej. Dlatego też należy wspierać współpracę między poszczególnymi podmiotami</w:t>
      </w:r>
      <w:r w:rsidR="006B6BC0" w:rsidRPr="008B7FA4">
        <w:rPr>
          <w:noProof/>
        </w:rPr>
        <w:t xml:space="preserve"> a wła</w:t>
      </w:r>
      <w:r w:rsidRPr="008B7FA4">
        <w:rPr>
          <w:noProof/>
        </w:rPr>
        <w:t>ściwymi organami</w:t>
      </w:r>
      <w:r w:rsidR="006B6BC0" w:rsidRPr="008B7FA4">
        <w:rPr>
          <w:noProof/>
        </w:rPr>
        <w:t>. W tym</w:t>
      </w:r>
      <w:r w:rsidRPr="008B7FA4">
        <w:rPr>
          <w:noProof/>
        </w:rPr>
        <w:t xml:space="preserve"> celu planuje się utworzyć </w:t>
      </w:r>
      <w:r w:rsidRPr="008B7FA4">
        <w:rPr>
          <w:b/>
          <w:noProof/>
        </w:rPr>
        <w:t>inkluzywny</w:t>
      </w:r>
      <w:r w:rsidR="006B6BC0" w:rsidRPr="008B7FA4">
        <w:rPr>
          <w:b/>
          <w:noProof/>
        </w:rPr>
        <w:t xml:space="preserve"> i prz</w:t>
      </w:r>
      <w:r w:rsidRPr="008B7FA4">
        <w:rPr>
          <w:b/>
          <w:noProof/>
        </w:rPr>
        <w:t>ejrzysty mechanizm konsultacyjny</w:t>
      </w:r>
      <w:r w:rsidRPr="008B7FA4">
        <w:rPr>
          <w:noProof/>
        </w:rPr>
        <w:t xml:space="preserve"> służący do gromadzenia stanowisk zainteresowanych stron zaangażowanych</w:t>
      </w:r>
      <w:r w:rsidR="006B6BC0" w:rsidRPr="008B7FA4">
        <w:rPr>
          <w:noProof/>
        </w:rPr>
        <w:t xml:space="preserve"> w pro</w:t>
      </w:r>
      <w:r w:rsidRPr="008B7FA4">
        <w:rPr>
          <w:noProof/>
        </w:rPr>
        <w:t>wadzone działania,</w:t>
      </w:r>
      <w:r w:rsidR="006B6BC0" w:rsidRPr="008B7FA4">
        <w:rPr>
          <w:noProof/>
        </w:rPr>
        <w:t xml:space="preserve"> w tym</w:t>
      </w:r>
      <w:r w:rsidRPr="008B7FA4">
        <w:rPr>
          <w:noProof/>
        </w:rPr>
        <w:t xml:space="preserve"> przedstawicieli unijnego przemysłu kosmicznego. Prowadzenie regularnego dialogu</w:t>
      </w:r>
      <w:r w:rsidR="006B6BC0" w:rsidRPr="008B7FA4">
        <w:rPr>
          <w:noProof/>
        </w:rPr>
        <w:t xml:space="preserve"> w kwe</w:t>
      </w:r>
      <w:r w:rsidRPr="008B7FA4">
        <w:rPr>
          <w:noProof/>
        </w:rPr>
        <w:t xml:space="preserve">stiach dotyczących STM pozwoli m.in. zaspokoić specyficzne potrzeby europejskiego ekosystemu kosmicznego. </w:t>
      </w:r>
    </w:p>
    <w:p w:rsidR="00630C8C" w:rsidRPr="008B7FA4" w:rsidRDefault="00630C8C" w:rsidP="009E7D75">
      <w:pPr>
        <w:rPr>
          <w:rFonts w:eastAsia="Calibri" w:cs="Times New Roman"/>
          <w:noProof/>
          <w:szCs w:val="24"/>
        </w:rPr>
      </w:pPr>
      <w:r w:rsidRPr="008B7FA4">
        <w:rPr>
          <w:noProof/>
        </w:rPr>
        <w:t>Uznając zasadę, zgodnie</w:t>
      </w:r>
      <w:r w:rsidR="006B6BC0" w:rsidRPr="008B7FA4">
        <w:rPr>
          <w:noProof/>
        </w:rPr>
        <w:t xml:space="preserve"> z któ</w:t>
      </w:r>
      <w:r w:rsidRPr="008B7FA4">
        <w:rPr>
          <w:noProof/>
        </w:rPr>
        <w:t xml:space="preserve">rą cywilny system STM powinien pozostać pod kontrolą cywilną, unijne podejście do STM powinno również </w:t>
      </w:r>
      <w:r w:rsidRPr="008B7FA4">
        <w:rPr>
          <w:b/>
          <w:noProof/>
        </w:rPr>
        <w:t>uwzględniać specyficzne potrzeby związane</w:t>
      </w:r>
      <w:r w:rsidR="006B6BC0" w:rsidRPr="008B7FA4">
        <w:rPr>
          <w:b/>
          <w:noProof/>
        </w:rPr>
        <w:t xml:space="preserve"> z obr</w:t>
      </w:r>
      <w:r w:rsidRPr="008B7FA4">
        <w:rPr>
          <w:b/>
          <w:noProof/>
        </w:rPr>
        <w:t>onnością</w:t>
      </w:r>
      <w:r w:rsidR="006B6BC0" w:rsidRPr="008B7FA4">
        <w:rPr>
          <w:b/>
          <w:noProof/>
        </w:rPr>
        <w:t xml:space="preserve"> i bez</w:t>
      </w:r>
      <w:r w:rsidRPr="008B7FA4">
        <w:rPr>
          <w:b/>
          <w:noProof/>
        </w:rPr>
        <w:t>pieczeństwem</w:t>
      </w:r>
      <w:r w:rsidRPr="008B7FA4">
        <w:rPr>
          <w:noProof/>
        </w:rPr>
        <w:t>, traktując je jako nieodzowny element wspólnej kultury strategicznej na rzecz dziedziny przestrzeni kosmicznej.</w:t>
      </w:r>
      <w:r w:rsidRPr="008B7FA4">
        <w:rPr>
          <w:b/>
          <w:noProof/>
        </w:rPr>
        <w:t xml:space="preserve"> </w:t>
      </w:r>
      <w:r w:rsidRPr="008B7FA4">
        <w:rPr>
          <w:noProof/>
        </w:rPr>
        <w:t>Spoczywające na STM wymogi</w:t>
      </w:r>
      <w:r w:rsidR="006B6BC0" w:rsidRPr="008B7FA4">
        <w:rPr>
          <w:noProof/>
        </w:rPr>
        <w:t xml:space="preserve"> i ogr</w:t>
      </w:r>
      <w:r w:rsidRPr="008B7FA4">
        <w:rPr>
          <w:noProof/>
        </w:rPr>
        <w:t>aniczenia związane</w:t>
      </w:r>
      <w:r w:rsidR="006B6BC0" w:rsidRPr="008B7FA4">
        <w:rPr>
          <w:noProof/>
        </w:rPr>
        <w:t xml:space="preserve"> z obr</w:t>
      </w:r>
      <w:r w:rsidRPr="008B7FA4">
        <w:rPr>
          <w:noProof/>
        </w:rPr>
        <w:t>onnością mogłyby być związane</w:t>
      </w:r>
      <w:r w:rsidR="006B6BC0" w:rsidRPr="008B7FA4">
        <w:rPr>
          <w:noProof/>
        </w:rPr>
        <w:t xml:space="preserve"> z obs</w:t>
      </w:r>
      <w:r w:rsidRPr="008B7FA4">
        <w:rPr>
          <w:noProof/>
        </w:rPr>
        <w:t>ługą satelitów wojskowych oraz wojskowych ładunków użytkowych lub satelitów</w:t>
      </w:r>
      <w:r w:rsidR="006B6BC0" w:rsidRPr="008B7FA4">
        <w:rPr>
          <w:noProof/>
        </w:rPr>
        <w:t xml:space="preserve"> i usł</w:t>
      </w:r>
      <w:r w:rsidRPr="008B7FA4">
        <w:rPr>
          <w:noProof/>
        </w:rPr>
        <w:t>ug cywilnych wykorzystywanych przez użytkowników wojskowych, takich jak np. usługa publiczna</w:t>
      </w:r>
      <w:r w:rsidR="006B6BC0" w:rsidRPr="008B7FA4">
        <w:rPr>
          <w:noProof/>
        </w:rPr>
        <w:t xml:space="preserve"> o reg</w:t>
      </w:r>
      <w:r w:rsidRPr="008B7FA4">
        <w:rPr>
          <w:noProof/>
        </w:rPr>
        <w:t>ulowanym dostępie (PRS) systemu Galileo. Organy wojskowe mogłyby również ustanowić wymogi powiązane</w:t>
      </w:r>
      <w:r w:rsidR="006B6BC0" w:rsidRPr="008B7FA4">
        <w:rPr>
          <w:noProof/>
        </w:rPr>
        <w:t xml:space="preserve"> z okr</w:t>
      </w:r>
      <w:r w:rsidRPr="008B7FA4">
        <w:rPr>
          <w:noProof/>
        </w:rPr>
        <w:t>eślonymi obszarami operacji takimi jak misje</w:t>
      </w:r>
      <w:r w:rsidR="006B6BC0" w:rsidRPr="008B7FA4">
        <w:rPr>
          <w:noProof/>
        </w:rPr>
        <w:t xml:space="preserve"> i ope</w:t>
      </w:r>
      <w:r w:rsidRPr="008B7FA4">
        <w:rPr>
          <w:noProof/>
        </w:rPr>
        <w:t>racje realizowane</w:t>
      </w:r>
      <w:r w:rsidR="006B6BC0" w:rsidRPr="008B7FA4">
        <w:rPr>
          <w:noProof/>
        </w:rPr>
        <w:t xml:space="preserve"> w ram</w:t>
      </w:r>
      <w:r w:rsidRPr="008B7FA4">
        <w:rPr>
          <w:noProof/>
        </w:rPr>
        <w:t>ach wspólnej polityki bezpieczeństwa</w:t>
      </w:r>
      <w:r w:rsidR="006B6BC0" w:rsidRPr="008B7FA4">
        <w:rPr>
          <w:noProof/>
        </w:rPr>
        <w:t xml:space="preserve"> i obr</w:t>
      </w:r>
      <w:r w:rsidRPr="008B7FA4">
        <w:rPr>
          <w:noProof/>
        </w:rPr>
        <w:t>ony.</w:t>
      </w:r>
    </w:p>
    <w:p w:rsidR="00630C8C" w:rsidRPr="008B7FA4" w:rsidRDefault="00630C8C" w:rsidP="009E7D75">
      <w:pPr>
        <w:rPr>
          <w:noProof/>
        </w:rPr>
      </w:pPr>
      <w:r w:rsidRPr="008B7FA4">
        <w:rPr>
          <w:noProof/>
        </w:rPr>
        <w:t>Odpowiedzialność za uwzględnienie zarówno potrzeb sektora cywilnego, jak</w:t>
      </w:r>
      <w:r w:rsidR="006B6BC0" w:rsidRPr="008B7FA4">
        <w:rPr>
          <w:noProof/>
        </w:rPr>
        <w:t xml:space="preserve"> i pot</w:t>
      </w:r>
      <w:r w:rsidRPr="008B7FA4">
        <w:rPr>
          <w:noProof/>
        </w:rPr>
        <w:t>rzeb sektora wojskowego oraz za analizowanie wpływu STM na poszczególne obszary polityki Unii będzie spoczywała na Komisji</w:t>
      </w:r>
      <w:r w:rsidR="006B6BC0" w:rsidRPr="008B7FA4">
        <w:rPr>
          <w:noProof/>
        </w:rPr>
        <w:t xml:space="preserve"> i Wys</w:t>
      </w:r>
      <w:r w:rsidRPr="008B7FA4">
        <w:rPr>
          <w:noProof/>
        </w:rPr>
        <w:t>okim Przedstawicielu, którzy przy konsolidowaniu specyficznych potrzeb związanych</w:t>
      </w:r>
      <w:r w:rsidR="006B6BC0" w:rsidRPr="008B7FA4">
        <w:rPr>
          <w:noProof/>
        </w:rPr>
        <w:t xml:space="preserve"> z woj</w:t>
      </w:r>
      <w:r w:rsidRPr="008B7FA4">
        <w:rPr>
          <w:noProof/>
        </w:rPr>
        <w:t>skowością będą korzystali ze wsparcia Europejskiej Agencji Obrony (EDA) pełniącej funkcję organu pośredniczącego</w:t>
      </w:r>
      <w:r w:rsidR="006B6BC0" w:rsidRPr="008B7FA4">
        <w:rPr>
          <w:noProof/>
        </w:rPr>
        <w:t xml:space="preserve"> w kon</w:t>
      </w:r>
      <w:r w:rsidRPr="008B7FA4">
        <w:rPr>
          <w:noProof/>
        </w:rPr>
        <w:t>taktach</w:t>
      </w:r>
      <w:r w:rsidR="006B6BC0" w:rsidRPr="008B7FA4">
        <w:rPr>
          <w:noProof/>
        </w:rPr>
        <w:t xml:space="preserve"> w kwe</w:t>
      </w:r>
      <w:r w:rsidRPr="008B7FA4">
        <w:rPr>
          <w:noProof/>
        </w:rPr>
        <w:t>stiach dotyczących wojskowych aspektów związanych</w:t>
      </w:r>
      <w:r w:rsidR="006B6BC0" w:rsidRPr="008B7FA4">
        <w:rPr>
          <w:noProof/>
        </w:rPr>
        <w:t xml:space="preserve"> z kor</w:t>
      </w:r>
      <w:r w:rsidRPr="008B7FA4">
        <w:rPr>
          <w:noProof/>
        </w:rPr>
        <w:t>zystaniem</w:t>
      </w:r>
      <w:r w:rsidR="006B6BC0" w:rsidRPr="008B7FA4">
        <w:rPr>
          <w:noProof/>
        </w:rPr>
        <w:t xml:space="preserve"> z sys</w:t>
      </w:r>
      <w:r w:rsidRPr="008B7FA4">
        <w:rPr>
          <w:noProof/>
        </w:rPr>
        <w:t>temu STM.</w:t>
      </w:r>
    </w:p>
    <w:p w:rsidR="00630C8C" w:rsidRPr="008B7FA4" w:rsidRDefault="00BD2E54" w:rsidP="00FB41CA">
      <w:pPr>
        <w:pStyle w:val="Action"/>
        <w:shd w:val="pct10" w:color="auto" w:fill="auto"/>
        <w:rPr>
          <w:noProof/>
        </w:rPr>
      </w:pPr>
      <w:r w:rsidRPr="008B7FA4">
        <w:rPr>
          <w:noProof/>
        </w:rPr>
        <w:t>Działanie nr</w:t>
      </w:r>
      <w:r w:rsidR="006B6BC0" w:rsidRPr="008B7FA4">
        <w:rPr>
          <w:noProof/>
        </w:rPr>
        <w:t> </w:t>
      </w:r>
      <w:r w:rsidRPr="008B7FA4">
        <w:rPr>
          <w:noProof/>
        </w:rPr>
        <w:t>1:</w:t>
      </w:r>
    </w:p>
    <w:p w:rsidR="006945F1" w:rsidRPr="008B7FA4" w:rsidRDefault="003C554E" w:rsidP="00013C87">
      <w:pPr>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noProof/>
          <w:color w:val="000000"/>
        </w:rPr>
      </w:pPr>
      <w:r w:rsidRPr="008B7FA4">
        <w:rPr>
          <w:noProof/>
        </w:rPr>
        <w:t>Do połowy 2022</w:t>
      </w:r>
      <w:r w:rsidR="006B6BC0" w:rsidRPr="008B7FA4">
        <w:rPr>
          <w:noProof/>
        </w:rPr>
        <w:t> </w:t>
      </w:r>
      <w:r w:rsidRPr="008B7FA4">
        <w:rPr>
          <w:noProof/>
        </w:rPr>
        <w:t>r. Komisja</w:t>
      </w:r>
      <w:r w:rsidR="006B6BC0" w:rsidRPr="008B7FA4">
        <w:rPr>
          <w:noProof/>
        </w:rPr>
        <w:t xml:space="preserve"> i Wys</w:t>
      </w:r>
      <w:r w:rsidRPr="008B7FA4">
        <w:rPr>
          <w:noProof/>
        </w:rPr>
        <w:t>oki Przedstawiciel ustanowią mechanizm służący do prowadzenia konsultacji ze wszystkimi właściwymi zainteresowanymi stronami na szczeblu UE. Do początku 2023</w:t>
      </w:r>
      <w:r w:rsidR="006B6BC0" w:rsidRPr="008B7FA4">
        <w:rPr>
          <w:noProof/>
        </w:rPr>
        <w:t> </w:t>
      </w:r>
      <w:r w:rsidRPr="008B7FA4">
        <w:rPr>
          <w:noProof/>
        </w:rPr>
        <w:t>r. wspomniany mechanizm doprowadzi do zebrania wymogów wojskowych</w:t>
      </w:r>
      <w:r w:rsidR="006B6BC0" w:rsidRPr="008B7FA4">
        <w:rPr>
          <w:noProof/>
        </w:rPr>
        <w:t xml:space="preserve"> i cyw</w:t>
      </w:r>
      <w:r w:rsidRPr="008B7FA4">
        <w:rPr>
          <w:noProof/>
        </w:rPr>
        <w:t>ilnych dotyczących unijnego podejścia do STM</w:t>
      </w:r>
      <w:r w:rsidR="006B6BC0" w:rsidRPr="008B7FA4">
        <w:rPr>
          <w:noProof/>
        </w:rPr>
        <w:t xml:space="preserve"> i zap</w:t>
      </w:r>
      <w:r w:rsidRPr="008B7FA4">
        <w:rPr>
          <w:noProof/>
        </w:rPr>
        <w:t>ewni możliwość prowadzenia regularnego dialogu</w:t>
      </w:r>
      <w:r w:rsidR="006B6BC0" w:rsidRPr="008B7FA4">
        <w:rPr>
          <w:noProof/>
        </w:rPr>
        <w:t xml:space="preserve"> w kwe</w:t>
      </w:r>
      <w:r w:rsidRPr="008B7FA4">
        <w:rPr>
          <w:noProof/>
        </w:rPr>
        <w:t>stiach dotyczących istotnych</w:t>
      </w:r>
      <w:r w:rsidR="006B6BC0" w:rsidRPr="008B7FA4">
        <w:rPr>
          <w:noProof/>
        </w:rPr>
        <w:t xml:space="preserve"> z pun</w:t>
      </w:r>
      <w:r w:rsidRPr="008B7FA4">
        <w:rPr>
          <w:noProof/>
        </w:rPr>
        <w:t>ktu widzenia STM zmian wywierających wpływ zarówno na potrzeby podmiotów</w:t>
      </w:r>
      <w:r w:rsidR="006B6BC0" w:rsidRPr="008B7FA4">
        <w:rPr>
          <w:noProof/>
        </w:rPr>
        <w:t xml:space="preserve"> z sek</w:t>
      </w:r>
      <w:r w:rsidRPr="008B7FA4">
        <w:rPr>
          <w:noProof/>
        </w:rPr>
        <w:t>tora cywilnego, jak i na potrzeby podmiotów</w:t>
      </w:r>
      <w:r w:rsidR="006B6BC0" w:rsidRPr="008B7FA4">
        <w:rPr>
          <w:noProof/>
        </w:rPr>
        <w:t xml:space="preserve"> z sek</w:t>
      </w:r>
      <w:r w:rsidRPr="008B7FA4">
        <w:rPr>
          <w:noProof/>
        </w:rPr>
        <w:t>tora wojskowego</w:t>
      </w:r>
      <w:r w:rsidR="006B6BC0" w:rsidRPr="008B7FA4">
        <w:rPr>
          <w:noProof/>
        </w:rPr>
        <w:t>. W </w:t>
      </w:r>
      <w:bookmarkStart w:id="94" w:name="_Toc92283877"/>
      <w:bookmarkStart w:id="95" w:name="_Toc92382172"/>
      <w:r w:rsidR="006B6BC0" w:rsidRPr="008B7FA4">
        <w:rPr>
          <w:noProof/>
        </w:rPr>
        <w:t>ram</w:t>
      </w:r>
      <w:r w:rsidRPr="008B7FA4">
        <w:rPr>
          <w:noProof/>
        </w:rPr>
        <w:t>ach tego mechanizmu EDA będzie współpracowała</w:t>
      </w:r>
      <w:r w:rsidR="006B6BC0" w:rsidRPr="008B7FA4">
        <w:rPr>
          <w:noProof/>
        </w:rPr>
        <w:t xml:space="preserve"> z pań</w:t>
      </w:r>
      <w:r w:rsidRPr="008B7FA4">
        <w:rPr>
          <w:noProof/>
        </w:rPr>
        <w:t>stwami członkowskimi</w:t>
      </w:r>
      <w:r w:rsidR="006B6BC0" w:rsidRPr="008B7FA4">
        <w:rPr>
          <w:noProof/>
        </w:rPr>
        <w:t xml:space="preserve"> w zak</w:t>
      </w:r>
      <w:r w:rsidRPr="008B7FA4">
        <w:rPr>
          <w:noProof/>
        </w:rPr>
        <w:t>resie konsolidacji potrzeb sektora wojskowego</w:t>
      </w:r>
      <w:r w:rsidRPr="008B7FA4">
        <w:rPr>
          <w:noProof/>
          <w:color w:val="000000"/>
        </w:rPr>
        <w:t>.</w:t>
      </w:r>
    </w:p>
    <w:p w:rsidR="006945F1" w:rsidRPr="008B7FA4" w:rsidRDefault="006945F1" w:rsidP="006945F1">
      <w:pPr>
        <w:rPr>
          <w:noProof/>
        </w:rPr>
      </w:pPr>
    </w:p>
    <w:p w:rsidR="00630C8C" w:rsidRPr="008B7FA4" w:rsidRDefault="00630C8C" w:rsidP="009E7D75">
      <w:pPr>
        <w:pStyle w:val="Heading1"/>
        <w:spacing w:before="0"/>
        <w:rPr>
          <w:rFonts w:ascii="Times New Roman Bold" w:hAnsi="Times New Roman Bold"/>
          <w:caps/>
          <w:noProof/>
        </w:rPr>
      </w:pPr>
      <w:r w:rsidRPr="008B7FA4">
        <w:rPr>
          <w:rFonts w:ascii="Times New Roman Bold" w:hAnsi="Times New Roman Bold"/>
          <w:caps/>
          <w:noProof/>
        </w:rPr>
        <w:t>ZWIĘKSZANIE ZDOLNOŚCI OPERACYJNYCH UE W ZAKRESIE OBSŁUGI STM</w:t>
      </w:r>
      <w:bookmarkEnd w:id="94"/>
      <w:bookmarkEnd w:id="95"/>
    </w:p>
    <w:p w:rsidR="00630C8C" w:rsidRPr="008B7FA4" w:rsidRDefault="00630C8C" w:rsidP="009E7D75">
      <w:pPr>
        <w:rPr>
          <w:rFonts w:cs="Times New Roman"/>
          <w:noProof/>
        </w:rPr>
      </w:pPr>
      <w:r w:rsidRPr="008B7FA4">
        <w:rPr>
          <w:noProof/>
        </w:rPr>
        <w:t>Podejmowanie działań dotyczących STM wiąże się</w:t>
      </w:r>
      <w:r w:rsidR="006B6BC0" w:rsidRPr="008B7FA4">
        <w:rPr>
          <w:noProof/>
        </w:rPr>
        <w:t xml:space="preserve"> z kon</w:t>
      </w:r>
      <w:r w:rsidRPr="008B7FA4">
        <w:rPr>
          <w:noProof/>
        </w:rPr>
        <w:t>iecznością ciągłej obserwacji ruchu</w:t>
      </w:r>
      <w:r w:rsidR="006B6BC0" w:rsidRPr="008B7FA4">
        <w:rPr>
          <w:noProof/>
        </w:rPr>
        <w:t xml:space="preserve"> w prz</w:t>
      </w:r>
      <w:r w:rsidRPr="008B7FA4">
        <w:rPr>
          <w:noProof/>
        </w:rPr>
        <w:t>estrzeni kosmicznej. Wdrażane przez UE środki</w:t>
      </w:r>
      <w:r w:rsidR="006B6BC0" w:rsidRPr="008B7FA4">
        <w:rPr>
          <w:noProof/>
        </w:rPr>
        <w:t xml:space="preserve"> w zak</w:t>
      </w:r>
      <w:r w:rsidRPr="008B7FA4">
        <w:rPr>
          <w:noProof/>
        </w:rPr>
        <w:t xml:space="preserve">resie </w:t>
      </w:r>
      <w:r w:rsidRPr="008B7FA4">
        <w:rPr>
          <w:b/>
          <w:noProof/>
        </w:rPr>
        <w:t>obserwacji</w:t>
      </w:r>
      <w:r w:rsidR="006B6BC0" w:rsidRPr="008B7FA4">
        <w:rPr>
          <w:b/>
          <w:noProof/>
        </w:rPr>
        <w:t xml:space="preserve"> i śle</w:t>
      </w:r>
      <w:r w:rsidRPr="008B7FA4">
        <w:rPr>
          <w:b/>
          <w:noProof/>
        </w:rPr>
        <w:t>dzenia obiektów kosmicznych (SST) stanowią filar operacyjny</w:t>
      </w:r>
      <w:r w:rsidRPr="008B7FA4">
        <w:rPr>
          <w:noProof/>
        </w:rPr>
        <w:t>, na którym opiera się unijne podejście do STM. Unijne konsorcjum na rzecz SST</w:t>
      </w:r>
      <w:r w:rsidRPr="008B7FA4">
        <w:rPr>
          <w:rStyle w:val="FootnoteReference"/>
          <w:rFonts w:cs="Times New Roman"/>
          <w:noProof/>
        </w:rPr>
        <w:footnoteReference w:id="12"/>
      </w:r>
      <w:r w:rsidRPr="008B7FA4">
        <w:rPr>
          <w:noProof/>
        </w:rPr>
        <w:t xml:space="preserve"> zapewnia dane, informacje</w:t>
      </w:r>
      <w:r w:rsidR="006B6BC0" w:rsidRPr="008B7FA4">
        <w:rPr>
          <w:noProof/>
        </w:rPr>
        <w:t xml:space="preserve"> i usł</w:t>
      </w:r>
      <w:r w:rsidRPr="008B7FA4">
        <w:rPr>
          <w:noProof/>
        </w:rPr>
        <w:t>ugi związane</w:t>
      </w:r>
      <w:r w:rsidR="006B6BC0" w:rsidRPr="008B7FA4">
        <w:rPr>
          <w:noProof/>
        </w:rPr>
        <w:t xml:space="preserve"> z obs</w:t>
      </w:r>
      <w:r w:rsidRPr="008B7FA4">
        <w:rPr>
          <w:noProof/>
        </w:rPr>
        <w:t>erwacją</w:t>
      </w:r>
      <w:r w:rsidR="006B6BC0" w:rsidRPr="008B7FA4">
        <w:rPr>
          <w:noProof/>
        </w:rPr>
        <w:t xml:space="preserve"> i śle</w:t>
      </w:r>
      <w:r w:rsidRPr="008B7FA4">
        <w:rPr>
          <w:noProof/>
        </w:rPr>
        <w:t>dzeniem obiektów kosmicznych orbitujących wokół Ziemi. Wspomniane konsorcjum zostanie zastąpione unijnym partnerstwem ds. SST zgodnie</w:t>
      </w:r>
      <w:r w:rsidR="006B6BC0" w:rsidRPr="008B7FA4">
        <w:rPr>
          <w:noProof/>
        </w:rPr>
        <w:t xml:space="preserve"> z roz</w:t>
      </w:r>
      <w:r w:rsidRPr="008B7FA4">
        <w:rPr>
          <w:noProof/>
        </w:rPr>
        <w:t>porządzeniem ustanawiającym unijny program kosmiczny („rozporządzenie</w:t>
      </w:r>
      <w:r w:rsidR="006B6BC0" w:rsidRPr="008B7FA4">
        <w:rPr>
          <w:noProof/>
        </w:rPr>
        <w:t xml:space="preserve"> w spr</w:t>
      </w:r>
      <w:r w:rsidRPr="008B7FA4">
        <w:rPr>
          <w:noProof/>
        </w:rPr>
        <w:t>awie przestrzeni kosmicznej”)</w:t>
      </w:r>
      <w:r w:rsidRPr="008B7FA4">
        <w:rPr>
          <w:rStyle w:val="FootnoteReference"/>
          <w:rFonts w:cs="Times New Roman"/>
          <w:noProof/>
        </w:rPr>
        <w:footnoteReference w:id="13"/>
      </w:r>
      <w:r w:rsidRPr="008B7FA4">
        <w:rPr>
          <w:noProof/>
        </w:rPr>
        <w:t>. To nowe partnerstwo będzie zrzeszało więcej chętnych do niego dołączyć państw członkowskich</w:t>
      </w:r>
      <w:r w:rsidR="006B6BC0" w:rsidRPr="008B7FA4">
        <w:rPr>
          <w:noProof/>
        </w:rPr>
        <w:t xml:space="preserve"> i będ</w:t>
      </w:r>
      <w:r w:rsidRPr="008B7FA4">
        <w:rPr>
          <w:noProof/>
        </w:rPr>
        <w:t>zie świadczyło dodatkowe usługi na rzecz użytkowników na szczeblu europejskim</w:t>
      </w:r>
      <w:r w:rsidR="006B6BC0" w:rsidRPr="008B7FA4">
        <w:rPr>
          <w:noProof/>
        </w:rPr>
        <w:t xml:space="preserve"> i mię</w:t>
      </w:r>
      <w:r w:rsidRPr="008B7FA4">
        <w:rPr>
          <w:noProof/>
        </w:rPr>
        <w:t>dzynarodowym</w:t>
      </w:r>
      <w:r w:rsidRPr="008B7FA4">
        <w:rPr>
          <w:rStyle w:val="FootnoteReference"/>
          <w:rFonts w:cs="Times New Roman"/>
          <w:noProof/>
        </w:rPr>
        <w:footnoteReference w:id="14"/>
      </w:r>
      <w:r w:rsidRPr="008B7FA4">
        <w:rPr>
          <w:noProof/>
        </w:rPr>
        <w:t>.</w:t>
      </w:r>
    </w:p>
    <w:p w:rsidR="00630C8C" w:rsidRPr="008B7FA4" w:rsidRDefault="00630C8C" w:rsidP="00A72424">
      <w:pPr>
        <w:pStyle w:val="Heading2"/>
        <w:rPr>
          <w:noProof/>
        </w:rPr>
      </w:pPr>
      <w:bookmarkStart w:id="96" w:name="_Toc92283878"/>
      <w:bookmarkStart w:id="97" w:name="_Toc92382173"/>
      <w:r w:rsidRPr="008B7FA4">
        <w:rPr>
          <w:noProof/>
        </w:rPr>
        <w:t>Ku autonomicznemu unijnemu systemowi obserwacji</w:t>
      </w:r>
      <w:r w:rsidR="006B6BC0" w:rsidRPr="008B7FA4">
        <w:rPr>
          <w:noProof/>
        </w:rPr>
        <w:t xml:space="preserve"> i śle</w:t>
      </w:r>
      <w:r w:rsidRPr="008B7FA4">
        <w:rPr>
          <w:noProof/>
        </w:rPr>
        <w:t>dzenia obiektów kosmicznych</w:t>
      </w:r>
      <w:bookmarkEnd w:id="96"/>
      <w:bookmarkEnd w:id="97"/>
    </w:p>
    <w:p w:rsidR="00630C8C" w:rsidRPr="008B7FA4" w:rsidRDefault="00630C8C" w:rsidP="009E7D75">
      <w:pPr>
        <w:rPr>
          <w:rFonts w:cs="Times New Roman"/>
          <w:noProof/>
        </w:rPr>
      </w:pPr>
      <w:r w:rsidRPr="008B7FA4">
        <w:rPr>
          <w:noProof/>
        </w:rPr>
        <w:t>Działania podejmowane przez unijne konsorcjum na rzecz SST</w:t>
      </w:r>
      <w:r w:rsidRPr="008B7FA4">
        <w:rPr>
          <w:noProof/>
          <w:vertAlign w:val="superscript"/>
        </w:rPr>
        <w:t xml:space="preserve"> </w:t>
      </w:r>
      <w:r w:rsidRPr="008B7FA4">
        <w:rPr>
          <w:noProof/>
        </w:rPr>
        <w:t>od</w:t>
      </w:r>
      <w:r w:rsidR="006B6BC0" w:rsidRPr="008B7FA4">
        <w:rPr>
          <w:noProof/>
        </w:rPr>
        <w:t> </w:t>
      </w:r>
      <w:r w:rsidRPr="008B7FA4">
        <w:rPr>
          <w:noProof/>
        </w:rPr>
        <w:t>2014</w:t>
      </w:r>
      <w:r w:rsidR="006B6BC0" w:rsidRPr="008B7FA4">
        <w:rPr>
          <w:noProof/>
        </w:rPr>
        <w:t> </w:t>
      </w:r>
      <w:r w:rsidRPr="008B7FA4">
        <w:rPr>
          <w:noProof/>
        </w:rPr>
        <w:t xml:space="preserve">r. przygotowały grunt pod opracowanie </w:t>
      </w:r>
      <w:r w:rsidRPr="008B7FA4">
        <w:rPr>
          <w:b/>
          <w:bCs/>
          <w:noProof/>
        </w:rPr>
        <w:t>skutecznego</w:t>
      </w:r>
      <w:r w:rsidR="006B6BC0" w:rsidRPr="008B7FA4">
        <w:rPr>
          <w:b/>
          <w:bCs/>
          <w:noProof/>
        </w:rPr>
        <w:t xml:space="preserve"> i wia</w:t>
      </w:r>
      <w:r w:rsidRPr="008B7FA4">
        <w:rPr>
          <w:b/>
          <w:bCs/>
          <w:noProof/>
        </w:rPr>
        <w:t>rygodnego systemu ochrony aktywów kosmicznych UE,</w:t>
      </w:r>
      <w:r w:rsidR="006B6BC0" w:rsidRPr="008B7FA4">
        <w:rPr>
          <w:b/>
          <w:bCs/>
          <w:noProof/>
        </w:rPr>
        <w:t xml:space="preserve"> a w szc</w:t>
      </w:r>
      <w:r w:rsidRPr="008B7FA4">
        <w:rPr>
          <w:b/>
          <w:bCs/>
          <w:noProof/>
        </w:rPr>
        <w:t>zególności satelitów objętych programem kosmicznym Unii Europejskiej, satelitów państw członkowskich Unii</w:t>
      </w:r>
      <w:r w:rsidR="006B6BC0" w:rsidRPr="008B7FA4">
        <w:rPr>
          <w:b/>
          <w:bCs/>
          <w:noProof/>
        </w:rPr>
        <w:t xml:space="preserve"> i sat</w:t>
      </w:r>
      <w:r w:rsidRPr="008B7FA4">
        <w:rPr>
          <w:b/>
          <w:bCs/>
          <w:noProof/>
        </w:rPr>
        <w:t>elitów innych operatorów prowadzących działalność</w:t>
      </w:r>
      <w:r w:rsidR="006B6BC0" w:rsidRPr="008B7FA4">
        <w:rPr>
          <w:b/>
          <w:bCs/>
          <w:noProof/>
        </w:rPr>
        <w:t xml:space="preserve"> w prz</w:t>
      </w:r>
      <w:r w:rsidRPr="008B7FA4">
        <w:rPr>
          <w:b/>
          <w:bCs/>
          <w:noProof/>
        </w:rPr>
        <w:t>estrzeni kosmicznej</w:t>
      </w:r>
      <w:r w:rsidRPr="008B7FA4">
        <w:rPr>
          <w:noProof/>
        </w:rPr>
        <w:t>, którzy zarejestrowali się jako użytkownicy usług oferowanych</w:t>
      </w:r>
      <w:r w:rsidR="006B6BC0" w:rsidRPr="008B7FA4">
        <w:rPr>
          <w:noProof/>
        </w:rPr>
        <w:t xml:space="preserve"> w tym</w:t>
      </w:r>
      <w:r w:rsidRPr="008B7FA4">
        <w:rPr>
          <w:noProof/>
        </w:rPr>
        <w:t xml:space="preserve"> zakresie. </w:t>
      </w:r>
    </w:p>
    <w:p w:rsidR="00630C8C" w:rsidRPr="008B7FA4" w:rsidRDefault="00630C8C" w:rsidP="009E7D75">
      <w:pPr>
        <w:rPr>
          <w:rFonts w:cs="Times New Roman"/>
          <w:noProof/>
          <w:szCs w:val="24"/>
        </w:rPr>
      </w:pPr>
      <w:r w:rsidRPr="008B7FA4">
        <w:rPr>
          <w:noProof/>
        </w:rPr>
        <w:t>Obecnie unijny komponent SST świadczy usługi</w:t>
      </w:r>
      <w:r w:rsidR="006B6BC0" w:rsidRPr="008B7FA4">
        <w:rPr>
          <w:noProof/>
        </w:rPr>
        <w:t xml:space="preserve"> w zak</w:t>
      </w:r>
      <w:r w:rsidRPr="008B7FA4">
        <w:rPr>
          <w:noProof/>
        </w:rPr>
        <w:t>resie zapobiegania kolizjom</w:t>
      </w:r>
      <w:r w:rsidRPr="008B7FA4">
        <w:rPr>
          <w:rFonts w:cs="Times New Roman"/>
          <w:noProof/>
          <w:vertAlign w:val="superscript"/>
        </w:rPr>
        <w:footnoteReference w:id="15"/>
      </w:r>
      <w:r w:rsidRPr="008B7FA4">
        <w:rPr>
          <w:noProof/>
        </w:rPr>
        <w:t xml:space="preserve"> względem ponad 260 satelitów rozmieszczonych na niskiej orbicie okołoziemskiej, średniej orbicie okołoziemskiej</w:t>
      </w:r>
      <w:r w:rsidR="006B6BC0" w:rsidRPr="008B7FA4">
        <w:rPr>
          <w:noProof/>
        </w:rPr>
        <w:t xml:space="preserve"> i orb</w:t>
      </w:r>
      <w:r w:rsidRPr="008B7FA4">
        <w:rPr>
          <w:noProof/>
        </w:rPr>
        <w:t>icie geostacjonarnej, korzystając</w:t>
      </w:r>
      <w:r w:rsidR="006B6BC0" w:rsidRPr="008B7FA4">
        <w:rPr>
          <w:noProof/>
        </w:rPr>
        <w:t xml:space="preserve"> z akt</w:t>
      </w:r>
      <w:r w:rsidRPr="008B7FA4">
        <w:rPr>
          <w:noProof/>
        </w:rPr>
        <w:t>ywów cywilnych</w:t>
      </w:r>
      <w:r w:rsidR="006B6BC0" w:rsidRPr="008B7FA4">
        <w:rPr>
          <w:noProof/>
        </w:rPr>
        <w:t xml:space="preserve"> i woj</w:t>
      </w:r>
      <w:r w:rsidRPr="008B7FA4">
        <w:rPr>
          <w:noProof/>
        </w:rPr>
        <w:t>skowych państw członkowskich, które pozostają pod kontrolą tych państw oraz UE zgodnie</w:t>
      </w:r>
      <w:r w:rsidR="006B6BC0" w:rsidRPr="008B7FA4">
        <w:rPr>
          <w:noProof/>
        </w:rPr>
        <w:t xml:space="preserve"> z prz</w:t>
      </w:r>
      <w:r w:rsidRPr="008B7FA4">
        <w:rPr>
          <w:noProof/>
        </w:rPr>
        <w:t>episami rozporządzenia</w:t>
      </w:r>
      <w:r w:rsidR="006B6BC0" w:rsidRPr="008B7FA4">
        <w:rPr>
          <w:noProof/>
        </w:rPr>
        <w:t xml:space="preserve"> w spr</w:t>
      </w:r>
      <w:r w:rsidRPr="008B7FA4">
        <w:rPr>
          <w:noProof/>
        </w:rPr>
        <w:t>awie przestrzeni kosmicznej. Unijny system SST wchodzący</w:t>
      </w:r>
      <w:r w:rsidR="006B6BC0" w:rsidRPr="008B7FA4">
        <w:rPr>
          <w:noProof/>
        </w:rPr>
        <w:t xml:space="preserve"> w skł</w:t>
      </w:r>
      <w:r w:rsidRPr="008B7FA4">
        <w:rPr>
          <w:noProof/>
        </w:rPr>
        <w:t>ad komponentu unijnego programu kosmicznego dotyczącego świadomości sytuacyjnej</w:t>
      </w:r>
      <w:r w:rsidR="006B6BC0" w:rsidRPr="008B7FA4">
        <w:rPr>
          <w:noProof/>
        </w:rPr>
        <w:t xml:space="preserve"> w prz</w:t>
      </w:r>
      <w:r w:rsidRPr="008B7FA4">
        <w:rPr>
          <w:noProof/>
        </w:rPr>
        <w:t xml:space="preserve">estrzeni kosmicznej stanowi </w:t>
      </w:r>
      <w:r w:rsidRPr="008B7FA4">
        <w:rPr>
          <w:b/>
          <w:noProof/>
        </w:rPr>
        <w:t>kluczową zdolność operacyjną</w:t>
      </w:r>
      <w:r w:rsidR="006B6BC0" w:rsidRPr="008B7FA4">
        <w:rPr>
          <w:noProof/>
        </w:rPr>
        <w:t xml:space="preserve"> z pun</w:t>
      </w:r>
      <w:r w:rsidRPr="008B7FA4">
        <w:rPr>
          <w:noProof/>
        </w:rPr>
        <w:t>ktu widzenia przyszłych działań</w:t>
      </w:r>
      <w:r w:rsidR="006B6BC0" w:rsidRPr="008B7FA4">
        <w:rPr>
          <w:noProof/>
        </w:rPr>
        <w:t xml:space="preserve"> w zak</w:t>
      </w:r>
      <w:r w:rsidRPr="008B7FA4">
        <w:rPr>
          <w:noProof/>
        </w:rPr>
        <w:t>resie STM. Wspiera on również realizację innych polityk UE wiążących się</w:t>
      </w:r>
      <w:r w:rsidR="006B6BC0" w:rsidRPr="008B7FA4">
        <w:rPr>
          <w:noProof/>
        </w:rPr>
        <w:t xml:space="preserve"> z kon</w:t>
      </w:r>
      <w:r w:rsidRPr="008B7FA4">
        <w:rPr>
          <w:noProof/>
        </w:rPr>
        <w:t>iecznością autonomicznego podejmowania decyzji</w:t>
      </w:r>
      <w:r w:rsidRPr="008B7FA4">
        <w:rPr>
          <w:rStyle w:val="FootnoteReference"/>
          <w:rFonts w:cs="Times New Roman"/>
          <w:noProof/>
          <w:szCs w:val="24"/>
        </w:rPr>
        <w:footnoteReference w:id="16"/>
      </w:r>
      <w:r w:rsidRPr="008B7FA4">
        <w:rPr>
          <w:noProof/>
        </w:rPr>
        <w:t xml:space="preserve">. </w:t>
      </w:r>
    </w:p>
    <w:p w:rsidR="00630C8C" w:rsidRPr="008B7FA4" w:rsidRDefault="002745F1" w:rsidP="009E7D75">
      <w:pPr>
        <w:rPr>
          <w:noProof/>
        </w:rPr>
      </w:pPr>
      <w:r w:rsidRPr="008B7FA4">
        <w:rPr>
          <w:noProof/>
        </w:rPr>
        <w:t>Aby przezwyciężyć wyzwania związane z STM, UE musi rozwijać zdolności</w:t>
      </w:r>
      <w:r w:rsidR="006B6BC0" w:rsidRPr="008B7FA4">
        <w:rPr>
          <w:noProof/>
        </w:rPr>
        <w:t xml:space="preserve"> w zak</w:t>
      </w:r>
      <w:r w:rsidRPr="008B7FA4">
        <w:rPr>
          <w:noProof/>
        </w:rPr>
        <w:t>resie SST aż do osiągnięcia wystarczającego poziomu autonomii, biorąc jednocześnie pod uwagę działania</w:t>
      </w:r>
      <w:r w:rsidR="006B6BC0" w:rsidRPr="008B7FA4">
        <w:rPr>
          <w:noProof/>
        </w:rPr>
        <w:t xml:space="preserve"> w tym</w:t>
      </w:r>
      <w:r w:rsidRPr="008B7FA4">
        <w:rPr>
          <w:noProof/>
        </w:rPr>
        <w:t xml:space="preserve"> zakresie podejmowane równolegle przez państwa członkowskie, m.in.</w:t>
      </w:r>
      <w:r w:rsidR="006B6BC0" w:rsidRPr="008B7FA4">
        <w:rPr>
          <w:noProof/>
        </w:rPr>
        <w:t xml:space="preserve"> w ram</w:t>
      </w:r>
      <w:r w:rsidRPr="008B7FA4">
        <w:rPr>
          <w:noProof/>
        </w:rPr>
        <w:t>ach Europejskiego Funduszu Obronnego (EFO). To</w:t>
      </w:r>
      <w:r w:rsidR="006B6BC0" w:rsidRPr="008B7FA4">
        <w:rPr>
          <w:noProof/>
        </w:rPr>
        <w:t xml:space="preserve"> z kol</w:t>
      </w:r>
      <w:r w:rsidRPr="008B7FA4">
        <w:rPr>
          <w:noProof/>
        </w:rPr>
        <w:t>ei wymaga:</w:t>
      </w:r>
    </w:p>
    <w:p w:rsidR="00630C8C" w:rsidRPr="008B7FA4" w:rsidRDefault="009E7DB4" w:rsidP="009E7D75">
      <w:pPr>
        <w:numPr>
          <w:ilvl w:val="0"/>
          <w:numId w:val="35"/>
        </w:numPr>
        <w:contextualSpacing/>
        <w:rPr>
          <w:rFonts w:asciiTheme="minorHAnsi" w:hAnsiTheme="minorHAnsi" w:cs="Times New Roman"/>
          <w:noProof/>
          <w:sz w:val="22"/>
          <w:szCs w:val="24"/>
        </w:rPr>
      </w:pPr>
      <w:r w:rsidRPr="008B7FA4">
        <w:rPr>
          <w:i/>
          <w:noProof/>
          <w:szCs w:val="24"/>
        </w:rPr>
        <w:t>usprawnienia procesu świadczenia unijnych usług</w:t>
      </w:r>
      <w:r w:rsidR="006B6BC0" w:rsidRPr="008B7FA4">
        <w:rPr>
          <w:i/>
          <w:noProof/>
          <w:szCs w:val="24"/>
        </w:rPr>
        <w:t xml:space="preserve"> w zak</w:t>
      </w:r>
      <w:r w:rsidRPr="008B7FA4">
        <w:rPr>
          <w:i/>
          <w:noProof/>
          <w:szCs w:val="24"/>
        </w:rPr>
        <w:t>resie SST</w:t>
      </w:r>
      <w:r w:rsidR="006B6BC0" w:rsidRPr="008B7FA4">
        <w:rPr>
          <w:i/>
          <w:noProof/>
          <w:szCs w:val="24"/>
        </w:rPr>
        <w:t xml:space="preserve"> i opr</w:t>
      </w:r>
      <w:r w:rsidRPr="008B7FA4">
        <w:rPr>
          <w:i/>
          <w:noProof/>
          <w:szCs w:val="24"/>
        </w:rPr>
        <w:t>acowania dodatkowych usług</w:t>
      </w:r>
      <w:r w:rsidR="006B6BC0" w:rsidRPr="008B7FA4">
        <w:rPr>
          <w:i/>
          <w:noProof/>
          <w:szCs w:val="24"/>
        </w:rPr>
        <w:t xml:space="preserve"> w zak</w:t>
      </w:r>
      <w:r w:rsidRPr="008B7FA4">
        <w:rPr>
          <w:i/>
          <w:noProof/>
          <w:szCs w:val="24"/>
        </w:rPr>
        <w:t xml:space="preserve">resie SST – </w:t>
      </w:r>
      <w:r w:rsidRPr="008B7FA4">
        <w:rPr>
          <w:noProof/>
        </w:rPr>
        <w:t>należy zapewnić możliwość sprawniejszego wykorzystywania zdolności operacyjnych, aby skutecznie stawiać czoła przyszłym wyzwaniom operacyjnym związanym z STM; należy opracować nowe usługi pozwalające UE przygotować się na wyzwania operacyjne związane z STM oraz</w:t>
      </w:r>
    </w:p>
    <w:p w:rsidR="00630C8C" w:rsidRPr="008B7FA4" w:rsidRDefault="00630C8C" w:rsidP="009E7D75">
      <w:pPr>
        <w:numPr>
          <w:ilvl w:val="0"/>
          <w:numId w:val="35"/>
        </w:numPr>
        <w:contextualSpacing/>
        <w:rPr>
          <w:rFonts w:cs="Times New Roman"/>
          <w:noProof/>
          <w:szCs w:val="24"/>
        </w:rPr>
      </w:pPr>
      <w:r w:rsidRPr="008B7FA4">
        <w:rPr>
          <w:i/>
          <w:noProof/>
          <w:szCs w:val="24"/>
        </w:rPr>
        <w:t>korzystania</w:t>
      </w:r>
      <w:r w:rsidR="006B6BC0" w:rsidRPr="008B7FA4">
        <w:rPr>
          <w:i/>
          <w:noProof/>
          <w:szCs w:val="24"/>
        </w:rPr>
        <w:t xml:space="preserve"> z now</w:t>
      </w:r>
      <w:r w:rsidRPr="008B7FA4">
        <w:rPr>
          <w:i/>
          <w:noProof/>
          <w:szCs w:val="24"/>
        </w:rPr>
        <w:t xml:space="preserve">ych technologii – </w:t>
      </w:r>
      <w:r w:rsidRPr="008B7FA4">
        <w:rPr>
          <w:noProof/>
        </w:rPr>
        <w:t>nowe technologie są już obecnie</w:t>
      </w:r>
      <w:r w:rsidR="006B6BC0" w:rsidRPr="008B7FA4">
        <w:rPr>
          <w:noProof/>
        </w:rPr>
        <w:t xml:space="preserve"> w uży</w:t>
      </w:r>
      <w:r w:rsidRPr="008B7FA4">
        <w:rPr>
          <w:noProof/>
        </w:rPr>
        <w:t>ciu, należy jednak usprawnić sposób ich wykorzystywania, aby należycie przygotować się na nowe wyzwania związane z STM;</w:t>
      </w:r>
    </w:p>
    <w:p w:rsidR="00224B26" w:rsidRPr="008B7FA4" w:rsidRDefault="00224B26" w:rsidP="00AE14D5">
      <w:pPr>
        <w:numPr>
          <w:ilvl w:val="0"/>
          <w:numId w:val="35"/>
        </w:numPr>
        <w:contextualSpacing/>
        <w:rPr>
          <w:rFonts w:cs="Times New Roman"/>
          <w:noProof/>
          <w:szCs w:val="24"/>
        </w:rPr>
      </w:pPr>
      <w:r w:rsidRPr="008B7FA4">
        <w:rPr>
          <w:i/>
          <w:noProof/>
          <w:szCs w:val="24"/>
        </w:rPr>
        <w:t xml:space="preserve">zaangażowania ekosystemu przemysłowego UE – </w:t>
      </w:r>
      <w:r w:rsidRPr="008B7FA4">
        <w:rPr>
          <w:noProof/>
        </w:rPr>
        <w:t>podmioty</w:t>
      </w:r>
      <w:r w:rsidR="006B6BC0" w:rsidRPr="008B7FA4">
        <w:rPr>
          <w:noProof/>
        </w:rPr>
        <w:t xml:space="preserve"> z sek</w:t>
      </w:r>
      <w:r w:rsidRPr="008B7FA4">
        <w:rPr>
          <w:noProof/>
        </w:rPr>
        <w:t>tora przemysłu Unii wnoszą już wkład we wdrażanie unijnego komponentu SST; potencjał tych podmiotów mógłby jednak zostać lepiej wykorzystany, jeśli chodzi o MŚP</w:t>
      </w:r>
      <w:r w:rsidR="006B6BC0" w:rsidRPr="008B7FA4">
        <w:rPr>
          <w:noProof/>
        </w:rPr>
        <w:t xml:space="preserve"> i prz</w:t>
      </w:r>
      <w:r w:rsidRPr="008B7FA4">
        <w:rPr>
          <w:noProof/>
        </w:rPr>
        <w:t>edsiębiorstwa typu start-up, jako uzupełnienie usług publicznych świadczonych</w:t>
      </w:r>
      <w:r w:rsidR="006B6BC0" w:rsidRPr="008B7FA4">
        <w:rPr>
          <w:noProof/>
        </w:rPr>
        <w:t xml:space="preserve"> w ram</w:t>
      </w:r>
      <w:r w:rsidRPr="008B7FA4">
        <w:rPr>
          <w:noProof/>
        </w:rPr>
        <w:t>ach unijnego komponentu SST.</w:t>
      </w:r>
    </w:p>
    <w:p w:rsidR="0063256C" w:rsidRPr="008B7FA4" w:rsidRDefault="0063256C" w:rsidP="007E4653">
      <w:pPr>
        <w:pStyle w:val="Heading2"/>
        <w:rPr>
          <w:noProof/>
        </w:rPr>
      </w:pPr>
      <w:r w:rsidRPr="008B7FA4">
        <w:rPr>
          <w:noProof/>
        </w:rPr>
        <w:t>Udoskonalenie unijnych usług SST</w:t>
      </w:r>
      <w:r w:rsidR="006B6BC0" w:rsidRPr="008B7FA4">
        <w:rPr>
          <w:noProof/>
        </w:rPr>
        <w:t xml:space="preserve"> i roz</w:t>
      </w:r>
      <w:r w:rsidRPr="008B7FA4">
        <w:rPr>
          <w:noProof/>
        </w:rPr>
        <w:t xml:space="preserve">szerzenie ich zakresu </w:t>
      </w:r>
    </w:p>
    <w:p w:rsidR="0063256C" w:rsidRPr="008B7FA4" w:rsidRDefault="0063256C" w:rsidP="0063256C">
      <w:pPr>
        <w:rPr>
          <w:rFonts w:cs="Times New Roman"/>
          <w:noProof/>
        </w:rPr>
      </w:pPr>
      <w:r w:rsidRPr="008B7FA4">
        <w:rPr>
          <w:noProof/>
        </w:rPr>
        <w:t>Unijny komponent SST świadczy stosowne usługi głównie</w:t>
      </w:r>
      <w:r w:rsidR="006B6BC0" w:rsidRPr="008B7FA4">
        <w:rPr>
          <w:noProof/>
        </w:rPr>
        <w:t xml:space="preserve"> w opa</w:t>
      </w:r>
      <w:r w:rsidRPr="008B7FA4">
        <w:rPr>
          <w:noProof/>
        </w:rPr>
        <w:t>rciu</w:t>
      </w:r>
      <w:r w:rsidR="006B6BC0" w:rsidRPr="008B7FA4">
        <w:rPr>
          <w:noProof/>
        </w:rPr>
        <w:t xml:space="preserve"> o kat</w:t>
      </w:r>
      <w:r w:rsidRPr="008B7FA4">
        <w:rPr>
          <w:noProof/>
        </w:rPr>
        <w:t>alog obiektów kosmicznych opracowany przez Stany Zjednoczone (USA), uzupełniając go</w:t>
      </w:r>
      <w:r w:rsidR="006B6BC0" w:rsidRPr="008B7FA4">
        <w:rPr>
          <w:noProof/>
        </w:rPr>
        <w:t xml:space="preserve"> w cor</w:t>
      </w:r>
      <w:r w:rsidRPr="008B7FA4">
        <w:rPr>
          <w:noProof/>
        </w:rPr>
        <w:t>az większym stopniu</w:t>
      </w:r>
      <w:r w:rsidR="006B6BC0" w:rsidRPr="008B7FA4">
        <w:rPr>
          <w:noProof/>
        </w:rPr>
        <w:t xml:space="preserve"> o wła</w:t>
      </w:r>
      <w:r w:rsidRPr="008B7FA4">
        <w:rPr>
          <w:noProof/>
        </w:rPr>
        <w:t>sne dane</w:t>
      </w:r>
      <w:r w:rsidR="006B6BC0" w:rsidRPr="008B7FA4">
        <w:rPr>
          <w:noProof/>
        </w:rPr>
        <w:t xml:space="preserve"> i kat</w:t>
      </w:r>
      <w:r w:rsidRPr="008B7FA4">
        <w:rPr>
          <w:noProof/>
        </w:rPr>
        <w:t>alogi krajowe. Główną wartością dodaną unijnego komponentu SST jest pełnienie funkcji pośredniczących</w:t>
      </w:r>
      <w:r w:rsidR="006B6BC0" w:rsidRPr="008B7FA4">
        <w:rPr>
          <w:noProof/>
        </w:rPr>
        <w:t xml:space="preserve"> w prz</w:t>
      </w:r>
      <w:r w:rsidRPr="008B7FA4">
        <w:rPr>
          <w:noProof/>
        </w:rPr>
        <w:t>ypadku wystąpienia zdarzeń wzbudzających duże zainteresowanie, na przykład generowanie aktualniejszych</w:t>
      </w:r>
      <w:r w:rsidR="006B6BC0" w:rsidRPr="008B7FA4">
        <w:rPr>
          <w:noProof/>
        </w:rPr>
        <w:t xml:space="preserve"> i pre</w:t>
      </w:r>
      <w:r w:rsidRPr="008B7FA4">
        <w:rPr>
          <w:noProof/>
        </w:rPr>
        <w:t>cyzyjniejszych danych poprzez zlecanie zadań do wykonania unijnym aktywom SST, jak również poprzez przetwarzanie tych danych.</w:t>
      </w:r>
    </w:p>
    <w:p w:rsidR="0063256C" w:rsidRPr="008B7FA4" w:rsidRDefault="009E7DB4" w:rsidP="0063256C">
      <w:pPr>
        <w:rPr>
          <w:rFonts w:cs="Times New Roman"/>
          <w:noProof/>
        </w:rPr>
      </w:pPr>
      <w:r w:rsidRPr="008B7FA4">
        <w:rPr>
          <w:noProof/>
        </w:rPr>
        <w:t>Jak dotąd USA przekazywały dane dotyczące obiektów kosmicznych</w:t>
      </w:r>
      <w:r w:rsidR="006B6BC0" w:rsidRPr="008B7FA4">
        <w:rPr>
          <w:noProof/>
        </w:rPr>
        <w:t xml:space="preserve"> o śre</w:t>
      </w:r>
      <w:r w:rsidRPr="008B7FA4">
        <w:rPr>
          <w:noProof/>
        </w:rPr>
        <w:t>dnicy większej niż 10 cm</w:t>
      </w:r>
      <w:r w:rsidR="006B6BC0" w:rsidRPr="008B7FA4">
        <w:rPr>
          <w:noProof/>
        </w:rPr>
        <w:t xml:space="preserve"> i kon</w:t>
      </w:r>
      <w:r w:rsidRPr="008B7FA4">
        <w:rPr>
          <w:noProof/>
        </w:rPr>
        <w:t>tynuują udoskonalanie swojego katalogu tych obiektów. Aby zwiększyć swoją odporność poprzez dywersyfikację źródeł informacji, zapewnić osiągnięcie strategicznej autonomii</w:t>
      </w:r>
      <w:r w:rsidR="006B6BC0" w:rsidRPr="008B7FA4">
        <w:rPr>
          <w:noProof/>
        </w:rPr>
        <w:t xml:space="preserve"> i wsp</w:t>
      </w:r>
      <w:r w:rsidRPr="008B7FA4">
        <w:rPr>
          <w:noProof/>
        </w:rPr>
        <w:t>ierać współpracę ze swoimi partnerami,</w:t>
      </w:r>
      <w:r w:rsidR="006B6BC0" w:rsidRPr="008B7FA4">
        <w:rPr>
          <w:noProof/>
        </w:rPr>
        <w:t xml:space="preserve"> w szc</w:t>
      </w:r>
      <w:r w:rsidRPr="008B7FA4">
        <w:rPr>
          <w:noProof/>
        </w:rPr>
        <w:t xml:space="preserve">zególności poprzez podział obciążenia, </w:t>
      </w:r>
      <w:r w:rsidRPr="008B7FA4">
        <w:rPr>
          <w:b/>
          <w:bCs/>
          <w:noProof/>
        </w:rPr>
        <w:t>UE musi zwiększyć stopień wykorzystania swoich zdolności operacyjnych</w:t>
      </w:r>
      <w:r w:rsidR="006B6BC0" w:rsidRPr="008B7FA4">
        <w:rPr>
          <w:b/>
          <w:bCs/>
          <w:noProof/>
        </w:rPr>
        <w:t xml:space="preserve"> w zak</w:t>
      </w:r>
      <w:r w:rsidRPr="008B7FA4">
        <w:rPr>
          <w:b/>
          <w:bCs/>
          <w:noProof/>
        </w:rPr>
        <w:t>resie SST</w:t>
      </w:r>
      <w:r w:rsidR="006B6BC0" w:rsidRPr="008B7FA4">
        <w:rPr>
          <w:b/>
          <w:bCs/>
          <w:noProof/>
        </w:rPr>
        <w:t>.</w:t>
      </w:r>
      <w:r w:rsidR="006B6BC0" w:rsidRPr="008B7FA4">
        <w:rPr>
          <w:noProof/>
        </w:rPr>
        <w:t xml:space="preserve"> W</w:t>
      </w:r>
      <w:r w:rsidR="006B6BC0" w:rsidRPr="008B7FA4">
        <w:rPr>
          <w:b/>
          <w:bCs/>
          <w:noProof/>
        </w:rPr>
        <w:t> </w:t>
      </w:r>
      <w:r w:rsidR="006B6BC0" w:rsidRPr="008B7FA4">
        <w:rPr>
          <w:noProof/>
        </w:rPr>
        <w:t>tym</w:t>
      </w:r>
      <w:r w:rsidRPr="008B7FA4">
        <w:rPr>
          <w:noProof/>
        </w:rPr>
        <w:t xml:space="preserve"> celu UE musi zagwarantować, aby:</w:t>
      </w:r>
    </w:p>
    <w:p w:rsidR="0063256C" w:rsidRPr="008B7FA4" w:rsidRDefault="0063256C" w:rsidP="0078763B">
      <w:pPr>
        <w:pStyle w:val="ListParagraph"/>
        <w:numPr>
          <w:ilvl w:val="0"/>
          <w:numId w:val="53"/>
        </w:numPr>
        <w:spacing w:after="0" w:line="247" w:lineRule="auto"/>
        <w:ind w:left="714" w:hanging="357"/>
        <w:rPr>
          <w:rFonts w:cs="Times New Roman"/>
          <w:noProof/>
          <w:szCs w:val="24"/>
        </w:rPr>
      </w:pPr>
      <w:r w:rsidRPr="008B7FA4">
        <w:rPr>
          <w:rFonts w:ascii="Times New Roman" w:hAnsi="Times New Roman"/>
          <w:noProof/>
          <w:sz w:val="24"/>
          <w:szCs w:val="24"/>
        </w:rPr>
        <w:t>unijne partnerstwo ds. SST podejmowało działania konieczne do zapewnienia możliwości wykrywania wszystkich obiektów</w:t>
      </w:r>
      <w:r w:rsidR="006B6BC0" w:rsidRPr="008B7FA4">
        <w:rPr>
          <w:rFonts w:ascii="Times New Roman" w:hAnsi="Times New Roman"/>
          <w:noProof/>
          <w:sz w:val="24"/>
          <w:szCs w:val="24"/>
        </w:rPr>
        <w:t xml:space="preserve"> o śre</w:t>
      </w:r>
      <w:r w:rsidRPr="008B7FA4">
        <w:rPr>
          <w:rFonts w:ascii="Times New Roman" w:hAnsi="Times New Roman"/>
          <w:noProof/>
          <w:sz w:val="24"/>
          <w:szCs w:val="24"/>
        </w:rPr>
        <w:t>dnicy 10 cm</w:t>
      </w:r>
      <w:r w:rsidR="006B6BC0" w:rsidRPr="008B7FA4">
        <w:rPr>
          <w:rFonts w:ascii="Times New Roman" w:hAnsi="Times New Roman"/>
          <w:noProof/>
          <w:sz w:val="24"/>
          <w:szCs w:val="24"/>
        </w:rPr>
        <w:t xml:space="preserve"> i wię</w:t>
      </w:r>
      <w:r w:rsidRPr="008B7FA4">
        <w:rPr>
          <w:rFonts w:ascii="Times New Roman" w:hAnsi="Times New Roman"/>
          <w:noProof/>
          <w:sz w:val="24"/>
          <w:szCs w:val="24"/>
        </w:rPr>
        <w:t>kszej.</w:t>
      </w:r>
    </w:p>
    <w:p w:rsidR="0063256C" w:rsidRPr="008B7FA4" w:rsidRDefault="0063256C" w:rsidP="0063256C">
      <w:pPr>
        <w:ind w:left="720"/>
        <w:rPr>
          <w:rFonts w:cs="Times New Roman"/>
          <w:noProof/>
        </w:rPr>
      </w:pPr>
      <w:r w:rsidRPr="008B7FA4">
        <w:rPr>
          <w:b/>
          <w:bCs/>
          <w:noProof/>
        </w:rPr>
        <w:t>Działania na rzecz opracowywania nowych aktywów</w:t>
      </w:r>
      <w:r w:rsidRPr="008B7FA4">
        <w:rPr>
          <w:noProof/>
        </w:rPr>
        <w:t xml:space="preserve"> mogłyby obejmować np. opracowywanie czujników</w:t>
      </w:r>
      <w:r w:rsidR="006B6BC0" w:rsidRPr="008B7FA4">
        <w:rPr>
          <w:noProof/>
        </w:rPr>
        <w:t xml:space="preserve"> w prz</w:t>
      </w:r>
      <w:r w:rsidRPr="008B7FA4">
        <w:rPr>
          <w:noProof/>
        </w:rPr>
        <w:t>estrzeni kosmicznej</w:t>
      </w:r>
      <w:r w:rsidR="006B6BC0" w:rsidRPr="008B7FA4">
        <w:rPr>
          <w:noProof/>
        </w:rPr>
        <w:t xml:space="preserve"> w kon</w:t>
      </w:r>
      <w:r w:rsidRPr="008B7FA4">
        <w:rPr>
          <w:noProof/>
        </w:rPr>
        <w:t>tekście programu bezpiecznej łączności,</w:t>
      </w:r>
      <w:r w:rsidR="006B6BC0" w:rsidRPr="008B7FA4">
        <w:rPr>
          <w:noProof/>
        </w:rPr>
        <w:t xml:space="preserve"> a tak</w:t>
      </w:r>
      <w:r w:rsidRPr="008B7FA4">
        <w:rPr>
          <w:noProof/>
        </w:rPr>
        <w:t>że wydajniejszych systemów radarowych</w:t>
      </w:r>
      <w:r w:rsidR="006B6BC0" w:rsidRPr="008B7FA4">
        <w:rPr>
          <w:noProof/>
        </w:rPr>
        <w:t xml:space="preserve"> i tel</w:t>
      </w:r>
      <w:r w:rsidRPr="008B7FA4">
        <w:rPr>
          <w:noProof/>
        </w:rPr>
        <w:t>eskopowych. Przy opracowywaniu nowych technologii</w:t>
      </w:r>
      <w:r w:rsidR="006B6BC0" w:rsidRPr="008B7FA4">
        <w:rPr>
          <w:noProof/>
        </w:rPr>
        <w:t xml:space="preserve"> i czu</w:t>
      </w:r>
      <w:r w:rsidRPr="008B7FA4">
        <w:rPr>
          <w:noProof/>
        </w:rPr>
        <w:t>jników należy</w:t>
      </w:r>
      <w:r w:rsidR="006B6BC0" w:rsidRPr="008B7FA4">
        <w:rPr>
          <w:noProof/>
        </w:rPr>
        <w:t xml:space="preserve"> w mak</w:t>
      </w:r>
      <w:r w:rsidRPr="008B7FA4">
        <w:rPr>
          <w:noProof/>
        </w:rPr>
        <w:t>symalnym możliwym stopniu wykorzystywać synergie między sektorem cywilnym</w:t>
      </w:r>
      <w:r w:rsidR="006B6BC0" w:rsidRPr="008B7FA4">
        <w:rPr>
          <w:noProof/>
        </w:rPr>
        <w:t xml:space="preserve"> a sek</w:t>
      </w:r>
      <w:r w:rsidRPr="008B7FA4">
        <w:rPr>
          <w:noProof/>
        </w:rPr>
        <w:t xml:space="preserve">torem obronności; </w:t>
      </w:r>
    </w:p>
    <w:p w:rsidR="0063256C" w:rsidRPr="008B7FA4" w:rsidRDefault="0063256C" w:rsidP="0078763B">
      <w:pPr>
        <w:pStyle w:val="ListParagraph"/>
        <w:numPr>
          <w:ilvl w:val="0"/>
          <w:numId w:val="53"/>
        </w:numPr>
        <w:spacing w:after="0" w:line="247" w:lineRule="auto"/>
        <w:ind w:left="714" w:hanging="357"/>
        <w:jc w:val="both"/>
        <w:rPr>
          <w:rFonts w:cs="Times New Roman"/>
          <w:noProof/>
          <w:szCs w:val="24"/>
        </w:rPr>
      </w:pPr>
      <w:r w:rsidRPr="008B7FA4">
        <w:rPr>
          <w:rFonts w:ascii="Times New Roman" w:hAnsi="Times New Roman"/>
          <w:noProof/>
          <w:sz w:val="24"/>
          <w:szCs w:val="24"/>
        </w:rPr>
        <w:t xml:space="preserve">unijne partnerstwo ds. SST dysponowało dostępem do większej liczby aktywów SST zlokalizowanych poza terytorium Europy kontynentalnej. </w:t>
      </w:r>
    </w:p>
    <w:p w:rsidR="0063256C" w:rsidRPr="008B7FA4" w:rsidRDefault="0063256C" w:rsidP="0063256C">
      <w:pPr>
        <w:ind w:left="720"/>
        <w:rPr>
          <w:rFonts w:cs="Times New Roman"/>
          <w:noProof/>
        </w:rPr>
      </w:pPr>
      <w:r w:rsidRPr="008B7FA4">
        <w:rPr>
          <w:noProof/>
        </w:rPr>
        <w:t>Zdolność skutecznej obserwacji obiektów kosmicznych jest bezpośrednio powiązana</w:t>
      </w:r>
      <w:r w:rsidR="006B6BC0" w:rsidRPr="008B7FA4">
        <w:rPr>
          <w:noProof/>
        </w:rPr>
        <w:t xml:space="preserve"> z poł</w:t>
      </w:r>
      <w:r w:rsidRPr="008B7FA4">
        <w:rPr>
          <w:noProof/>
        </w:rPr>
        <w:t>ożeniem geograficznym aktywów (radarów, teleskopów</w:t>
      </w:r>
      <w:r w:rsidR="006B6BC0" w:rsidRPr="008B7FA4">
        <w:rPr>
          <w:noProof/>
        </w:rPr>
        <w:t xml:space="preserve"> i las</w:t>
      </w:r>
      <w:r w:rsidRPr="008B7FA4">
        <w:rPr>
          <w:noProof/>
        </w:rPr>
        <w:t>erów). Do tej pory większość aktywów unijnych znajdowała się</w:t>
      </w:r>
      <w:r w:rsidR="006B6BC0" w:rsidRPr="008B7FA4">
        <w:rPr>
          <w:noProof/>
        </w:rPr>
        <w:t xml:space="preserve"> w Eur</w:t>
      </w:r>
      <w:r w:rsidRPr="008B7FA4">
        <w:rPr>
          <w:noProof/>
        </w:rPr>
        <w:t>opie kontynentalnej.</w:t>
      </w:r>
      <w:r w:rsidRPr="008B7FA4">
        <w:rPr>
          <w:b/>
          <w:noProof/>
        </w:rPr>
        <w:t xml:space="preserve"> Należy –</w:t>
      </w:r>
      <w:r w:rsidR="006B6BC0" w:rsidRPr="008B7FA4">
        <w:rPr>
          <w:b/>
          <w:noProof/>
        </w:rPr>
        <w:t xml:space="preserve"> w zak</w:t>
      </w:r>
      <w:r w:rsidRPr="008B7FA4">
        <w:rPr>
          <w:b/>
          <w:noProof/>
        </w:rPr>
        <w:t>resie,</w:t>
      </w:r>
      <w:r w:rsidR="006B6BC0" w:rsidRPr="008B7FA4">
        <w:rPr>
          <w:b/>
          <w:noProof/>
        </w:rPr>
        <w:t xml:space="preserve"> w jak</w:t>
      </w:r>
      <w:r w:rsidRPr="008B7FA4">
        <w:rPr>
          <w:b/>
          <w:noProof/>
        </w:rPr>
        <w:t>im będzie to możliwe – zwiększyć stopień pokrycia nieba przy wykorzystaniu kontrolowanych przez UE aktywów zlokalizowanych poza terytorium kontynentu europejskiego.</w:t>
      </w:r>
    </w:p>
    <w:p w:rsidR="00630C8C" w:rsidRPr="008B7FA4" w:rsidRDefault="001D5386" w:rsidP="009E7D75">
      <w:pPr>
        <w:rPr>
          <w:rFonts w:cs="Times New Roman"/>
          <w:noProof/>
        </w:rPr>
      </w:pPr>
      <w:r w:rsidRPr="008B7FA4">
        <w:rPr>
          <w:noProof/>
        </w:rPr>
        <w:t>Ponadto można zaobserwować gwałtowny wzrost liczby satelitów wynoszonych na orbitę oraz tempa ich wynoszenia, co automatycznie przekłada się na zwiększenie liczby ostrzeżeń związanych</w:t>
      </w:r>
      <w:r w:rsidR="006B6BC0" w:rsidRPr="008B7FA4">
        <w:rPr>
          <w:noProof/>
        </w:rPr>
        <w:t xml:space="preserve"> z fun</w:t>
      </w:r>
      <w:r w:rsidRPr="008B7FA4">
        <w:rPr>
          <w:noProof/>
        </w:rPr>
        <w:t>kcją zapobiegania kolizjom oraz</w:t>
      </w:r>
      <w:r w:rsidR="006B6BC0" w:rsidRPr="008B7FA4">
        <w:rPr>
          <w:noProof/>
        </w:rPr>
        <w:t xml:space="preserve"> z prz</w:t>
      </w:r>
      <w:r w:rsidRPr="008B7FA4">
        <w:rPr>
          <w:noProof/>
        </w:rPr>
        <w:t>ypadkami wejścia obiektu</w:t>
      </w:r>
      <w:r w:rsidR="006B6BC0" w:rsidRPr="008B7FA4">
        <w:rPr>
          <w:noProof/>
        </w:rPr>
        <w:t xml:space="preserve"> w atm</w:t>
      </w:r>
      <w:r w:rsidRPr="008B7FA4">
        <w:rPr>
          <w:noProof/>
        </w:rPr>
        <w:t>osferę. Unijne konsorcjum na rzecz SST świadczy trzy usługi: usługę zapobiegania kolizjom, która wspiera operatorów statków kosmicznych</w:t>
      </w:r>
      <w:r w:rsidR="006B6BC0" w:rsidRPr="008B7FA4">
        <w:rPr>
          <w:noProof/>
        </w:rPr>
        <w:t xml:space="preserve"> w zar</w:t>
      </w:r>
      <w:r w:rsidRPr="008B7FA4">
        <w:rPr>
          <w:noProof/>
        </w:rPr>
        <w:t>ządzaniu koniunkcjami ich satelitów</w:t>
      </w:r>
      <w:r w:rsidR="006B6BC0" w:rsidRPr="008B7FA4">
        <w:rPr>
          <w:noProof/>
        </w:rPr>
        <w:t xml:space="preserve"> w tra</w:t>
      </w:r>
      <w:r w:rsidRPr="008B7FA4">
        <w:rPr>
          <w:noProof/>
        </w:rPr>
        <w:t>kcie operacji rutynowych</w:t>
      </w:r>
      <w:r w:rsidR="006B6BC0" w:rsidRPr="008B7FA4">
        <w:rPr>
          <w:noProof/>
        </w:rPr>
        <w:t xml:space="preserve"> i spe</w:t>
      </w:r>
      <w:r w:rsidRPr="008B7FA4">
        <w:rPr>
          <w:noProof/>
        </w:rPr>
        <w:t>cjalnych,</w:t>
      </w:r>
      <w:r w:rsidR="006B6BC0" w:rsidRPr="008B7FA4">
        <w:rPr>
          <w:noProof/>
        </w:rPr>
        <w:t xml:space="preserve"> a tak</w:t>
      </w:r>
      <w:r w:rsidRPr="008B7FA4">
        <w:rPr>
          <w:noProof/>
        </w:rPr>
        <w:t>że usługę analizy procesu wchodzenia</w:t>
      </w:r>
      <w:r w:rsidR="006B6BC0" w:rsidRPr="008B7FA4">
        <w:rPr>
          <w:noProof/>
        </w:rPr>
        <w:t xml:space="preserve"> w atm</w:t>
      </w:r>
      <w:r w:rsidRPr="008B7FA4">
        <w:rPr>
          <w:noProof/>
        </w:rPr>
        <w:t>osferę oraz usługę analizy fragmentacji</w:t>
      </w:r>
      <w:r w:rsidR="006B6BC0" w:rsidRPr="008B7FA4">
        <w:rPr>
          <w:noProof/>
        </w:rPr>
        <w:t>. W roz</w:t>
      </w:r>
      <w:r w:rsidRPr="008B7FA4">
        <w:rPr>
          <w:noProof/>
        </w:rPr>
        <w:t>porządzeniu</w:t>
      </w:r>
      <w:r w:rsidR="006B6BC0" w:rsidRPr="008B7FA4">
        <w:rPr>
          <w:noProof/>
        </w:rPr>
        <w:t xml:space="preserve"> w spr</w:t>
      </w:r>
      <w:r w:rsidRPr="008B7FA4">
        <w:rPr>
          <w:noProof/>
        </w:rPr>
        <w:t>awie przestrzeni kosmicznej wprowadzono dwie dodatkowe usługi: usługę unieszkodliwiania śmieci kosmicznych</w:t>
      </w:r>
      <w:r w:rsidR="006B6BC0" w:rsidRPr="008B7FA4">
        <w:rPr>
          <w:noProof/>
        </w:rPr>
        <w:t xml:space="preserve"> i usł</w:t>
      </w:r>
      <w:r w:rsidRPr="008B7FA4">
        <w:rPr>
          <w:noProof/>
        </w:rPr>
        <w:t>ugę remediacji tych śmieci</w:t>
      </w:r>
      <w:r w:rsidRPr="008B7FA4">
        <w:rPr>
          <w:rFonts w:cs="Times New Roman"/>
          <w:noProof/>
          <w:vertAlign w:val="superscript"/>
        </w:rPr>
        <w:footnoteReference w:id="17"/>
      </w:r>
      <w:r w:rsidRPr="008B7FA4">
        <w:rPr>
          <w:noProof/>
        </w:rPr>
        <w:t xml:space="preserve">. </w:t>
      </w:r>
    </w:p>
    <w:p w:rsidR="00630C8C" w:rsidRPr="008B7FA4" w:rsidRDefault="00FA4119" w:rsidP="009E7D75">
      <w:pPr>
        <w:rPr>
          <w:rFonts w:cs="Times New Roman"/>
          <w:noProof/>
        </w:rPr>
      </w:pPr>
      <w:r w:rsidRPr="008B7FA4">
        <w:rPr>
          <w:noProof/>
        </w:rPr>
        <w:t>Te nowe dodatkowe usługi oraz poprawa funkcjonalności istniejących usług będą konieczne, abyśmy mogli sprostać nowym wyzwaniom związanym</w:t>
      </w:r>
      <w:r w:rsidR="006B6BC0" w:rsidRPr="008B7FA4">
        <w:rPr>
          <w:noProof/>
        </w:rPr>
        <w:t xml:space="preserve"> z prz</w:t>
      </w:r>
      <w:r w:rsidRPr="008B7FA4">
        <w:rPr>
          <w:noProof/>
        </w:rPr>
        <w:t>estrzenią kosmiczną, takim jak megakonstelacje. Bazując na działaniach, które zostały już przeprowadzone przez unijne konsorcjum na rzecz SST, przyszłe unijne partnerstwo ds. SST powinno opracować nowe, dodatkowe usługi powiązane</w:t>
      </w:r>
      <w:r w:rsidR="006B6BC0" w:rsidRPr="008B7FA4">
        <w:rPr>
          <w:noProof/>
        </w:rPr>
        <w:t xml:space="preserve"> z uni</w:t>
      </w:r>
      <w:r w:rsidRPr="008B7FA4">
        <w:rPr>
          <w:noProof/>
        </w:rPr>
        <w:t xml:space="preserve">jnym podejściem do STM. Wspomniane usługi mogłyby </w:t>
      </w:r>
      <w:r w:rsidRPr="008B7FA4">
        <w:rPr>
          <w:b/>
          <w:bCs/>
          <w:noProof/>
        </w:rPr>
        <w:t>wspierać operacje związane</w:t>
      </w:r>
      <w:r w:rsidR="006B6BC0" w:rsidRPr="008B7FA4">
        <w:rPr>
          <w:b/>
          <w:bCs/>
          <w:noProof/>
        </w:rPr>
        <w:t xml:space="preserve"> z uni</w:t>
      </w:r>
      <w:r w:rsidRPr="008B7FA4">
        <w:rPr>
          <w:b/>
          <w:bCs/>
          <w:noProof/>
        </w:rPr>
        <w:t>eszkodliwianiem oraz uzupełniać operacje</w:t>
      </w:r>
      <w:r w:rsidR="006B6BC0" w:rsidRPr="008B7FA4">
        <w:rPr>
          <w:b/>
          <w:bCs/>
          <w:noProof/>
        </w:rPr>
        <w:t xml:space="preserve"> w zak</w:t>
      </w:r>
      <w:r w:rsidRPr="008B7FA4">
        <w:rPr>
          <w:b/>
          <w:bCs/>
          <w:noProof/>
        </w:rPr>
        <w:t>resie remediacji</w:t>
      </w:r>
      <w:r w:rsidR="006B6BC0" w:rsidRPr="008B7FA4">
        <w:rPr>
          <w:b/>
          <w:bCs/>
          <w:noProof/>
        </w:rPr>
        <w:t xml:space="preserve"> i ope</w:t>
      </w:r>
      <w:r w:rsidRPr="008B7FA4">
        <w:rPr>
          <w:b/>
          <w:bCs/>
          <w:noProof/>
        </w:rPr>
        <w:t>racje obsługi na orbicie</w:t>
      </w:r>
      <w:r w:rsidRPr="008B7FA4">
        <w:rPr>
          <w:noProof/>
        </w:rPr>
        <w:t xml:space="preserve"> dzięki poprawie bezpieczeństwa operacji krytycznych, rozwijaniu platform komunikacji</w:t>
      </w:r>
      <w:r w:rsidR="006B6BC0" w:rsidRPr="008B7FA4">
        <w:rPr>
          <w:noProof/>
        </w:rPr>
        <w:t xml:space="preserve"> i koo</w:t>
      </w:r>
      <w:r w:rsidRPr="008B7FA4">
        <w:rPr>
          <w:noProof/>
        </w:rPr>
        <w:t>rdynacji działań przeznaczonych dla operatorów satelitów zarejestrowanych jako użytkownicy unijnego komponentu SST, zapewnianiu możliwości podejmowania działań</w:t>
      </w:r>
      <w:r w:rsidR="006B6BC0" w:rsidRPr="008B7FA4">
        <w:rPr>
          <w:noProof/>
        </w:rPr>
        <w:t xml:space="preserve"> w prz</w:t>
      </w:r>
      <w:r w:rsidRPr="008B7FA4">
        <w:rPr>
          <w:noProof/>
        </w:rPr>
        <w:t>ypadku wystąpienia zdarzeń losowych na orbicie, udzielaniu wsparcia na wypadek anomalii itp.</w:t>
      </w:r>
    </w:p>
    <w:p w:rsidR="00630C8C" w:rsidRPr="008B7FA4" w:rsidRDefault="006C48BD" w:rsidP="007E4653">
      <w:pPr>
        <w:pStyle w:val="Heading2"/>
        <w:rPr>
          <w:noProof/>
        </w:rPr>
      </w:pPr>
      <w:r w:rsidRPr="008B7FA4">
        <w:rPr>
          <w:noProof/>
        </w:rPr>
        <w:t>Opracowanie nowych technologii, aby spełnić wymogi związane z STM</w:t>
      </w:r>
    </w:p>
    <w:p w:rsidR="00630C8C" w:rsidRPr="008B7FA4" w:rsidRDefault="00630C8C" w:rsidP="009E7D75">
      <w:pPr>
        <w:rPr>
          <w:rFonts w:cs="Times New Roman"/>
          <w:noProof/>
        </w:rPr>
      </w:pPr>
      <w:r w:rsidRPr="008B7FA4">
        <w:rPr>
          <w:b/>
          <w:noProof/>
        </w:rPr>
        <w:t>Należy przyspieszyć tempo rozwoju usług automatycznego zapobiegania kolizjom oraz zwiększyć stopień wykorzystania sztucznej inteligencji</w:t>
      </w:r>
      <w:r w:rsidR="006B6BC0" w:rsidRPr="008B7FA4">
        <w:rPr>
          <w:b/>
          <w:noProof/>
        </w:rPr>
        <w:t xml:space="preserve"> i tec</w:t>
      </w:r>
      <w:r w:rsidRPr="008B7FA4">
        <w:rPr>
          <w:b/>
          <w:noProof/>
        </w:rPr>
        <w:t>hnologii kwantowej</w:t>
      </w:r>
      <w:r w:rsidRPr="008B7FA4">
        <w:rPr>
          <w:noProof/>
        </w:rPr>
        <w:t>, aby poradzić sobie</w:t>
      </w:r>
      <w:r w:rsidR="006B6BC0" w:rsidRPr="008B7FA4">
        <w:rPr>
          <w:noProof/>
        </w:rPr>
        <w:t xml:space="preserve"> z cor</w:t>
      </w:r>
      <w:r w:rsidRPr="008B7FA4">
        <w:rPr>
          <w:noProof/>
        </w:rPr>
        <w:t>az większą liczbą obiektów kosmicznych</w:t>
      </w:r>
      <w:r w:rsidR="006B6BC0" w:rsidRPr="008B7FA4">
        <w:rPr>
          <w:noProof/>
        </w:rPr>
        <w:t xml:space="preserve"> i uży</w:t>
      </w:r>
      <w:r w:rsidRPr="008B7FA4">
        <w:rPr>
          <w:noProof/>
        </w:rPr>
        <w:t>tkowników unijnego komponentu SST. Ponadto ogólny wzrost liczby podmiotów działających</w:t>
      </w:r>
      <w:r w:rsidR="006B6BC0" w:rsidRPr="008B7FA4">
        <w:rPr>
          <w:noProof/>
        </w:rPr>
        <w:t xml:space="preserve"> w prz</w:t>
      </w:r>
      <w:r w:rsidRPr="008B7FA4">
        <w:rPr>
          <w:noProof/>
        </w:rPr>
        <w:t>estrzeni kosmicznej sprawi, że UE będzie zobowiązana zapewnić zmniejszenie wskaźnika fałszywych alarmów (liczby fałszywych ostrzeżeń antykolizyjnych), aby skoncentrować się na najbardziej problematycznych koniunkcjach. UE odniesie się do tych wyzwań technologicznych, podejmując działania</w:t>
      </w:r>
      <w:r w:rsidR="006B6BC0" w:rsidRPr="008B7FA4">
        <w:rPr>
          <w:noProof/>
        </w:rPr>
        <w:t xml:space="preserve"> w obs</w:t>
      </w:r>
      <w:r w:rsidRPr="008B7FA4">
        <w:rPr>
          <w:noProof/>
        </w:rPr>
        <w:t>zarze badań</w:t>
      </w:r>
      <w:r w:rsidR="006B6BC0" w:rsidRPr="008B7FA4">
        <w:rPr>
          <w:noProof/>
        </w:rPr>
        <w:t xml:space="preserve"> i roz</w:t>
      </w:r>
      <w:r w:rsidRPr="008B7FA4">
        <w:rPr>
          <w:noProof/>
        </w:rPr>
        <w:t xml:space="preserve">woju, które mają kluczowe znaczenie dla poprawy jakości oferowanych usług SST. </w:t>
      </w:r>
    </w:p>
    <w:p w:rsidR="00630C8C" w:rsidRPr="008B7FA4" w:rsidRDefault="00630C8C" w:rsidP="009E7D75">
      <w:pPr>
        <w:rPr>
          <w:rFonts w:cs="Times New Roman"/>
          <w:noProof/>
        </w:rPr>
      </w:pPr>
      <w:r w:rsidRPr="008B7FA4">
        <w:rPr>
          <w:noProof/>
        </w:rPr>
        <w:t>Będzie wiązało się to</w:t>
      </w:r>
      <w:r w:rsidR="006B6BC0" w:rsidRPr="008B7FA4">
        <w:rPr>
          <w:noProof/>
        </w:rPr>
        <w:t xml:space="preserve"> z kon</w:t>
      </w:r>
      <w:r w:rsidRPr="008B7FA4">
        <w:rPr>
          <w:noProof/>
        </w:rPr>
        <w:t xml:space="preserve">iecznością </w:t>
      </w:r>
      <w:r w:rsidRPr="008B7FA4">
        <w:rPr>
          <w:b/>
          <w:noProof/>
        </w:rPr>
        <w:t>uruchomienia źródeł finansowania dostępnych na szczeblu Komisji i na szczeblu państw członkowskich</w:t>
      </w:r>
      <w:r w:rsidRPr="008B7FA4">
        <w:rPr>
          <w:noProof/>
        </w:rPr>
        <w:t>,</w:t>
      </w:r>
      <w:r w:rsidRPr="008B7FA4">
        <w:rPr>
          <w:b/>
          <w:noProof/>
        </w:rPr>
        <w:t xml:space="preserve"> </w:t>
      </w:r>
      <w:r w:rsidRPr="008B7FA4">
        <w:rPr>
          <w:noProof/>
        </w:rPr>
        <w:t>uwzględniając</w:t>
      </w:r>
      <w:r w:rsidRPr="008B7FA4">
        <w:rPr>
          <w:b/>
          <w:noProof/>
        </w:rPr>
        <w:t xml:space="preserve"> </w:t>
      </w:r>
      <w:r w:rsidRPr="008B7FA4">
        <w:rPr>
          <w:noProof/>
        </w:rPr>
        <w:t>finansowanie bazujące na synergii lub łączenie funduszy unijnych</w:t>
      </w:r>
      <w:r w:rsidR="006B6BC0" w:rsidRPr="008B7FA4">
        <w:rPr>
          <w:noProof/>
        </w:rPr>
        <w:t xml:space="preserve"> z fun</w:t>
      </w:r>
      <w:r w:rsidRPr="008B7FA4">
        <w:rPr>
          <w:noProof/>
        </w:rPr>
        <w:t>duszami krajowymi. Wspomniane finansowanie może zostać potencjalnie uzupełnione środkami przekazywanymi przez Europejską Agencję Kosmiczną (ESA)</w:t>
      </w:r>
      <w:r w:rsidR="006B6BC0" w:rsidRPr="008B7FA4">
        <w:rPr>
          <w:noProof/>
        </w:rPr>
        <w:t xml:space="preserve"> w cel</w:t>
      </w:r>
      <w:r w:rsidRPr="008B7FA4">
        <w:rPr>
          <w:noProof/>
        </w:rPr>
        <w:t>u wsparcia realizacji polityki UE,</w:t>
      </w:r>
      <w:r w:rsidR="006B6BC0" w:rsidRPr="008B7FA4">
        <w:rPr>
          <w:noProof/>
        </w:rPr>
        <w:t xml:space="preserve"> o ile</w:t>
      </w:r>
      <w:r w:rsidRPr="008B7FA4">
        <w:rPr>
          <w:noProof/>
        </w:rPr>
        <w:t xml:space="preserve"> ochrona interesów UE</w:t>
      </w:r>
      <w:r w:rsidR="006B6BC0" w:rsidRPr="008B7FA4">
        <w:rPr>
          <w:noProof/>
        </w:rPr>
        <w:t xml:space="preserve"> i pań</w:t>
      </w:r>
      <w:r w:rsidRPr="008B7FA4">
        <w:rPr>
          <w:noProof/>
        </w:rPr>
        <w:t>stw członkowskich</w:t>
      </w:r>
      <w:r w:rsidR="006B6BC0" w:rsidRPr="008B7FA4">
        <w:rPr>
          <w:noProof/>
        </w:rPr>
        <w:t xml:space="preserve"> w dzi</w:t>
      </w:r>
      <w:r w:rsidRPr="008B7FA4">
        <w:rPr>
          <w:noProof/>
        </w:rPr>
        <w:t>edzinie bezpieczeństwa zostanie zapewniona.</w:t>
      </w:r>
    </w:p>
    <w:p w:rsidR="00630C8C" w:rsidRPr="008B7FA4" w:rsidRDefault="00630C8C" w:rsidP="009E7D75">
      <w:pPr>
        <w:rPr>
          <w:rFonts w:cs="Times New Roman"/>
          <w:noProof/>
        </w:rPr>
      </w:pPr>
      <w:r w:rsidRPr="008B7FA4">
        <w:rPr>
          <w:noProof/>
        </w:rPr>
        <w:t>Ponadto należy zapewnić synergie między działalnością badawczą wspieraną</w:t>
      </w:r>
      <w:r w:rsidR="006B6BC0" w:rsidRPr="008B7FA4">
        <w:rPr>
          <w:noProof/>
        </w:rPr>
        <w:t xml:space="preserve"> w ram</w:t>
      </w:r>
      <w:r w:rsidRPr="008B7FA4">
        <w:rPr>
          <w:noProof/>
        </w:rPr>
        <w:t>ach programu „Horyzont Europa”</w:t>
      </w:r>
      <w:r w:rsidRPr="008B7FA4">
        <w:rPr>
          <w:rStyle w:val="FootnoteReference"/>
          <w:rFonts w:cs="Times New Roman"/>
          <w:noProof/>
        </w:rPr>
        <w:footnoteReference w:id="18"/>
      </w:r>
      <w:r w:rsidR="006B6BC0" w:rsidRPr="008B7FA4">
        <w:rPr>
          <w:noProof/>
        </w:rPr>
        <w:t xml:space="preserve"> a dzi</w:t>
      </w:r>
      <w:r w:rsidRPr="008B7FA4">
        <w:rPr>
          <w:noProof/>
        </w:rPr>
        <w:t>ałaniami podejmowanymi</w:t>
      </w:r>
      <w:r w:rsidR="006B6BC0" w:rsidRPr="008B7FA4">
        <w:rPr>
          <w:noProof/>
        </w:rPr>
        <w:t xml:space="preserve"> w ram</w:t>
      </w:r>
      <w:r w:rsidRPr="008B7FA4">
        <w:rPr>
          <w:noProof/>
        </w:rPr>
        <w:t xml:space="preserve">ach </w:t>
      </w:r>
      <w:r w:rsidRPr="008B7FA4">
        <w:rPr>
          <w:b/>
          <w:noProof/>
        </w:rPr>
        <w:t>Europejskiego programu rozwoju przemysłu obronnego (EDIDP) oraz Europejskiego Funduszu Obronnego (EFO)</w:t>
      </w:r>
      <w:r w:rsidRPr="008B7FA4">
        <w:rPr>
          <w:noProof/>
        </w:rPr>
        <w:t>.</w:t>
      </w:r>
    </w:p>
    <w:p w:rsidR="002717A6" w:rsidRPr="008B7FA4" w:rsidRDefault="002717A6" w:rsidP="00A72424">
      <w:pPr>
        <w:pStyle w:val="Heading2"/>
        <w:rPr>
          <w:noProof/>
        </w:rPr>
      </w:pPr>
      <w:bookmarkStart w:id="98" w:name="_Toc92283879"/>
      <w:bookmarkStart w:id="99" w:name="_Toc92382174"/>
      <w:r w:rsidRPr="008B7FA4">
        <w:rPr>
          <w:noProof/>
        </w:rPr>
        <w:t>Pełne wykorzystanie unijnego ekosystemu przemysłowego</w:t>
      </w:r>
      <w:bookmarkEnd w:id="98"/>
      <w:bookmarkEnd w:id="99"/>
      <w:r w:rsidRPr="008B7FA4">
        <w:rPr>
          <w:noProof/>
        </w:rPr>
        <w:t xml:space="preserve"> </w:t>
      </w:r>
    </w:p>
    <w:p w:rsidR="00102E57" w:rsidRPr="008B7FA4" w:rsidRDefault="00630C8C" w:rsidP="00C63BC5">
      <w:pPr>
        <w:rPr>
          <w:rFonts w:asciiTheme="minorHAnsi" w:hAnsiTheme="minorHAnsi" w:cs="Times New Roman"/>
          <w:noProof/>
          <w:sz w:val="22"/>
          <w:szCs w:val="24"/>
        </w:rPr>
      </w:pPr>
      <w:r w:rsidRPr="008B7FA4">
        <w:rPr>
          <w:noProof/>
        </w:rPr>
        <w:t>Przemysł UE jest bezpośrednio zaangażowany</w:t>
      </w:r>
      <w:r w:rsidR="006B6BC0" w:rsidRPr="008B7FA4">
        <w:rPr>
          <w:noProof/>
        </w:rPr>
        <w:t xml:space="preserve"> w pro</w:t>
      </w:r>
      <w:r w:rsidRPr="008B7FA4">
        <w:rPr>
          <w:noProof/>
        </w:rPr>
        <w:t>ces rozwijania aktualnych zdolności operacyjnych</w:t>
      </w:r>
      <w:r w:rsidR="006B6BC0" w:rsidRPr="008B7FA4">
        <w:rPr>
          <w:noProof/>
        </w:rPr>
        <w:t xml:space="preserve"> w zak</w:t>
      </w:r>
      <w:r w:rsidRPr="008B7FA4">
        <w:rPr>
          <w:noProof/>
        </w:rPr>
        <w:t>resie SST: przedsiębiorstwa UE biorą udział</w:t>
      </w:r>
      <w:r w:rsidR="006B6BC0" w:rsidRPr="008B7FA4">
        <w:rPr>
          <w:noProof/>
        </w:rPr>
        <w:t xml:space="preserve"> w zap</w:t>
      </w:r>
      <w:r w:rsidRPr="008B7FA4">
        <w:rPr>
          <w:noProof/>
        </w:rPr>
        <w:t>roszeniach do składania ofert publikowanych przez członków unijnego konsorcjum na rzecz SST</w:t>
      </w:r>
      <w:r w:rsidR="006B6BC0" w:rsidRPr="008B7FA4">
        <w:rPr>
          <w:noProof/>
        </w:rPr>
        <w:t>. W rez</w:t>
      </w:r>
      <w:r w:rsidRPr="008B7FA4">
        <w:rPr>
          <w:noProof/>
        </w:rPr>
        <w:t xml:space="preserve">ultacie nawet </w:t>
      </w:r>
      <w:r w:rsidRPr="008B7FA4">
        <w:rPr>
          <w:b/>
          <w:noProof/>
          <w:szCs w:val="24"/>
        </w:rPr>
        <w:t>75</w:t>
      </w:r>
      <w:r w:rsidR="006B6BC0" w:rsidRPr="008B7FA4">
        <w:rPr>
          <w:b/>
          <w:noProof/>
          <w:szCs w:val="24"/>
        </w:rPr>
        <w:t> </w:t>
      </w:r>
      <w:r w:rsidRPr="008B7FA4">
        <w:rPr>
          <w:b/>
          <w:noProof/>
          <w:szCs w:val="24"/>
        </w:rPr>
        <w:t>% funduszy, które UE przekazuje konsorcjum na rzecz SST, trafia następnie do przemysłu UE</w:t>
      </w:r>
      <w:r w:rsidR="006B6BC0" w:rsidRPr="008B7FA4">
        <w:rPr>
          <w:b/>
          <w:noProof/>
          <w:szCs w:val="24"/>
        </w:rPr>
        <w:t xml:space="preserve"> w for</w:t>
      </w:r>
      <w:r w:rsidRPr="008B7FA4">
        <w:rPr>
          <w:b/>
          <w:noProof/>
          <w:szCs w:val="24"/>
        </w:rPr>
        <w:t>mie umów</w:t>
      </w:r>
      <w:r w:rsidR="006B6BC0" w:rsidRPr="008B7FA4">
        <w:rPr>
          <w:b/>
          <w:noProof/>
          <w:szCs w:val="24"/>
        </w:rPr>
        <w:t xml:space="preserve"> o pod</w:t>
      </w:r>
      <w:r w:rsidRPr="008B7FA4">
        <w:rPr>
          <w:b/>
          <w:noProof/>
          <w:szCs w:val="24"/>
        </w:rPr>
        <w:t>wykonawstwo</w:t>
      </w:r>
      <w:r w:rsidRPr="008B7FA4">
        <w:rPr>
          <w:rStyle w:val="FootnoteReference"/>
          <w:rFonts w:cs="Times New Roman"/>
          <w:noProof/>
          <w:szCs w:val="24"/>
        </w:rPr>
        <w:footnoteReference w:id="19"/>
      </w:r>
      <w:r w:rsidRPr="008B7FA4">
        <w:rPr>
          <w:noProof/>
        </w:rPr>
        <w:t>. Ta sytuacja doprowadziła już do utworzenia europejskiego ekosystemu przemysłowego wokół SST, który powinien być</w:t>
      </w:r>
      <w:r w:rsidR="006B6BC0" w:rsidRPr="008B7FA4">
        <w:rPr>
          <w:noProof/>
        </w:rPr>
        <w:t xml:space="preserve"> w sta</w:t>
      </w:r>
      <w:r w:rsidRPr="008B7FA4">
        <w:rPr>
          <w:noProof/>
        </w:rPr>
        <w:t>nie wnieść wkład we wdrażanie unijnego podejścia do STM.</w:t>
      </w:r>
      <w:r w:rsidRPr="008B7FA4">
        <w:rPr>
          <w:rFonts w:asciiTheme="minorHAnsi" w:hAnsiTheme="minorHAnsi"/>
          <w:noProof/>
          <w:sz w:val="22"/>
          <w:szCs w:val="24"/>
        </w:rPr>
        <w:t xml:space="preserve"> </w:t>
      </w:r>
    </w:p>
    <w:p w:rsidR="00630C8C" w:rsidRPr="008B7FA4" w:rsidRDefault="0060424E" w:rsidP="007E4653">
      <w:pPr>
        <w:rPr>
          <w:rFonts w:asciiTheme="minorHAnsi" w:hAnsiTheme="minorHAnsi" w:cs="Times New Roman"/>
          <w:noProof/>
          <w:sz w:val="22"/>
          <w:szCs w:val="24"/>
        </w:rPr>
      </w:pPr>
      <w:r w:rsidRPr="008B7FA4">
        <w:rPr>
          <w:noProof/>
        </w:rPr>
        <w:t xml:space="preserve">Należy </w:t>
      </w:r>
      <w:r w:rsidRPr="008B7FA4">
        <w:rPr>
          <w:b/>
          <w:bCs/>
          <w:noProof/>
          <w:szCs w:val="24"/>
        </w:rPr>
        <w:t>zapewnić pełne wykorzystanie potencjału przemysłu UE, uwzględniając potencjał idei New Space,</w:t>
      </w:r>
      <w:r w:rsidR="006B6BC0" w:rsidRPr="008B7FA4">
        <w:rPr>
          <w:b/>
          <w:bCs/>
          <w:noProof/>
          <w:szCs w:val="24"/>
        </w:rPr>
        <w:t xml:space="preserve"> w opa</w:t>
      </w:r>
      <w:r w:rsidRPr="008B7FA4">
        <w:rPr>
          <w:b/>
          <w:bCs/>
          <w:noProof/>
          <w:szCs w:val="24"/>
        </w:rPr>
        <w:t>rciu</w:t>
      </w:r>
      <w:r w:rsidR="006B6BC0" w:rsidRPr="008B7FA4">
        <w:rPr>
          <w:b/>
          <w:bCs/>
          <w:noProof/>
          <w:szCs w:val="24"/>
        </w:rPr>
        <w:t xml:space="preserve"> o usł</w:t>
      </w:r>
      <w:r w:rsidRPr="008B7FA4">
        <w:rPr>
          <w:b/>
          <w:bCs/>
          <w:noProof/>
          <w:szCs w:val="24"/>
        </w:rPr>
        <w:t>ugi publiczne świadczone</w:t>
      </w:r>
      <w:r w:rsidR="006B6BC0" w:rsidRPr="008B7FA4">
        <w:rPr>
          <w:b/>
          <w:bCs/>
          <w:noProof/>
          <w:szCs w:val="24"/>
        </w:rPr>
        <w:t xml:space="preserve"> w ram</w:t>
      </w:r>
      <w:r w:rsidRPr="008B7FA4">
        <w:rPr>
          <w:b/>
          <w:bCs/>
          <w:noProof/>
          <w:szCs w:val="24"/>
        </w:rPr>
        <w:t>ach unijnego komponentu SST</w:t>
      </w:r>
      <w:r w:rsidRPr="008B7FA4">
        <w:rPr>
          <w:noProof/>
        </w:rPr>
        <w:t>.</w:t>
      </w:r>
      <w:r w:rsidRPr="008B7FA4">
        <w:rPr>
          <w:b/>
          <w:bCs/>
          <w:noProof/>
          <w:szCs w:val="24"/>
        </w:rPr>
        <w:t xml:space="preserve"> </w:t>
      </w:r>
      <w:r w:rsidRPr="008B7FA4">
        <w:rPr>
          <w:noProof/>
        </w:rPr>
        <w:t>Dane SST powinny stanowić realną szansę dla przemysłu UE</w:t>
      </w:r>
      <w:r w:rsidR="006B6BC0" w:rsidRPr="008B7FA4">
        <w:rPr>
          <w:noProof/>
        </w:rPr>
        <w:t xml:space="preserve">. </w:t>
      </w:r>
      <w:r w:rsidR="006B6BC0" w:rsidRPr="008B7FA4">
        <w:rPr>
          <w:b/>
          <w:noProof/>
        </w:rPr>
        <w:t>W</w:t>
      </w:r>
      <w:r w:rsidR="006B6BC0" w:rsidRPr="008B7FA4">
        <w:rPr>
          <w:noProof/>
        </w:rPr>
        <w:t> </w:t>
      </w:r>
      <w:r w:rsidR="006B6BC0" w:rsidRPr="008B7FA4">
        <w:rPr>
          <w:b/>
          <w:noProof/>
        </w:rPr>
        <w:t>roz</w:t>
      </w:r>
      <w:r w:rsidRPr="008B7FA4">
        <w:rPr>
          <w:b/>
          <w:noProof/>
        </w:rPr>
        <w:t>porządzeniu</w:t>
      </w:r>
      <w:r w:rsidR="006B6BC0" w:rsidRPr="008B7FA4">
        <w:rPr>
          <w:b/>
          <w:noProof/>
        </w:rPr>
        <w:t xml:space="preserve"> w spr</w:t>
      </w:r>
      <w:r w:rsidRPr="008B7FA4">
        <w:rPr>
          <w:b/>
          <w:noProof/>
        </w:rPr>
        <w:t>awie przestrzeni kosmicznej przewiduje się opracowanie unijnego katalogu SST</w:t>
      </w:r>
      <w:r w:rsidRPr="008B7FA4">
        <w:rPr>
          <w:rStyle w:val="FootnoteReference"/>
          <w:b/>
          <w:noProof/>
        </w:rPr>
        <w:footnoteReference w:id="20"/>
      </w:r>
      <w:r w:rsidRPr="008B7FA4">
        <w:rPr>
          <w:b/>
          <w:noProof/>
        </w:rPr>
        <w:t xml:space="preserve"> do końca 2024</w:t>
      </w:r>
      <w:r w:rsidR="006B6BC0" w:rsidRPr="008B7FA4">
        <w:rPr>
          <w:b/>
          <w:noProof/>
        </w:rPr>
        <w:t> </w:t>
      </w:r>
      <w:r w:rsidRPr="008B7FA4">
        <w:rPr>
          <w:b/>
          <w:noProof/>
        </w:rPr>
        <w:t>r. przy wykorzystaniu unijnych czujników SST.</w:t>
      </w:r>
      <w:r w:rsidRPr="008B7FA4">
        <w:rPr>
          <w:noProof/>
        </w:rPr>
        <w:t xml:space="preserve"> Wspomniany katalog</w:t>
      </w:r>
      <w:r w:rsidRPr="008B7FA4">
        <w:rPr>
          <w:rStyle w:val="FootnoteReference"/>
          <w:rFonts w:cs="Times New Roman"/>
          <w:noProof/>
        </w:rPr>
        <w:footnoteReference w:id="21"/>
      </w:r>
      <w:r w:rsidRPr="008B7FA4">
        <w:rPr>
          <w:noProof/>
        </w:rPr>
        <w:t xml:space="preserve"> zostanie sporządzony</w:t>
      </w:r>
      <w:r w:rsidR="006B6BC0" w:rsidRPr="008B7FA4">
        <w:rPr>
          <w:noProof/>
        </w:rPr>
        <w:t xml:space="preserve"> w opa</w:t>
      </w:r>
      <w:r w:rsidRPr="008B7FA4">
        <w:rPr>
          <w:noProof/>
        </w:rPr>
        <w:t>rciu</w:t>
      </w:r>
      <w:r w:rsidR="006B6BC0" w:rsidRPr="008B7FA4">
        <w:rPr>
          <w:noProof/>
        </w:rPr>
        <w:t xml:space="preserve"> o rez</w:t>
      </w:r>
      <w:r w:rsidRPr="008B7FA4">
        <w:rPr>
          <w:noProof/>
        </w:rPr>
        <w:t>ultaty działań prowadzonych na przestrzeni ostatnich lat</w:t>
      </w:r>
      <w:r w:rsidR="006B6BC0" w:rsidRPr="008B7FA4">
        <w:rPr>
          <w:noProof/>
        </w:rPr>
        <w:t xml:space="preserve"> w wyn</w:t>
      </w:r>
      <w:r w:rsidRPr="008B7FA4">
        <w:rPr>
          <w:noProof/>
        </w:rPr>
        <w:t>iku ustanowienia unijnej platformy wymiany danych SST (unijnej bazy danych SST</w:t>
      </w:r>
      <w:r w:rsidRPr="008B7FA4">
        <w:rPr>
          <w:rStyle w:val="FootnoteReference"/>
          <w:rFonts w:cs="Times New Roman"/>
          <w:noProof/>
        </w:rPr>
        <w:footnoteReference w:id="22"/>
      </w:r>
      <w:r w:rsidRPr="008B7FA4">
        <w:rPr>
          <w:noProof/>
        </w:rPr>
        <w:t>). Rozwój udoskonalonych zdolności operacyjnych SST oraz zapewnienie dostępności dodatkowych aktywów zlokalizowanych poza terytorium Europy kontynentalnej przełoży się na jeszcze lepszą jakość przyszłego katalogu unijnego. Niektóre elementy tego katalogu</w:t>
      </w:r>
      <w:r w:rsidR="006B6BC0" w:rsidRPr="008B7FA4">
        <w:rPr>
          <w:noProof/>
        </w:rPr>
        <w:t xml:space="preserve"> i pow</w:t>
      </w:r>
      <w:r w:rsidRPr="008B7FA4">
        <w:rPr>
          <w:noProof/>
        </w:rPr>
        <w:t>iązanej</w:t>
      </w:r>
      <w:r w:rsidR="006B6BC0" w:rsidRPr="008B7FA4">
        <w:rPr>
          <w:noProof/>
        </w:rPr>
        <w:t xml:space="preserve"> z nim</w:t>
      </w:r>
      <w:r w:rsidRPr="008B7FA4">
        <w:rPr>
          <w:noProof/>
        </w:rPr>
        <w:t xml:space="preserve"> platformy wymiany danych zostaną udostępnione przedsiębiorstwom unijnym na potrzeby prowadzenia działalności badawczej mającej na celu rozwijanie pochodnych usług STM wnoszących wartość dodaną</w:t>
      </w:r>
      <w:r w:rsidR="006B6BC0" w:rsidRPr="008B7FA4">
        <w:rPr>
          <w:noProof/>
        </w:rPr>
        <w:t xml:space="preserve"> w Eur</w:t>
      </w:r>
      <w:r w:rsidRPr="008B7FA4">
        <w:rPr>
          <w:noProof/>
        </w:rPr>
        <w:t xml:space="preserve">opie i na szczeblu międzynarodowym. </w:t>
      </w:r>
    </w:p>
    <w:p w:rsidR="00630C8C" w:rsidRPr="008B7FA4" w:rsidRDefault="00D10F93" w:rsidP="009E7D75">
      <w:pPr>
        <w:rPr>
          <w:rFonts w:cs="Times New Roman"/>
          <w:noProof/>
        </w:rPr>
      </w:pPr>
      <w:r w:rsidRPr="008B7FA4">
        <w:rPr>
          <w:noProof/>
        </w:rPr>
        <w:t>Ponadto należy zintensyfikować dialog</w:t>
      </w:r>
      <w:r w:rsidR="006B6BC0" w:rsidRPr="008B7FA4">
        <w:rPr>
          <w:noProof/>
        </w:rPr>
        <w:t xml:space="preserve"> z pod</w:t>
      </w:r>
      <w:r w:rsidRPr="008B7FA4">
        <w:rPr>
          <w:noProof/>
        </w:rPr>
        <w:t>miotami działającymi</w:t>
      </w:r>
      <w:r w:rsidR="006B6BC0" w:rsidRPr="008B7FA4">
        <w:rPr>
          <w:noProof/>
        </w:rPr>
        <w:t xml:space="preserve"> w sek</w:t>
      </w:r>
      <w:r w:rsidRPr="008B7FA4">
        <w:rPr>
          <w:noProof/>
        </w:rPr>
        <w:t xml:space="preserve">torach przemysłu unijnego powiązanych z SST. Celem tego dialogu jest </w:t>
      </w:r>
      <w:r w:rsidRPr="008B7FA4">
        <w:rPr>
          <w:b/>
          <w:bCs/>
          <w:noProof/>
        </w:rPr>
        <w:t>pełne wykorzystanie zdolności UE</w:t>
      </w:r>
      <w:r w:rsidRPr="008B7FA4">
        <w:rPr>
          <w:noProof/>
        </w:rPr>
        <w:t xml:space="preserve"> </w:t>
      </w:r>
      <w:r w:rsidRPr="008B7FA4">
        <w:rPr>
          <w:b/>
          <w:bCs/>
          <w:noProof/>
        </w:rPr>
        <w:t>oraz innowacji</w:t>
      </w:r>
      <w:r w:rsidR="006B6BC0" w:rsidRPr="008B7FA4">
        <w:rPr>
          <w:noProof/>
        </w:rPr>
        <w:t xml:space="preserve"> </w:t>
      </w:r>
      <w:r w:rsidR="006B6BC0" w:rsidRPr="008B7FA4">
        <w:rPr>
          <w:b/>
          <w:bCs/>
          <w:noProof/>
        </w:rPr>
        <w:t>w</w:t>
      </w:r>
      <w:r w:rsidR="006B6BC0" w:rsidRPr="008B7FA4">
        <w:rPr>
          <w:noProof/>
        </w:rPr>
        <w:t> </w:t>
      </w:r>
      <w:r w:rsidR="006B6BC0" w:rsidRPr="008B7FA4">
        <w:rPr>
          <w:b/>
          <w:bCs/>
          <w:noProof/>
        </w:rPr>
        <w:t>dzi</w:t>
      </w:r>
      <w:r w:rsidRPr="008B7FA4">
        <w:rPr>
          <w:b/>
          <w:bCs/>
          <w:noProof/>
        </w:rPr>
        <w:t>edzinie SST</w:t>
      </w:r>
      <w:r w:rsidRPr="008B7FA4">
        <w:rPr>
          <w:noProof/>
        </w:rPr>
        <w:t>. Środki</w:t>
      </w:r>
      <w:r w:rsidR="006B6BC0" w:rsidRPr="008B7FA4">
        <w:rPr>
          <w:noProof/>
        </w:rPr>
        <w:t xml:space="preserve"> w tym</w:t>
      </w:r>
      <w:r w:rsidRPr="008B7FA4">
        <w:rPr>
          <w:noProof/>
        </w:rPr>
        <w:t xml:space="preserve"> zakresie powinny przyjmować formę inicjowanych przez unijne partnerstwo ds. SST działań służących zapewnieniu możliwości czerpania korzyści wynikających</w:t>
      </w:r>
      <w:r w:rsidR="006B6BC0" w:rsidRPr="008B7FA4">
        <w:rPr>
          <w:noProof/>
        </w:rPr>
        <w:t xml:space="preserve"> z pot</w:t>
      </w:r>
      <w:r w:rsidRPr="008B7FA4">
        <w:rPr>
          <w:noProof/>
        </w:rPr>
        <w:t xml:space="preserve">encjału innowacyjnego przemysłu UE. Konkretne środki mogłyby obejmować na przykład regularne organizowanie </w:t>
      </w:r>
      <w:r w:rsidRPr="008B7FA4">
        <w:rPr>
          <w:b/>
          <w:bCs/>
          <w:noProof/>
        </w:rPr>
        <w:t>dni przemysłu</w:t>
      </w:r>
      <w:r w:rsidRPr="008B7FA4">
        <w:rPr>
          <w:noProof/>
        </w:rPr>
        <w:t>,</w:t>
      </w:r>
      <w:r w:rsidR="006B6BC0" w:rsidRPr="008B7FA4">
        <w:rPr>
          <w:noProof/>
        </w:rPr>
        <w:t xml:space="preserve"> w tra</w:t>
      </w:r>
      <w:r w:rsidRPr="008B7FA4">
        <w:rPr>
          <w:noProof/>
        </w:rPr>
        <w:t>kcie których przedsiębiorstwa mogą prezentować nowe technologie</w:t>
      </w:r>
      <w:r w:rsidR="006B6BC0" w:rsidRPr="008B7FA4">
        <w:rPr>
          <w:noProof/>
        </w:rPr>
        <w:t xml:space="preserve"> i inn</w:t>
      </w:r>
      <w:r w:rsidRPr="008B7FA4">
        <w:rPr>
          <w:noProof/>
        </w:rPr>
        <w:t>owacje, lub organizowanie specjalnych hakatonów dla MŚP</w:t>
      </w:r>
      <w:r w:rsidR="006B6BC0" w:rsidRPr="008B7FA4">
        <w:rPr>
          <w:noProof/>
        </w:rPr>
        <w:t xml:space="preserve"> i prz</w:t>
      </w:r>
      <w:r w:rsidRPr="008B7FA4">
        <w:rPr>
          <w:noProof/>
        </w:rPr>
        <w:t>edsiębiorstw typu start-up, publikowanie zaproszeń do składania wniosków, przyznawanie dotacji</w:t>
      </w:r>
      <w:r w:rsidR="006B6BC0" w:rsidRPr="008B7FA4">
        <w:rPr>
          <w:noProof/>
        </w:rPr>
        <w:t xml:space="preserve"> i nag</w:t>
      </w:r>
      <w:r w:rsidRPr="008B7FA4">
        <w:rPr>
          <w:noProof/>
        </w:rPr>
        <w:t>ród itp., podobnie jak ma to miejsce</w:t>
      </w:r>
      <w:r w:rsidR="006B6BC0" w:rsidRPr="008B7FA4">
        <w:rPr>
          <w:noProof/>
        </w:rPr>
        <w:t xml:space="preserve"> w ram</w:t>
      </w:r>
      <w:r w:rsidRPr="008B7FA4">
        <w:rPr>
          <w:noProof/>
        </w:rPr>
        <w:t xml:space="preserve">ach </w:t>
      </w:r>
      <w:r w:rsidRPr="008B7FA4">
        <w:rPr>
          <w:b/>
          <w:bCs/>
          <w:noProof/>
        </w:rPr>
        <w:t>inicjatywy CASSINI</w:t>
      </w:r>
      <w:r w:rsidRPr="008B7FA4">
        <w:rPr>
          <w:rStyle w:val="FootnoteReference"/>
          <w:rFonts w:cs="Times New Roman"/>
          <w:noProof/>
        </w:rPr>
        <w:footnoteReference w:id="23"/>
      </w:r>
      <w:r w:rsidRPr="008B7FA4">
        <w:rPr>
          <w:noProof/>
        </w:rPr>
        <w:t xml:space="preserve">. </w:t>
      </w:r>
    </w:p>
    <w:p w:rsidR="00630C8C" w:rsidRPr="008B7FA4" w:rsidRDefault="00630C8C" w:rsidP="009E7D75">
      <w:pPr>
        <w:rPr>
          <w:rFonts w:cs="Times New Roman"/>
          <w:noProof/>
        </w:rPr>
      </w:pPr>
      <w:r w:rsidRPr="008B7FA4">
        <w:rPr>
          <w:noProof/>
        </w:rPr>
        <w:t>Powyższe środki – poza stymulowaniem innowacji – zapewnią unijnemu partnerstwu ds. SST dostęp do najnowszych zdobyczy technologicznych.</w:t>
      </w:r>
    </w:p>
    <w:p w:rsidR="00D5626C" w:rsidRPr="008B7FA4" w:rsidRDefault="0051534B" w:rsidP="00FB41CA">
      <w:pPr>
        <w:pStyle w:val="Action"/>
        <w:keepNext/>
        <w:keepLines/>
        <w:shd w:val="pct10" w:color="auto" w:fill="auto"/>
        <w:spacing w:before="0" w:line="360" w:lineRule="auto"/>
        <w:rPr>
          <w:noProof/>
          <w:u w:val="none"/>
        </w:rPr>
      </w:pPr>
      <w:r w:rsidRPr="008B7FA4">
        <w:rPr>
          <w:noProof/>
        </w:rPr>
        <w:t>Działanie nr</w:t>
      </w:r>
      <w:r w:rsidR="006B6BC0" w:rsidRPr="008B7FA4">
        <w:rPr>
          <w:noProof/>
        </w:rPr>
        <w:t> </w:t>
      </w:r>
      <w:r w:rsidRPr="008B7FA4">
        <w:rPr>
          <w:noProof/>
        </w:rPr>
        <w:t>2:</w:t>
      </w:r>
      <w:r w:rsidRPr="008B7FA4">
        <w:rPr>
          <w:noProof/>
          <w:u w:val="none"/>
        </w:rPr>
        <w:t xml:space="preserve"> </w:t>
      </w:r>
      <w:r w:rsidRPr="008B7FA4">
        <w:rPr>
          <w:b w:val="0"/>
          <w:noProof/>
          <w:u w:val="none"/>
        </w:rPr>
        <w:t>Korzystając ze wsparcia unijnego partnerstwa ds. SST, Komisja:</w:t>
      </w:r>
    </w:p>
    <w:p w:rsidR="00D5626C" w:rsidRPr="008B7FA4" w:rsidRDefault="00C3600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u w:val="single"/>
        </w:rPr>
      </w:pPr>
      <w:r w:rsidRPr="008B7FA4">
        <w:rPr>
          <w:noProof/>
          <w:szCs w:val="24"/>
          <w:u w:val="single"/>
        </w:rPr>
        <w:t>a) zwiększy wydajność istniejących usług:</w:t>
      </w:r>
    </w:p>
    <w:p w:rsidR="00D5626C" w:rsidRPr="008B7FA4" w:rsidRDefault="00D5626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sidRPr="008B7FA4">
        <w:rPr>
          <w:noProof/>
        </w:rPr>
        <w:t>– do połowy 2023</w:t>
      </w:r>
      <w:r w:rsidR="006B6BC0" w:rsidRPr="008B7FA4">
        <w:rPr>
          <w:noProof/>
        </w:rPr>
        <w:t> </w:t>
      </w:r>
      <w:r w:rsidRPr="008B7FA4">
        <w:rPr>
          <w:noProof/>
        </w:rPr>
        <w:t>r. (etap przygotowawczy) przeprowadzi analizę architektury</w:t>
      </w:r>
      <w:r w:rsidR="006B6BC0" w:rsidRPr="008B7FA4">
        <w:rPr>
          <w:noProof/>
        </w:rPr>
        <w:t xml:space="preserve"> w cel</w:t>
      </w:r>
      <w:r w:rsidRPr="008B7FA4">
        <w:rPr>
          <w:noProof/>
        </w:rPr>
        <w:t>u oszacowania przyszłych potrzeb</w:t>
      </w:r>
      <w:r w:rsidR="006B6BC0" w:rsidRPr="008B7FA4">
        <w:rPr>
          <w:noProof/>
        </w:rPr>
        <w:t xml:space="preserve"> w zak</w:t>
      </w:r>
      <w:r w:rsidRPr="008B7FA4">
        <w:rPr>
          <w:noProof/>
        </w:rPr>
        <w:t>resie STM,</w:t>
      </w:r>
      <w:r w:rsidR="006B6BC0" w:rsidRPr="008B7FA4">
        <w:rPr>
          <w:noProof/>
        </w:rPr>
        <w:t xml:space="preserve"> w ram</w:t>
      </w:r>
      <w:r w:rsidRPr="008B7FA4">
        <w:rPr>
          <w:noProof/>
        </w:rPr>
        <w:t>ach której zidentyfikuje m.in. zasoby niezbędne do zapewnienia większej wydajności</w:t>
      </w:r>
      <w:r w:rsidR="006B6BC0" w:rsidRPr="008B7FA4">
        <w:rPr>
          <w:noProof/>
        </w:rPr>
        <w:t xml:space="preserve"> i sku</w:t>
      </w:r>
      <w:r w:rsidRPr="008B7FA4">
        <w:rPr>
          <w:noProof/>
        </w:rPr>
        <w:t>teczności unijnego systemu SST zdolnego do wykrywania wszystkich obiektów</w:t>
      </w:r>
      <w:r w:rsidR="006B6BC0" w:rsidRPr="008B7FA4">
        <w:rPr>
          <w:noProof/>
        </w:rPr>
        <w:t xml:space="preserve"> o śre</w:t>
      </w:r>
      <w:r w:rsidRPr="008B7FA4">
        <w:rPr>
          <w:noProof/>
        </w:rPr>
        <w:t>dnicy większej niż 10 cm oraz</w:t>
      </w:r>
    </w:p>
    <w:p w:rsidR="00D5626C" w:rsidRPr="008B7FA4" w:rsidRDefault="00D5626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sidRPr="008B7FA4">
        <w:rPr>
          <w:noProof/>
        </w:rPr>
        <w:t>– przystąpi do rozmieszczania dodatkowych aktywów do</w:t>
      </w:r>
      <w:r w:rsidR="006B6BC0" w:rsidRPr="008B7FA4">
        <w:rPr>
          <w:noProof/>
        </w:rPr>
        <w:t> </w:t>
      </w:r>
      <w:r w:rsidRPr="008B7FA4">
        <w:rPr>
          <w:noProof/>
        </w:rPr>
        <w:t>2025</w:t>
      </w:r>
      <w:r w:rsidR="006B6BC0" w:rsidRPr="008B7FA4">
        <w:rPr>
          <w:noProof/>
        </w:rPr>
        <w:t> </w:t>
      </w:r>
      <w:r w:rsidRPr="008B7FA4">
        <w:rPr>
          <w:noProof/>
        </w:rPr>
        <w:t>r. (etap wdrażania);</w:t>
      </w:r>
    </w:p>
    <w:p w:rsidR="00490C50" w:rsidRPr="008B7FA4" w:rsidRDefault="00C3600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u w:val="single"/>
        </w:rPr>
      </w:pPr>
      <w:r w:rsidRPr="008B7FA4">
        <w:rPr>
          <w:noProof/>
          <w:szCs w:val="24"/>
          <w:u w:val="single"/>
        </w:rPr>
        <w:t>b) opracuje nowe usługi:</w:t>
      </w:r>
    </w:p>
    <w:p w:rsidR="00013C87" w:rsidRPr="008B7FA4" w:rsidRDefault="00D5626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sidRPr="008B7FA4">
        <w:rPr>
          <w:noProof/>
        </w:rPr>
        <w:t>– do połowy 2023</w:t>
      </w:r>
      <w:r w:rsidR="006B6BC0" w:rsidRPr="008B7FA4">
        <w:rPr>
          <w:noProof/>
        </w:rPr>
        <w:t> </w:t>
      </w:r>
      <w:r w:rsidRPr="008B7FA4">
        <w:rPr>
          <w:noProof/>
        </w:rPr>
        <w:t xml:space="preserve">r. zaproponuje nowe usługi mające na celu przezwyciężenie nadchodzących wyzwań związanych z STM; </w:t>
      </w:r>
    </w:p>
    <w:p w:rsidR="00D5626C" w:rsidRPr="008B7FA4" w:rsidRDefault="00D5626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sidRPr="008B7FA4">
        <w:rPr>
          <w:noProof/>
        </w:rPr>
        <w:t>– do</w:t>
      </w:r>
      <w:r w:rsidR="006B6BC0" w:rsidRPr="008B7FA4">
        <w:rPr>
          <w:noProof/>
        </w:rPr>
        <w:t> </w:t>
      </w:r>
      <w:r w:rsidRPr="008B7FA4">
        <w:rPr>
          <w:noProof/>
        </w:rPr>
        <w:t>2025</w:t>
      </w:r>
      <w:r w:rsidR="006B6BC0" w:rsidRPr="008B7FA4">
        <w:rPr>
          <w:noProof/>
        </w:rPr>
        <w:t> </w:t>
      </w:r>
      <w:r w:rsidRPr="008B7FA4">
        <w:rPr>
          <w:noProof/>
        </w:rPr>
        <w:t>r. zatwierdzi nowe usługi, które zaczną być wykorzystywane</w:t>
      </w:r>
      <w:r w:rsidR="006B6BC0" w:rsidRPr="008B7FA4">
        <w:rPr>
          <w:noProof/>
        </w:rPr>
        <w:t xml:space="preserve"> w pra</w:t>
      </w:r>
      <w:r w:rsidRPr="008B7FA4">
        <w:rPr>
          <w:noProof/>
        </w:rPr>
        <w:t>ktyce;</w:t>
      </w:r>
    </w:p>
    <w:p w:rsidR="0051534B" w:rsidRPr="008B7FA4" w:rsidRDefault="00C3600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u w:val="single"/>
        </w:rPr>
      </w:pPr>
      <w:r w:rsidRPr="008B7FA4">
        <w:rPr>
          <w:noProof/>
        </w:rPr>
        <w:t xml:space="preserve">c) </w:t>
      </w:r>
      <w:r w:rsidRPr="008B7FA4">
        <w:rPr>
          <w:noProof/>
          <w:szCs w:val="24"/>
          <w:u w:val="single"/>
        </w:rPr>
        <w:t>będzie wspierała rozwój technologiczny:</w:t>
      </w:r>
    </w:p>
    <w:p w:rsidR="00C3600C" w:rsidRPr="008B7FA4" w:rsidRDefault="00D5626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sidRPr="008B7FA4">
        <w:rPr>
          <w:noProof/>
        </w:rPr>
        <w:t>– do końca 2023</w:t>
      </w:r>
      <w:r w:rsidR="006B6BC0" w:rsidRPr="008B7FA4">
        <w:rPr>
          <w:noProof/>
        </w:rPr>
        <w:t> </w:t>
      </w:r>
      <w:r w:rsidRPr="008B7FA4">
        <w:rPr>
          <w:noProof/>
        </w:rPr>
        <w:t>r. będzie współpracowała</w:t>
      </w:r>
      <w:r w:rsidR="006B6BC0" w:rsidRPr="008B7FA4">
        <w:rPr>
          <w:noProof/>
        </w:rPr>
        <w:t xml:space="preserve"> z prz</w:t>
      </w:r>
      <w:r w:rsidRPr="008B7FA4">
        <w:rPr>
          <w:noProof/>
        </w:rPr>
        <w:t>emysłem UE na rzecz ustanowienia forum poświęconego</w:t>
      </w:r>
      <w:r w:rsidR="006B6BC0" w:rsidRPr="008B7FA4">
        <w:rPr>
          <w:noProof/>
        </w:rPr>
        <w:t xml:space="preserve"> w szc</w:t>
      </w:r>
      <w:r w:rsidRPr="008B7FA4">
        <w:rPr>
          <w:noProof/>
        </w:rPr>
        <w:t>zególności wzajemnemu inspirowaniu się innowacyjnymi rozwiązaniami technologicznymi;</w:t>
      </w:r>
    </w:p>
    <w:p w:rsidR="00D5626C" w:rsidRPr="008B7FA4" w:rsidRDefault="00C3600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sidRPr="008B7FA4">
        <w:rPr>
          <w:noProof/>
        </w:rPr>
        <w:t>– do końca 2023</w:t>
      </w:r>
      <w:r w:rsidR="006B6BC0" w:rsidRPr="008B7FA4">
        <w:rPr>
          <w:noProof/>
        </w:rPr>
        <w:t> </w:t>
      </w:r>
      <w:r w:rsidRPr="008B7FA4">
        <w:rPr>
          <w:noProof/>
        </w:rPr>
        <w:t>r. przygotuje szczegółowy plan badań naukowych ukierunkowany na nowe technologie oraz</w:t>
      </w:r>
    </w:p>
    <w:p w:rsidR="00C3600C" w:rsidRPr="008B7FA4" w:rsidRDefault="00D5626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sidRPr="008B7FA4">
        <w:rPr>
          <w:noProof/>
        </w:rPr>
        <w:t>– do końca 2025</w:t>
      </w:r>
      <w:r w:rsidR="006B6BC0" w:rsidRPr="008B7FA4">
        <w:rPr>
          <w:noProof/>
        </w:rPr>
        <w:t> </w:t>
      </w:r>
      <w:r w:rsidRPr="008B7FA4">
        <w:rPr>
          <w:noProof/>
        </w:rPr>
        <w:t>r. oceni postępy</w:t>
      </w:r>
      <w:r w:rsidR="006B6BC0" w:rsidRPr="008B7FA4">
        <w:rPr>
          <w:noProof/>
        </w:rPr>
        <w:t xml:space="preserve"> w rea</w:t>
      </w:r>
      <w:r w:rsidRPr="008B7FA4">
        <w:rPr>
          <w:noProof/>
        </w:rPr>
        <w:t xml:space="preserve">lizacji procesu jego wdrażania. </w:t>
      </w:r>
    </w:p>
    <w:p w:rsidR="00630C8C" w:rsidRPr="008B7FA4" w:rsidRDefault="00630C8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b/>
          <w:noProof/>
          <w:szCs w:val="24"/>
          <w:u w:val="single"/>
        </w:rPr>
      </w:pPr>
      <w:r w:rsidRPr="008B7FA4">
        <w:rPr>
          <w:b/>
          <w:noProof/>
          <w:szCs w:val="24"/>
          <w:u w:val="single"/>
        </w:rPr>
        <w:t>Działanie nr</w:t>
      </w:r>
      <w:r w:rsidR="006B6BC0" w:rsidRPr="008B7FA4">
        <w:rPr>
          <w:b/>
          <w:noProof/>
          <w:szCs w:val="24"/>
          <w:u w:val="single"/>
        </w:rPr>
        <w:t> </w:t>
      </w:r>
      <w:r w:rsidRPr="008B7FA4">
        <w:rPr>
          <w:b/>
          <w:noProof/>
          <w:szCs w:val="24"/>
          <w:u w:val="single"/>
        </w:rPr>
        <w:t>3:</w:t>
      </w:r>
      <w:r w:rsidRPr="008B7FA4">
        <w:rPr>
          <w:noProof/>
        </w:rPr>
        <w:t xml:space="preserve"> Komisja podejmie określone działania</w:t>
      </w:r>
      <w:r w:rsidR="006B6BC0" w:rsidRPr="008B7FA4">
        <w:rPr>
          <w:noProof/>
        </w:rPr>
        <w:t xml:space="preserve"> w ram</w:t>
      </w:r>
      <w:r w:rsidRPr="008B7FA4">
        <w:rPr>
          <w:noProof/>
        </w:rPr>
        <w:t xml:space="preserve">ach inicjatywy CASSINI, aby zapewnić pełne wykorzystanie potencjału innowacyjnego przedsiębiorstw typu start-up. </w:t>
      </w:r>
    </w:p>
    <w:p w:rsidR="00DC6740" w:rsidRPr="008B7FA4" w:rsidRDefault="00DC6740"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b/>
          <w:noProof/>
          <w:szCs w:val="24"/>
          <w:u w:val="single"/>
        </w:rPr>
      </w:pPr>
      <w:r w:rsidRPr="008B7FA4">
        <w:rPr>
          <w:b/>
          <w:noProof/>
          <w:szCs w:val="24"/>
          <w:u w:val="single"/>
        </w:rPr>
        <w:t>Działanie nr</w:t>
      </w:r>
      <w:r w:rsidR="006B6BC0" w:rsidRPr="008B7FA4">
        <w:rPr>
          <w:b/>
          <w:noProof/>
          <w:szCs w:val="24"/>
          <w:u w:val="single"/>
        </w:rPr>
        <w:t> </w:t>
      </w:r>
      <w:r w:rsidRPr="008B7FA4">
        <w:rPr>
          <w:b/>
          <w:noProof/>
          <w:szCs w:val="24"/>
          <w:u w:val="single"/>
        </w:rPr>
        <w:t>4:</w:t>
      </w:r>
      <w:r w:rsidRPr="008B7FA4">
        <w:rPr>
          <w:noProof/>
        </w:rPr>
        <w:t xml:space="preserve"> Działając we współpracy</w:t>
      </w:r>
      <w:r w:rsidR="006B6BC0" w:rsidRPr="008B7FA4">
        <w:rPr>
          <w:noProof/>
        </w:rPr>
        <w:t xml:space="preserve"> z uni</w:t>
      </w:r>
      <w:r w:rsidRPr="008B7FA4">
        <w:rPr>
          <w:noProof/>
        </w:rPr>
        <w:t>jnym partnerstwem ds. SST, Komisja udostępni przemysłowi:</w:t>
      </w:r>
    </w:p>
    <w:p w:rsidR="00013C87" w:rsidRPr="008B7FA4" w:rsidRDefault="00DC6740"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sidRPr="008B7FA4">
        <w:rPr>
          <w:noProof/>
        </w:rPr>
        <w:t>– elementy platformy wymiany danych do</w:t>
      </w:r>
      <w:r w:rsidR="006B6BC0" w:rsidRPr="008B7FA4">
        <w:rPr>
          <w:noProof/>
        </w:rPr>
        <w:t> </w:t>
      </w:r>
      <w:r w:rsidRPr="008B7FA4">
        <w:rPr>
          <w:noProof/>
        </w:rPr>
        <w:t>2023</w:t>
      </w:r>
      <w:r w:rsidR="006B6BC0" w:rsidRPr="008B7FA4">
        <w:rPr>
          <w:noProof/>
        </w:rPr>
        <w:t> </w:t>
      </w:r>
      <w:r w:rsidRPr="008B7FA4">
        <w:rPr>
          <w:noProof/>
        </w:rPr>
        <w:t>r. oraz</w:t>
      </w:r>
    </w:p>
    <w:p w:rsidR="00D640A3" w:rsidRPr="008B7FA4" w:rsidRDefault="00013C87"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sidRPr="008B7FA4">
        <w:rPr>
          <w:noProof/>
        </w:rPr>
        <w:t>– elementy przyszłego unijnego katalogu SST do</w:t>
      </w:r>
      <w:r w:rsidR="006B6BC0" w:rsidRPr="008B7FA4">
        <w:rPr>
          <w:noProof/>
        </w:rPr>
        <w:t> </w:t>
      </w:r>
      <w:r w:rsidRPr="008B7FA4">
        <w:rPr>
          <w:noProof/>
        </w:rPr>
        <w:t>2025</w:t>
      </w:r>
      <w:r w:rsidR="006B6BC0" w:rsidRPr="008B7FA4">
        <w:rPr>
          <w:noProof/>
        </w:rPr>
        <w:t> </w:t>
      </w:r>
      <w:r w:rsidRPr="008B7FA4">
        <w:rPr>
          <w:noProof/>
        </w:rPr>
        <w:t>r.</w:t>
      </w:r>
    </w:p>
    <w:p w:rsidR="00DE5F65" w:rsidRPr="008B7FA4" w:rsidRDefault="00DE5F65" w:rsidP="00AB0CD5">
      <w:pPr>
        <w:rPr>
          <w:noProof/>
        </w:rPr>
      </w:pPr>
      <w:bookmarkStart w:id="100" w:name="_Toc92283880"/>
      <w:bookmarkStart w:id="101" w:name="_Toc92382175"/>
    </w:p>
    <w:p w:rsidR="00630C8C" w:rsidRPr="008B7FA4" w:rsidRDefault="00630C8C" w:rsidP="009E7D75">
      <w:pPr>
        <w:pStyle w:val="Heading1"/>
        <w:spacing w:before="0"/>
        <w:rPr>
          <w:noProof/>
        </w:rPr>
      </w:pPr>
      <w:r w:rsidRPr="008B7FA4">
        <w:rPr>
          <w:noProof/>
        </w:rPr>
        <w:t>TWORZENIE WARUNKÓW SPRZYJAJĄCYCH ROZWOJOWI ASPEKTÓW REGULACYJNYCH STM</w:t>
      </w:r>
      <w:bookmarkEnd w:id="100"/>
      <w:bookmarkEnd w:id="101"/>
      <w:r w:rsidRPr="008B7FA4">
        <w:rPr>
          <w:noProof/>
        </w:rPr>
        <w:t xml:space="preserve"> </w:t>
      </w:r>
    </w:p>
    <w:p w:rsidR="00630C8C" w:rsidRPr="008B7FA4" w:rsidRDefault="00630C8C" w:rsidP="009E7D75">
      <w:pPr>
        <w:rPr>
          <w:rFonts w:eastAsia="Calibri"/>
          <w:noProof/>
          <w:szCs w:val="24"/>
        </w:rPr>
      </w:pPr>
      <w:r w:rsidRPr="008B7FA4">
        <w:rPr>
          <w:noProof/>
        </w:rPr>
        <w:t>Unijne podejście do STM odnosi się również do aspektów regulacyjnych STM. Będzie ono obejmowało środki</w:t>
      </w:r>
      <w:r w:rsidR="006B6BC0" w:rsidRPr="008B7FA4">
        <w:rPr>
          <w:noProof/>
        </w:rPr>
        <w:t xml:space="preserve"> o cha</w:t>
      </w:r>
      <w:r w:rsidRPr="008B7FA4">
        <w:rPr>
          <w:noProof/>
        </w:rPr>
        <w:t>rakterze niewiążącym (normy</w:t>
      </w:r>
      <w:r w:rsidR="006B6BC0" w:rsidRPr="008B7FA4">
        <w:rPr>
          <w:noProof/>
        </w:rPr>
        <w:t xml:space="preserve"> i wyt</w:t>
      </w:r>
      <w:r w:rsidRPr="008B7FA4">
        <w:rPr>
          <w:noProof/>
        </w:rPr>
        <w:t>yczne), jak również wiążące zobowiązania (prawodawstwo) ustanowione na szczeblu UE.</w:t>
      </w:r>
    </w:p>
    <w:p w:rsidR="00630C8C" w:rsidRPr="008B7FA4" w:rsidRDefault="00630C8C" w:rsidP="00A72424">
      <w:pPr>
        <w:pStyle w:val="Heading2"/>
        <w:rPr>
          <w:noProof/>
        </w:rPr>
      </w:pPr>
      <w:bookmarkStart w:id="102" w:name="_Toc92283881"/>
      <w:bookmarkStart w:id="103" w:name="_Toc92382176"/>
      <w:r w:rsidRPr="008B7FA4">
        <w:rPr>
          <w:noProof/>
        </w:rPr>
        <w:t>Monitorowanie procesu opracowywania norm</w:t>
      </w:r>
      <w:r w:rsidR="006B6BC0" w:rsidRPr="008B7FA4">
        <w:rPr>
          <w:noProof/>
        </w:rPr>
        <w:t xml:space="preserve"> i wyt</w:t>
      </w:r>
      <w:r w:rsidRPr="008B7FA4">
        <w:rPr>
          <w:noProof/>
        </w:rPr>
        <w:t>ycznych</w:t>
      </w:r>
      <w:r w:rsidR="006B6BC0" w:rsidRPr="008B7FA4">
        <w:rPr>
          <w:noProof/>
        </w:rPr>
        <w:t xml:space="preserve"> w zak</w:t>
      </w:r>
      <w:r w:rsidRPr="008B7FA4">
        <w:rPr>
          <w:noProof/>
        </w:rPr>
        <w:t>resie STM</w:t>
      </w:r>
      <w:bookmarkEnd w:id="102"/>
      <w:r w:rsidRPr="008B7FA4">
        <w:rPr>
          <w:noProof/>
        </w:rPr>
        <w:t xml:space="preserve"> </w:t>
      </w:r>
      <w:bookmarkEnd w:id="103"/>
    </w:p>
    <w:p w:rsidR="00C70006" w:rsidRPr="008B7FA4" w:rsidRDefault="00630C8C" w:rsidP="009E7D75">
      <w:pPr>
        <w:rPr>
          <w:rFonts w:cs="Times New Roman"/>
          <w:noProof/>
        </w:rPr>
      </w:pPr>
      <w:r w:rsidRPr="008B7FA4">
        <w:rPr>
          <w:noProof/>
        </w:rPr>
        <w:t xml:space="preserve">Ustanowienie </w:t>
      </w:r>
      <w:r w:rsidRPr="008B7FA4">
        <w:rPr>
          <w:b/>
          <w:bCs/>
          <w:noProof/>
        </w:rPr>
        <w:t>norm wiąże się</w:t>
      </w:r>
      <w:r w:rsidR="006B6BC0" w:rsidRPr="008B7FA4">
        <w:rPr>
          <w:b/>
          <w:bCs/>
          <w:noProof/>
        </w:rPr>
        <w:t xml:space="preserve"> z sze</w:t>
      </w:r>
      <w:r w:rsidRPr="008B7FA4">
        <w:rPr>
          <w:b/>
          <w:bCs/>
          <w:noProof/>
        </w:rPr>
        <w:t>rokimi korzyściami</w:t>
      </w:r>
      <w:r w:rsidRPr="008B7FA4">
        <w:rPr>
          <w:noProof/>
        </w:rPr>
        <w:t xml:space="preserve"> dla europejskiego przemysłu</w:t>
      </w:r>
      <w:r w:rsidRPr="008B7FA4">
        <w:rPr>
          <w:rFonts w:cs="Times New Roman"/>
          <w:noProof/>
          <w:vertAlign w:val="superscript"/>
        </w:rPr>
        <w:footnoteReference w:id="24"/>
      </w:r>
      <w:r w:rsidRPr="008B7FA4">
        <w:rPr>
          <w:noProof/>
        </w:rPr>
        <w:t>. Celem norm</w:t>
      </w:r>
      <w:r w:rsidR="006B6BC0" w:rsidRPr="008B7FA4">
        <w:rPr>
          <w:noProof/>
        </w:rPr>
        <w:t xml:space="preserve"> w zak</w:t>
      </w:r>
      <w:r w:rsidRPr="008B7FA4">
        <w:rPr>
          <w:noProof/>
        </w:rPr>
        <w:t>resie STM opracowywanych przez zainteresowane strony</w:t>
      </w:r>
      <w:r w:rsidR="006B6BC0" w:rsidRPr="008B7FA4">
        <w:rPr>
          <w:noProof/>
        </w:rPr>
        <w:t xml:space="preserve"> w sek</w:t>
      </w:r>
      <w:r w:rsidRPr="008B7FA4">
        <w:rPr>
          <w:noProof/>
        </w:rPr>
        <w:t>torze kosmicznym jest zapewnienie interoperacyjności</w:t>
      </w:r>
      <w:r w:rsidR="006B6BC0" w:rsidRPr="008B7FA4">
        <w:rPr>
          <w:noProof/>
        </w:rPr>
        <w:t xml:space="preserve"> i bez</w:t>
      </w:r>
      <w:r w:rsidRPr="008B7FA4">
        <w:rPr>
          <w:noProof/>
        </w:rPr>
        <w:t>pieczeństwa, zmniejszenie kosztów</w:t>
      </w:r>
      <w:r w:rsidR="006B6BC0" w:rsidRPr="008B7FA4">
        <w:rPr>
          <w:noProof/>
        </w:rPr>
        <w:t xml:space="preserve"> i stw</w:t>
      </w:r>
      <w:r w:rsidRPr="008B7FA4">
        <w:rPr>
          <w:noProof/>
        </w:rPr>
        <w:t>orzenie warunków ułatwiających manewrowanie</w:t>
      </w:r>
      <w:r w:rsidR="006B6BC0" w:rsidRPr="008B7FA4">
        <w:rPr>
          <w:noProof/>
        </w:rPr>
        <w:t xml:space="preserve"> w prz</w:t>
      </w:r>
      <w:r w:rsidRPr="008B7FA4">
        <w:rPr>
          <w:noProof/>
        </w:rPr>
        <w:t>estrzeni kosmicznej. Dzięki normom producentom łatwiej jest ograniczać koszty, antycypować wymogi techniczne oraz zwiększać produktywność, innowacyjność</w:t>
      </w:r>
      <w:r w:rsidR="006B6BC0" w:rsidRPr="008B7FA4">
        <w:rPr>
          <w:noProof/>
        </w:rPr>
        <w:t xml:space="preserve"> i wyd</w:t>
      </w:r>
      <w:r w:rsidRPr="008B7FA4">
        <w:rPr>
          <w:noProof/>
        </w:rPr>
        <w:t xml:space="preserve">ajność. </w:t>
      </w:r>
    </w:p>
    <w:p w:rsidR="00630C8C" w:rsidRPr="008B7FA4" w:rsidRDefault="00630C8C" w:rsidP="009E7D75">
      <w:pPr>
        <w:rPr>
          <w:rFonts w:cs="Times New Roman"/>
          <w:noProof/>
        </w:rPr>
      </w:pPr>
      <w:r w:rsidRPr="008B7FA4">
        <w:rPr>
          <w:noProof/>
        </w:rPr>
        <w:t>Sektor kosmiczny jest wysoce techniczny</w:t>
      </w:r>
      <w:r w:rsidR="006B6BC0" w:rsidRPr="008B7FA4">
        <w:rPr>
          <w:noProof/>
        </w:rPr>
        <w:t xml:space="preserve"> i wym</w:t>
      </w:r>
      <w:r w:rsidRPr="008B7FA4">
        <w:rPr>
          <w:noProof/>
        </w:rPr>
        <w:t>aga korzystania</w:t>
      </w:r>
      <w:r w:rsidR="006B6BC0" w:rsidRPr="008B7FA4">
        <w:rPr>
          <w:noProof/>
        </w:rPr>
        <w:t xml:space="preserve"> z nor</w:t>
      </w:r>
      <w:r w:rsidRPr="008B7FA4">
        <w:rPr>
          <w:noProof/>
        </w:rPr>
        <w:t>m na każdym etapie łańcucha wartości. Odpowiedzialność za przyjmowanie norm związanych</w:t>
      </w:r>
      <w:r w:rsidR="006B6BC0" w:rsidRPr="008B7FA4">
        <w:rPr>
          <w:noProof/>
        </w:rPr>
        <w:t xml:space="preserve"> z prz</w:t>
      </w:r>
      <w:r w:rsidRPr="008B7FA4">
        <w:rPr>
          <w:noProof/>
        </w:rPr>
        <w:t>estrzenią kosmiczną spoczywa na krajowych, europejskich</w:t>
      </w:r>
      <w:r w:rsidR="006B6BC0" w:rsidRPr="008B7FA4">
        <w:rPr>
          <w:noProof/>
        </w:rPr>
        <w:t xml:space="preserve"> i mię</w:t>
      </w:r>
      <w:r w:rsidRPr="008B7FA4">
        <w:rPr>
          <w:noProof/>
        </w:rPr>
        <w:t>dzynarodowych organizacjach normalizacyjnych. Inne agencje techniczne ONZ odgrywają istotną rolę</w:t>
      </w:r>
      <w:r w:rsidR="006B6BC0" w:rsidRPr="008B7FA4">
        <w:rPr>
          <w:noProof/>
        </w:rPr>
        <w:t xml:space="preserve"> w pro</w:t>
      </w:r>
      <w:r w:rsidRPr="008B7FA4">
        <w:rPr>
          <w:noProof/>
        </w:rPr>
        <w:t xml:space="preserve">cesie przyjmowania globalnych norm sektorowych. </w:t>
      </w:r>
      <w:r w:rsidRPr="008B7FA4">
        <w:rPr>
          <w:b/>
          <w:bCs/>
          <w:noProof/>
        </w:rPr>
        <w:t>Poza tradycyjnymi organizacjami normalizacyjnymi</w:t>
      </w:r>
      <w:r w:rsidRPr="008B7FA4">
        <w:rPr>
          <w:rStyle w:val="FootnoteReference"/>
          <w:rFonts w:cs="Times New Roman"/>
          <w:b/>
          <w:bCs/>
          <w:noProof/>
        </w:rPr>
        <w:footnoteReference w:id="25"/>
      </w:r>
      <w:r w:rsidRPr="008B7FA4">
        <w:rPr>
          <w:noProof/>
        </w:rPr>
        <w:t>,</w:t>
      </w:r>
      <w:r w:rsidR="006B6BC0" w:rsidRPr="008B7FA4">
        <w:rPr>
          <w:noProof/>
        </w:rPr>
        <w:t xml:space="preserve"> w sek</w:t>
      </w:r>
      <w:r w:rsidRPr="008B7FA4">
        <w:rPr>
          <w:noProof/>
        </w:rPr>
        <w:t xml:space="preserve">torze kosmicznym działa </w:t>
      </w:r>
      <w:r w:rsidRPr="008B7FA4">
        <w:rPr>
          <w:b/>
          <w:bCs/>
          <w:noProof/>
        </w:rPr>
        <w:t>szereg szczególnego rodzaju podmiotów</w:t>
      </w:r>
      <w:r w:rsidRPr="008B7FA4">
        <w:rPr>
          <w:rStyle w:val="FootnoteReference"/>
          <w:rFonts w:cs="Times New Roman"/>
          <w:noProof/>
        </w:rPr>
        <w:footnoteReference w:id="26"/>
      </w:r>
      <w:r w:rsidRPr="008B7FA4">
        <w:rPr>
          <w:noProof/>
        </w:rPr>
        <w:t>. Wytyczne związane</w:t>
      </w:r>
      <w:r w:rsidR="006B6BC0" w:rsidRPr="008B7FA4">
        <w:rPr>
          <w:noProof/>
        </w:rPr>
        <w:t xml:space="preserve"> z prz</w:t>
      </w:r>
      <w:r w:rsidRPr="008B7FA4">
        <w:rPr>
          <w:noProof/>
        </w:rPr>
        <w:t>estrzenią kosmiczną są również opracowywane</w:t>
      </w:r>
      <w:r w:rsidR="006B6BC0" w:rsidRPr="008B7FA4">
        <w:rPr>
          <w:noProof/>
        </w:rPr>
        <w:t xml:space="preserve"> w ram</w:t>
      </w:r>
      <w:r w:rsidRPr="008B7FA4">
        <w:rPr>
          <w:noProof/>
        </w:rPr>
        <w:t>ach ONZ – najnowszym przykładem takich wytycznych są „wytyczne dotyczące trwałego zrównoważonego charakteru”</w:t>
      </w:r>
      <w:r w:rsidRPr="008B7FA4">
        <w:rPr>
          <w:rFonts w:cs="Times New Roman"/>
          <w:noProof/>
          <w:vertAlign w:val="superscript"/>
        </w:rPr>
        <w:footnoteReference w:id="27"/>
      </w:r>
      <w:r w:rsidRPr="008B7FA4">
        <w:rPr>
          <w:noProof/>
        </w:rPr>
        <w:t>. Normy</w:t>
      </w:r>
      <w:r w:rsidR="006B6BC0" w:rsidRPr="008B7FA4">
        <w:rPr>
          <w:noProof/>
        </w:rPr>
        <w:t xml:space="preserve"> i wyt</w:t>
      </w:r>
      <w:r w:rsidRPr="008B7FA4">
        <w:rPr>
          <w:noProof/>
        </w:rPr>
        <w:t>yczne</w:t>
      </w:r>
      <w:r w:rsidR="006B6BC0" w:rsidRPr="008B7FA4">
        <w:rPr>
          <w:noProof/>
        </w:rPr>
        <w:t xml:space="preserve"> w zak</w:t>
      </w:r>
      <w:r w:rsidRPr="008B7FA4">
        <w:rPr>
          <w:noProof/>
        </w:rPr>
        <w:t>resie STM wywierają bezpośredni wpływ na możliwość korzystania</w:t>
      </w:r>
      <w:r w:rsidR="006B6BC0" w:rsidRPr="008B7FA4">
        <w:rPr>
          <w:noProof/>
        </w:rPr>
        <w:t xml:space="preserve"> z prz</w:t>
      </w:r>
      <w:r w:rsidRPr="008B7FA4">
        <w:rPr>
          <w:noProof/>
        </w:rPr>
        <w:t>estrzeni kosmicznej</w:t>
      </w:r>
      <w:r w:rsidR="006B6BC0" w:rsidRPr="008B7FA4">
        <w:rPr>
          <w:noProof/>
        </w:rPr>
        <w:t xml:space="preserve"> w bez</w:t>
      </w:r>
      <w:r w:rsidRPr="008B7FA4">
        <w:rPr>
          <w:noProof/>
        </w:rPr>
        <w:t>pieczny</w:t>
      </w:r>
      <w:r w:rsidR="006B6BC0" w:rsidRPr="008B7FA4">
        <w:rPr>
          <w:noProof/>
        </w:rPr>
        <w:t xml:space="preserve"> i zró</w:t>
      </w:r>
      <w:r w:rsidRPr="008B7FA4">
        <w:rPr>
          <w:noProof/>
        </w:rPr>
        <w:t xml:space="preserve">wnoważony sposób. </w:t>
      </w:r>
    </w:p>
    <w:p w:rsidR="00630C8C" w:rsidRPr="008B7FA4" w:rsidRDefault="00630C8C" w:rsidP="009E7D75">
      <w:pPr>
        <w:rPr>
          <w:rFonts w:eastAsia="Times New Roman" w:cs="Times New Roman"/>
          <w:noProof/>
          <w:szCs w:val="24"/>
        </w:rPr>
      </w:pPr>
      <w:r w:rsidRPr="008B7FA4">
        <w:rPr>
          <w:noProof/>
        </w:rPr>
        <w:t xml:space="preserve">UE powinna wspierać działania przyczyniające się do wypracowania wspólnego unijnego podejścia do norm, ponieważ wywierają one wymierny wpływ na proces kształtowania przyszłego globalnego systemu STM. UE planuje stworzyć </w:t>
      </w:r>
      <w:r w:rsidRPr="008B7FA4">
        <w:rPr>
          <w:b/>
          <w:noProof/>
        </w:rPr>
        <w:t>specjalne forum</w:t>
      </w:r>
      <w:r w:rsidRPr="008B7FA4">
        <w:rPr>
          <w:noProof/>
        </w:rPr>
        <w:t xml:space="preserve"> służące zapewnieniu wypracowania holistycznego unijnego podejścia do STM na międzynarodowych forach normalizacyjnych</w:t>
      </w:r>
      <w:r w:rsidR="006B6BC0" w:rsidRPr="008B7FA4">
        <w:rPr>
          <w:noProof/>
        </w:rPr>
        <w:t xml:space="preserve"> w ści</w:t>
      </w:r>
      <w:r w:rsidRPr="008B7FA4">
        <w:rPr>
          <w:noProof/>
        </w:rPr>
        <w:t>słej współpracy</w:t>
      </w:r>
      <w:r w:rsidR="006B6BC0" w:rsidRPr="008B7FA4">
        <w:rPr>
          <w:noProof/>
        </w:rPr>
        <w:t xml:space="preserve"> z pań</w:t>
      </w:r>
      <w:r w:rsidRPr="008B7FA4">
        <w:rPr>
          <w:noProof/>
        </w:rPr>
        <w:t>stwami członkowskimi. Wszystkie inne podmioty na szczeblu UE – takie jak unijne partnerstwo ds. SST, przemysł UE itp. – będą miały możliwość dołączenia do tego forum.</w:t>
      </w:r>
    </w:p>
    <w:p w:rsidR="00630C8C" w:rsidRPr="008B7FA4" w:rsidRDefault="00630C8C" w:rsidP="00A72424">
      <w:pPr>
        <w:pStyle w:val="Heading2"/>
        <w:rPr>
          <w:rStyle w:val="Strong"/>
          <w:rFonts w:eastAsiaTheme="minorHAnsi" w:cstheme="minorBidi"/>
          <w:b/>
          <w:bCs w:val="0"/>
          <w:noProof/>
          <w:sz w:val="24"/>
          <w:szCs w:val="22"/>
        </w:rPr>
      </w:pPr>
      <w:bookmarkStart w:id="104" w:name="_Toc92283882"/>
      <w:bookmarkStart w:id="105" w:name="_Toc92382177"/>
      <w:r w:rsidRPr="008B7FA4">
        <w:rPr>
          <w:rStyle w:val="Strong"/>
          <w:b/>
          <w:bCs w:val="0"/>
          <w:noProof/>
        </w:rPr>
        <w:t>Opracowywanie</w:t>
      </w:r>
      <w:r w:rsidR="006B6BC0" w:rsidRPr="008B7FA4">
        <w:rPr>
          <w:rStyle w:val="Strong"/>
          <w:b/>
          <w:bCs w:val="0"/>
          <w:noProof/>
        </w:rPr>
        <w:t xml:space="preserve"> i pro</w:t>
      </w:r>
      <w:r w:rsidRPr="008B7FA4">
        <w:rPr>
          <w:rStyle w:val="Strong"/>
          <w:b/>
          <w:bCs w:val="0"/>
          <w:noProof/>
        </w:rPr>
        <w:t>pagowanie norm</w:t>
      </w:r>
      <w:r w:rsidR="006B6BC0" w:rsidRPr="008B7FA4">
        <w:rPr>
          <w:rStyle w:val="Strong"/>
          <w:b/>
          <w:bCs w:val="0"/>
          <w:noProof/>
        </w:rPr>
        <w:t xml:space="preserve"> i wyt</w:t>
      </w:r>
      <w:r w:rsidRPr="008B7FA4">
        <w:rPr>
          <w:rStyle w:val="Strong"/>
          <w:b/>
          <w:bCs w:val="0"/>
          <w:noProof/>
        </w:rPr>
        <w:t>ycznych</w:t>
      </w:r>
      <w:r w:rsidR="006B6BC0" w:rsidRPr="008B7FA4">
        <w:rPr>
          <w:rStyle w:val="Strong"/>
          <w:b/>
          <w:bCs w:val="0"/>
          <w:noProof/>
        </w:rPr>
        <w:t xml:space="preserve"> w zak</w:t>
      </w:r>
      <w:r w:rsidRPr="008B7FA4">
        <w:rPr>
          <w:rStyle w:val="Strong"/>
          <w:b/>
          <w:bCs w:val="0"/>
          <w:noProof/>
        </w:rPr>
        <w:t>resie STM</w:t>
      </w:r>
      <w:bookmarkEnd w:id="104"/>
      <w:bookmarkEnd w:id="105"/>
    </w:p>
    <w:p w:rsidR="00630C8C" w:rsidRPr="008B7FA4" w:rsidRDefault="00630C8C" w:rsidP="009E7D75">
      <w:pPr>
        <w:rPr>
          <w:rFonts w:cs="Times New Roman"/>
          <w:noProof/>
        </w:rPr>
      </w:pPr>
      <w:r w:rsidRPr="008B7FA4">
        <w:rPr>
          <w:noProof/>
        </w:rPr>
        <w:t>UE powinna wspierać proces opracowywania norm</w:t>
      </w:r>
      <w:r w:rsidR="006B6BC0" w:rsidRPr="008B7FA4">
        <w:rPr>
          <w:noProof/>
        </w:rPr>
        <w:t xml:space="preserve"> i wyt</w:t>
      </w:r>
      <w:r w:rsidRPr="008B7FA4">
        <w:rPr>
          <w:noProof/>
        </w:rPr>
        <w:t>ycznych</w:t>
      </w:r>
      <w:r w:rsidR="006B6BC0" w:rsidRPr="008B7FA4">
        <w:rPr>
          <w:noProof/>
        </w:rPr>
        <w:t xml:space="preserve"> w zak</w:t>
      </w:r>
      <w:r w:rsidRPr="008B7FA4">
        <w:rPr>
          <w:noProof/>
        </w:rPr>
        <w:t>resie STM, które służą zagwarantowaniu możliwości korzystania</w:t>
      </w:r>
      <w:r w:rsidR="006B6BC0" w:rsidRPr="008B7FA4">
        <w:rPr>
          <w:noProof/>
        </w:rPr>
        <w:t xml:space="preserve"> z prz</w:t>
      </w:r>
      <w:r w:rsidRPr="008B7FA4">
        <w:rPr>
          <w:noProof/>
        </w:rPr>
        <w:t>estrzeni kosmicznej</w:t>
      </w:r>
      <w:r w:rsidR="006B6BC0" w:rsidRPr="008B7FA4">
        <w:rPr>
          <w:noProof/>
        </w:rPr>
        <w:t xml:space="preserve"> w bez</w:t>
      </w:r>
      <w:r w:rsidRPr="008B7FA4">
        <w:rPr>
          <w:noProof/>
        </w:rPr>
        <w:t>pieczny</w:t>
      </w:r>
      <w:r w:rsidR="006B6BC0" w:rsidRPr="008B7FA4">
        <w:rPr>
          <w:noProof/>
        </w:rPr>
        <w:t xml:space="preserve"> i zró</w:t>
      </w:r>
      <w:r w:rsidRPr="008B7FA4">
        <w:rPr>
          <w:noProof/>
        </w:rPr>
        <w:t xml:space="preserve">wnoważony sposób. </w:t>
      </w:r>
    </w:p>
    <w:p w:rsidR="00630C8C" w:rsidRPr="008B7FA4" w:rsidRDefault="00630C8C" w:rsidP="009E7D75">
      <w:pPr>
        <w:rPr>
          <w:rFonts w:cs="Times New Roman"/>
          <w:noProof/>
        </w:rPr>
      </w:pPr>
      <w:r w:rsidRPr="008B7FA4">
        <w:rPr>
          <w:noProof/>
        </w:rPr>
        <w:t xml:space="preserve">Z tego względu UE powinna </w:t>
      </w:r>
      <w:r w:rsidRPr="008B7FA4">
        <w:rPr>
          <w:b/>
          <w:bCs/>
          <w:noProof/>
        </w:rPr>
        <w:t>pełnić rolę lidera</w:t>
      </w:r>
      <w:r w:rsidR="006B6BC0" w:rsidRPr="008B7FA4">
        <w:rPr>
          <w:b/>
          <w:bCs/>
          <w:noProof/>
        </w:rPr>
        <w:t xml:space="preserve"> w pro</w:t>
      </w:r>
      <w:r w:rsidRPr="008B7FA4">
        <w:rPr>
          <w:b/>
          <w:bCs/>
          <w:noProof/>
        </w:rPr>
        <w:t>cesie opracowywania wytycznych</w:t>
      </w:r>
      <w:r w:rsidR="006B6BC0" w:rsidRPr="008B7FA4">
        <w:rPr>
          <w:b/>
          <w:bCs/>
          <w:noProof/>
        </w:rPr>
        <w:t xml:space="preserve"> i nor</w:t>
      </w:r>
      <w:r w:rsidRPr="008B7FA4">
        <w:rPr>
          <w:b/>
          <w:bCs/>
          <w:noProof/>
        </w:rPr>
        <w:t>m</w:t>
      </w:r>
      <w:r w:rsidR="006B6BC0" w:rsidRPr="008B7FA4">
        <w:rPr>
          <w:b/>
          <w:bCs/>
          <w:noProof/>
        </w:rPr>
        <w:t xml:space="preserve"> w zak</w:t>
      </w:r>
      <w:r w:rsidRPr="008B7FA4">
        <w:rPr>
          <w:b/>
          <w:bCs/>
          <w:noProof/>
        </w:rPr>
        <w:t>resie STM</w:t>
      </w:r>
      <w:r w:rsidRPr="008B7FA4">
        <w:rPr>
          <w:noProof/>
        </w:rPr>
        <w:t xml:space="preserve">. UE powinna </w:t>
      </w:r>
      <w:r w:rsidRPr="008B7FA4">
        <w:rPr>
          <w:b/>
          <w:bCs/>
          <w:noProof/>
        </w:rPr>
        <w:t>aktywnie</w:t>
      </w:r>
      <w:r w:rsidRPr="008B7FA4">
        <w:rPr>
          <w:noProof/>
        </w:rPr>
        <w:t xml:space="preserve"> dążyć do zapewnienia opracowania norm międzynarodowych</w:t>
      </w:r>
      <w:r w:rsidR="006B6BC0" w:rsidRPr="008B7FA4">
        <w:rPr>
          <w:noProof/>
        </w:rPr>
        <w:t xml:space="preserve"> w prz</w:t>
      </w:r>
      <w:r w:rsidRPr="008B7FA4">
        <w:rPr>
          <w:noProof/>
        </w:rPr>
        <w:t>ypadkach,</w:t>
      </w:r>
      <w:r w:rsidR="006B6BC0" w:rsidRPr="008B7FA4">
        <w:rPr>
          <w:noProof/>
        </w:rPr>
        <w:t xml:space="preserve"> w któ</w:t>
      </w:r>
      <w:r w:rsidRPr="008B7FA4">
        <w:rPr>
          <w:noProof/>
        </w:rPr>
        <w:t>rych będzie to wykonalne</w:t>
      </w:r>
      <w:r w:rsidR="006B6BC0" w:rsidRPr="008B7FA4">
        <w:rPr>
          <w:noProof/>
        </w:rPr>
        <w:t xml:space="preserve"> i kon</w:t>
      </w:r>
      <w:r w:rsidRPr="008B7FA4">
        <w:rPr>
          <w:noProof/>
        </w:rPr>
        <w:t>ieczne,</w:t>
      </w:r>
      <w:r w:rsidR="006B6BC0" w:rsidRPr="008B7FA4">
        <w:rPr>
          <w:noProof/>
        </w:rPr>
        <w:t xml:space="preserve"> a tak</w:t>
      </w:r>
      <w:r w:rsidRPr="008B7FA4">
        <w:rPr>
          <w:noProof/>
        </w:rPr>
        <w:t>że –</w:t>
      </w:r>
      <w:r w:rsidR="006B6BC0" w:rsidRPr="008B7FA4">
        <w:rPr>
          <w:noProof/>
        </w:rPr>
        <w:t xml:space="preserve"> w sto</w:t>
      </w:r>
      <w:r w:rsidRPr="008B7FA4">
        <w:rPr>
          <w:noProof/>
        </w:rPr>
        <w:t>sownych przypadkach – opracowywać własne normy na szczeblu unijnym. Unia powinna ponadto priorytetowo traktować normy</w:t>
      </w:r>
      <w:r w:rsidR="006B6BC0" w:rsidRPr="008B7FA4">
        <w:rPr>
          <w:noProof/>
        </w:rPr>
        <w:t xml:space="preserve"> i wyt</w:t>
      </w:r>
      <w:r w:rsidRPr="008B7FA4">
        <w:rPr>
          <w:noProof/>
        </w:rPr>
        <w:t xml:space="preserve">yczne wywierające największy wpływ na rzeczywistość oraz </w:t>
      </w:r>
      <w:r w:rsidRPr="008B7FA4">
        <w:rPr>
          <w:b/>
          <w:bCs/>
          <w:noProof/>
        </w:rPr>
        <w:t>propagować ich wdrażanie</w:t>
      </w:r>
      <w:r w:rsidRPr="008B7FA4">
        <w:rPr>
          <w:noProof/>
        </w:rPr>
        <w:t xml:space="preserve"> za pośrednictwem zestawu narzędzi</w:t>
      </w:r>
      <w:r w:rsidR="006B6BC0" w:rsidRPr="008B7FA4">
        <w:rPr>
          <w:noProof/>
        </w:rPr>
        <w:t xml:space="preserve"> i zal</w:t>
      </w:r>
      <w:r w:rsidRPr="008B7FA4">
        <w:rPr>
          <w:noProof/>
        </w:rPr>
        <w:t>eceń.</w:t>
      </w:r>
    </w:p>
    <w:p w:rsidR="00630C8C" w:rsidRPr="008B7FA4" w:rsidRDefault="00630C8C" w:rsidP="009E7D75">
      <w:pPr>
        <w:rPr>
          <w:rFonts w:cs="Times New Roman"/>
          <w:noProof/>
        </w:rPr>
      </w:pPr>
      <w:r w:rsidRPr="008B7FA4">
        <w:rPr>
          <w:noProof/>
        </w:rPr>
        <w:t xml:space="preserve">Komisja zamierza </w:t>
      </w:r>
      <w:r w:rsidRPr="008B7FA4">
        <w:rPr>
          <w:b/>
          <w:noProof/>
        </w:rPr>
        <w:t>opracować zestaw narzędzi</w:t>
      </w:r>
      <w:r w:rsidR="006B6BC0" w:rsidRPr="008B7FA4">
        <w:rPr>
          <w:noProof/>
        </w:rPr>
        <w:t xml:space="preserve"> w opa</w:t>
      </w:r>
      <w:r w:rsidRPr="008B7FA4">
        <w:rPr>
          <w:noProof/>
        </w:rPr>
        <w:t>rciu</w:t>
      </w:r>
      <w:r w:rsidR="006B6BC0" w:rsidRPr="008B7FA4">
        <w:rPr>
          <w:noProof/>
        </w:rPr>
        <w:t xml:space="preserve"> o zid</w:t>
      </w:r>
      <w:r w:rsidRPr="008B7FA4">
        <w:rPr>
          <w:noProof/>
        </w:rPr>
        <w:t>entyfikowane normy</w:t>
      </w:r>
      <w:r w:rsidR="006B6BC0" w:rsidRPr="008B7FA4">
        <w:rPr>
          <w:noProof/>
        </w:rPr>
        <w:t xml:space="preserve"> i wyt</w:t>
      </w:r>
      <w:r w:rsidRPr="008B7FA4">
        <w:rPr>
          <w:noProof/>
        </w:rPr>
        <w:t>yczne</w:t>
      </w:r>
      <w:r w:rsidR="006B6BC0" w:rsidRPr="008B7FA4">
        <w:rPr>
          <w:noProof/>
        </w:rPr>
        <w:t xml:space="preserve"> w zak</w:t>
      </w:r>
      <w:r w:rsidRPr="008B7FA4">
        <w:rPr>
          <w:noProof/>
        </w:rPr>
        <w:t>resie STM, który mógłby posłużyć państwom członkowskim jako wsparcie przy udzielaniu koncesji na świadczenie usług przez operatorów satelitów na ich terytorium. Celem tego zestawu narzędzi jest zagwarantowanie możliwości identyfikowania</w:t>
      </w:r>
      <w:r w:rsidR="006B6BC0" w:rsidRPr="008B7FA4">
        <w:rPr>
          <w:noProof/>
        </w:rPr>
        <w:t xml:space="preserve"> i ogr</w:t>
      </w:r>
      <w:r w:rsidRPr="008B7FA4">
        <w:rPr>
          <w:noProof/>
        </w:rPr>
        <w:t>aniczania ryzyka związanego</w:t>
      </w:r>
      <w:r w:rsidR="006B6BC0" w:rsidRPr="008B7FA4">
        <w:rPr>
          <w:noProof/>
        </w:rPr>
        <w:t xml:space="preserve"> z ruc</w:t>
      </w:r>
      <w:r w:rsidRPr="008B7FA4">
        <w:rPr>
          <w:noProof/>
        </w:rPr>
        <w:t>hem</w:t>
      </w:r>
      <w:r w:rsidR="006B6BC0" w:rsidRPr="008B7FA4">
        <w:rPr>
          <w:noProof/>
        </w:rPr>
        <w:t xml:space="preserve"> w prz</w:t>
      </w:r>
      <w:r w:rsidRPr="008B7FA4">
        <w:rPr>
          <w:noProof/>
        </w:rPr>
        <w:t>estrzeni kosmicznej (w szczególności jeżeli chodzi</w:t>
      </w:r>
      <w:r w:rsidR="006B6BC0" w:rsidRPr="008B7FA4">
        <w:rPr>
          <w:noProof/>
        </w:rPr>
        <w:t xml:space="preserve"> o int</w:t>
      </w:r>
      <w:r w:rsidRPr="008B7FA4">
        <w:rPr>
          <w:noProof/>
        </w:rPr>
        <w:t>erferencję</w:t>
      </w:r>
      <w:r w:rsidR="006B6BC0" w:rsidRPr="008B7FA4">
        <w:rPr>
          <w:noProof/>
        </w:rPr>
        <w:t xml:space="preserve"> i zap</w:t>
      </w:r>
      <w:r w:rsidRPr="008B7FA4">
        <w:rPr>
          <w:noProof/>
        </w:rPr>
        <w:t>obieganie kolizjom). Powyższe podejście byłoby zbliżone do podejścia przyjętego</w:t>
      </w:r>
      <w:r w:rsidR="006B6BC0" w:rsidRPr="008B7FA4">
        <w:rPr>
          <w:noProof/>
        </w:rPr>
        <w:t xml:space="preserve"> w odn</w:t>
      </w:r>
      <w:r w:rsidRPr="008B7FA4">
        <w:rPr>
          <w:noProof/>
        </w:rPr>
        <w:t>iesieniu do unijnego zestawu narzędzi na potrzeby cyberbezpieczeństwa sieci 5G</w:t>
      </w:r>
      <w:r w:rsidRPr="008B7FA4">
        <w:rPr>
          <w:rFonts w:cs="Times New Roman"/>
          <w:noProof/>
          <w:vertAlign w:val="superscript"/>
        </w:rPr>
        <w:footnoteReference w:id="28"/>
      </w:r>
      <w:r w:rsidRPr="008B7FA4">
        <w:rPr>
          <w:noProof/>
        </w:rPr>
        <w:t>.</w:t>
      </w:r>
    </w:p>
    <w:p w:rsidR="00630C8C" w:rsidRPr="008B7FA4" w:rsidRDefault="00630C8C" w:rsidP="009E7D75">
      <w:pPr>
        <w:rPr>
          <w:rFonts w:cs="Times New Roman"/>
          <w:noProof/>
        </w:rPr>
      </w:pPr>
      <w:r w:rsidRPr="008B7FA4">
        <w:rPr>
          <w:noProof/>
        </w:rPr>
        <w:t>Współpracując blisko</w:t>
      </w:r>
      <w:r w:rsidR="006B6BC0" w:rsidRPr="008B7FA4">
        <w:rPr>
          <w:noProof/>
        </w:rPr>
        <w:t xml:space="preserve"> z pań</w:t>
      </w:r>
      <w:r w:rsidRPr="008B7FA4">
        <w:rPr>
          <w:noProof/>
        </w:rPr>
        <w:t>stwami członkowskimi</w:t>
      </w:r>
      <w:r w:rsidR="006B6BC0" w:rsidRPr="008B7FA4">
        <w:rPr>
          <w:noProof/>
        </w:rPr>
        <w:t xml:space="preserve"> w dzi</w:t>
      </w:r>
      <w:r w:rsidRPr="008B7FA4">
        <w:rPr>
          <w:noProof/>
        </w:rPr>
        <w:t>edzinie normalizacji, Komisja mogłaby wspierać procedurę wyboru norm</w:t>
      </w:r>
      <w:r w:rsidR="006B6BC0" w:rsidRPr="008B7FA4">
        <w:rPr>
          <w:noProof/>
        </w:rPr>
        <w:t xml:space="preserve"> i wyt</w:t>
      </w:r>
      <w:r w:rsidRPr="008B7FA4">
        <w:rPr>
          <w:noProof/>
        </w:rPr>
        <w:t>ycznych</w:t>
      </w:r>
      <w:r w:rsidR="006B6BC0" w:rsidRPr="008B7FA4">
        <w:rPr>
          <w:noProof/>
        </w:rPr>
        <w:t xml:space="preserve"> w zak</w:t>
      </w:r>
      <w:r w:rsidRPr="008B7FA4">
        <w:rPr>
          <w:noProof/>
        </w:rPr>
        <w:t>resie STM, które powinny być propagowane na szczeblu UE.</w:t>
      </w:r>
      <w:r w:rsidR="006B6BC0" w:rsidRPr="008B7FA4">
        <w:rPr>
          <w:noProof/>
        </w:rPr>
        <w:t xml:space="preserve"> </w:t>
      </w:r>
      <w:r w:rsidRPr="008B7FA4">
        <w:rPr>
          <w:noProof/>
        </w:rPr>
        <w:t>Normy te mogłyby dotyczyć np. wykorzystywania urządzeń aktywnych do usprawnienia procesu śledzenia satelitów, ostrzegania przed wszelkimi poważnymi incydentami lub sytuacjami,</w:t>
      </w:r>
      <w:r w:rsidR="006B6BC0" w:rsidRPr="008B7FA4">
        <w:rPr>
          <w:noProof/>
        </w:rPr>
        <w:t xml:space="preserve"> w któ</w:t>
      </w:r>
      <w:r w:rsidRPr="008B7FA4">
        <w:rPr>
          <w:noProof/>
        </w:rPr>
        <w:t>rych dochodzi do wejścia obiektów</w:t>
      </w:r>
      <w:r w:rsidR="006B6BC0" w:rsidRPr="008B7FA4">
        <w:rPr>
          <w:noProof/>
        </w:rPr>
        <w:t xml:space="preserve"> w atm</w:t>
      </w:r>
      <w:r w:rsidRPr="008B7FA4">
        <w:rPr>
          <w:noProof/>
        </w:rPr>
        <w:t>osferę ziemską,</w:t>
      </w:r>
      <w:r w:rsidR="006B6BC0" w:rsidRPr="008B7FA4">
        <w:rPr>
          <w:noProof/>
        </w:rPr>
        <w:t xml:space="preserve"> a tak</w:t>
      </w:r>
      <w:r w:rsidRPr="008B7FA4">
        <w:rPr>
          <w:noProof/>
        </w:rPr>
        <w:t xml:space="preserve">że opracowywania wytycznych dotyczących szczególnych przypadków związanych z STM takich jak satelity lub konstelacje niepoddające się żadnego rodzaju manewrom. </w:t>
      </w:r>
    </w:p>
    <w:p w:rsidR="00630C8C" w:rsidRPr="008B7FA4" w:rsidRDefault="00630C8C" w:rsidP="00A72424">
      <w:pPr>
        <w:pStyle w:val="Heading2"/>
        <w:rPr>
          <w:noProof/>
        </w:rPr>
      </w:pPr>
      <w:bookmarkStart w:id="106" w:name="_Toc92283883"/>
      <w:bookmarkStart w:id="107" w:name="_Toc92382178"/>
      <w:r w:rsidRPr="008B7FA4">
        <w:rPr>
          <w:noProof/>
        </w:rPr>
        <w:t>Zachęcanie do opracowywania norm</w:t>
      </w:r>
      <w:r w:rsidR="006B6BC0" w:rsidRPr="008B7FA4">
        <w:rPr>
          <w:noProof/>
        </w:rPr>
        <w:t xml:space="preserve"> i wyt</w:t>
      </w:r>
      <w:r w:rsidRPr="008B7FA4">
        <w:rPr>
          <w:noProof/>
        </w:rPr>
        <w:t>ycznych</w:t>
      </w:r>
      <w:r w:rsidR="006B6BC0" w:rsidRPr="008B7FA4">
        <w:rPr>
          <w:noProof/>
        </w:rPr>
        <w:t xml:space="preserve"> w zak</w:t>
      </w:r>
      <w:r w:rsidRPr="008B7FA4">
        <w:rPr>
          <w:noProof/>
        </w:rPr>
        <w:t>resie STM</w:t>
      </w:r>
      <w:bookmarkEnd w:id="106"/>
      <w:bookmarkEnd w:id="107"/>
      <w:r w:rsidRPr="008B7FA4">
        <w:rPr>
          <w:noProof/>
        </w:rPr>
        <w:t xml:space="preserve"> </w:t>
      </w:r>
    </w:p>
    <w:p w:rsidR="00630C8C" w:rsidRPr="008B7FA4" w:rsidRDefault="00630C8C" w:rsidP="009E7D75">
      <w:pPr>
        <w:rPr>
          <w:rFonts w:eastAsia="Calibri"/>
          <w:noProof/>
          <w:szCs w:val="24"/>
        </w:rPr>
      </w:pPr>
      <w:r w:rsidRPr="008B7FA4">
        <w:rPr>
          <w:noProof/>
        </w:rPr>
        <w:t>Aby skłonić operatorów unijnych do stosowania wytycznych</w:t>
      </w:r>
      <w:r w:rsidR="006B6BC0" w:rsidRPr="008B7FA4">
        <w:rPr>
          <w:noProof/>
        </w:rPr>
        <w:t xml:space="preserve"> i nor</w:t>
      </w:r>
      <w:r w:rsidRPr="008B7FA4">
        <w:rPr>
          <w:noProof/>
        </w:rPr>
        <w:t xml:space="preserve">m zalecanych na szczeblu UE, </w:t>
      </w:r>
      <w:r w:rsidRPr="008B7FA4">
        <w:rPr>
          <w:b/>
          <w:bCs/>
          <w:noProof/>
        </w:rPr>
        <w:t>wdrożone zostaną określone zachęty</w:t>
      </w:r>
      <w:r w:rsidRPr="008B7FA4">
        <w:rPr>
          <w:noProof/>
        </w:rPr>
        <w:t>. UE rozważy na przykład:</w:t>
      </w:r>
    </w:p>
    <w:p w:rsidR="00630C8C" w:rsidRPr="008B7FA4" w:rsidRDefault="00630C8C" w:rsidP="009E7D75">
      <w:pPr>
        <w:numPr>
          <w:ilvl w:val="0"/>
          <w:numId w:val="30"/>
        </w:numPr>
        <w:contextualSpacing/>
        <w:rPr>
          <w:rFonts w:cs="Times New Roman"/>
          <w:noProof/>
          <w:szCs w:val="24"/>
        </w:rPr>
      </w:pPr>
      <w:r w:rsidRPr="008B7FA4">
        <w:rPr>
          <w:noProof/>
        </w:rPr>
        <w:t xml:space="preserve">stosowanie </w:t>
      </w:r>
      <w:r w:rsidRPr="008B7FA4">
        <w:rPr>
          <w:b/>
          <w:bCs/>
          <w:noProof/>
          <w:szCs w:val="24"/>
        </w:rPr>
        <w:t>oznakowania „bezpieczny kosmos”</w:t>
      </w:r>
      <w:r w:rsidRPr="008B7FA4">
        <w:rPr>
          <w:noProof/>
        </w:rPr>
        <w:t xml:space="preserve"> pełniącego funkcję koncepcyjnie zbliżoną do oznakowania ekologicznego. Przedsiębiorstwa</w:t>
      </w:r>
      <w:r w:rsidR="006B6BC0" w:rsidRPr="008B7FA4">
        <w:rPr>
          <w:noProof/>
        </w:rPr>
        <w:t xml:space="preserve"> i ope</w:t>
      </w:r>
      <w:r w:rsidRPr="008B7FA4">
        <w:rPr>
          <w:noProof/>
        </w:rPr>
        <w:t>ratorzy posługujący się tym oznakowaniem mogliby zwiększyć swój udział</w:t>
      </w:r>
      <w:r w:rsidR="006B6BC0" w:rsidRPr="008B7FA4">
        <w:rPr>
          <w:noProof/>
        </w:rPr>
        <w:t xml:space="preserve"> w ryn</w:t>
      </w:r>
      <w:r w:rsidRPr="008B7FA4">
        <w:rPr>
          <w:noProof/>
        </w:rPr>
        <w:t>ku, przyciągając do siebie klientów wrażliwych na problematykę bezpieczeństwa</w:t>
      </w:r>
      <w:r w:rsidR="006B6BC0" w:rsidRPr="008B7FA4">
        <w:rPr>
          <w:noProof/>
        </w:rPr>
        <w:t xml:space="preserve"> i zró</w:t>
      </w:r>
      <w:r w:rsidRPr="008B7FA4">
        <w:rPr>
          <w:noProof/>
        </w:rPr>
        <w:t>wnoważonego charakteru operacji kosmicznych;</w:t>
      </w:r>
    </w:p>
    <w:p w:rsidR="00630C8C" w:rsidRPr="008B7FA4" w:rsidRDefault="0034006C" w:rsidP="00E8035E">
      <w:pPr>
        <w:numPr>
          <w:ilvl w:val="0"/>
          <w:numId w:val="30"/>
        </w:numPr>
        <w:contextualSpacing/>
        <w:rPr>
          <w:rFonts w:cs="Times New Roman"/>
          <w:noProof/>
          <w:szCs w:val="24"/>
        </w:rPr>
      </w:pPr>
      <w:r w:rsidRPr="008B7FA4">
        <w:rPr>
          <w:noProof/>
        </w:rPr>
        <w:t xml:space="preserve">dostosowanie </w:t>
      </w:r>
      <w:r w:rsidRPr="008B7FA4">
        <w:rPr>
          <w:b/>
          <w:bCs/>
          <w:noProof/>
          <w:szCs w:val="24"/>
        </w:rPr>
        <w:t>kryteriów udzielania zamówień</w:t>
      </w:r>
      <w:r w:rsidR="006B6BC0" w:rsidRPr="008B7FA4">
        <w:rPr>
          <w:noProof/>
        </w:rPr>
        <w:t xml:space="preserve"> w tak</w:t>
      </w:r>
      <w:r w:rsidRPr="008B7FA4">
        <w:rPr>
          <w:noProof/>
        </w:rPr>
        <w:t>i sposób, aby</w:t>
      </w:r>
      <w:r w:rsidRPr="008B7FA4">
        <w:rPr>
          <w:b/>
          <w:bCs/>
          <w:noProof/>
          <w:szCs w:val="24"/>
        </w:rPr>
        <w:t xml:space="preserve"> </w:t>
      </w:r>
      <w:r w:rsidRPr="008B7FA4">
        <w:rPr>
          <w:noProof/>
        </w:rPr>
        <w:t>propagować korzystanie</w:t>
      </w:r>
      <w:r w:rsidR="006B6BC0" w:rsidRPr="008B7FA4">
        <w:rPr>
          <w:noProof/>
        </w:rPr>
        <w:t xml:space="preserve"> z zal</w:t>
      </w:r>
      <w:r w:rsidRPr="008B7FA4">
        <w:rPr>
          <w:noProof/>
        </w:rPr>
        <w:t>ecanych wytycznych</w:t>
      </w:r>
      <w:r w:rsidR="006B6BC0" w:rsidRPr="008B7FA4">
        <w:rPr>
          <w:noProof/>
        </w:rPr>
        <w:t xml:space="preserve"> i nor</w:t>
      </w:r>
      <w:r w:rsidRPr="008B7FA4">
        <w:rPr>
          <w:noProof/>
        </w:rPr>
        <w:t>m</w:t>
      </w:r>
      <w:r w:rsidR="006B6BC0" w:rsidRPr="008B7FA4">
        <w:rPr>
          <w:noProof/>
        </w:rPr>
        <w:t xml:space="preserve"> w ram</w:t>
      </w:r>
      <w:r w:rsidRPr="008B7FA4">
        <w:rPr>
          <w:noProof/>
        </w:rPr>
        <w:t>ach odpowiednich instrumentów UE (program „Horyzont Europa”, rozporządzenie</w:t>
      </w:r>
      <w:r w:rsidR="006B6BC0" w:rsidRPr="008B7FA4">
        <w:rPr>
          <w:noProof/>
        </w:rPr>
        <w:t xml:space="preserve"> w spr</w:t>
      </w:r>
      <w:r w:rsidRPr="008B7FA4">
        <w:rPr>
          <w:noProof/>
        </w:rPr>
        <w:t>awie programu kosmicznego, InvestEU, Europejski Fundusz Obronny, inne inicjatywy związane</w:t>
      </w:r>
      <w:r w:rsidR="006B6BC0" w:rsidRPr="008B7FA4">
        <w:rPr>
          <w:noProof/>
        </w:rPr>
        <w:t xml:space="preserve"> z kos</w:t>
      </w:r>
      <w:r w:rsidRPr="008B7FA4">
        <w:rPr>
          <w:noProof/>
        </w:rPr>
        <w:t xml:space="preserve">mosem itd.); </w:t>
      </w:r>
    </w:p>
    <w:p w:rsidR="00630C8C" w:rsidRPr="008B7FA4" w:rsidRDefault="00ED136C" w:rsidP="00B911D8">
      <w:pPr>
        <w:numPr>
          <w:ilvl w:val="0"/>
          <w:numId w:val="30"/>
        </w:numPr>
        <w:ind w:left="714" w:hanging="357"/>
        <w:rPr>
          <w:rFonts w:cs="Times New Roman"/>
          <w:noProof/>
          <w:szCs w:val="24"/>
        </w:rPr>
      </w:pPr>
      <w:r w:rsidRPr="008B7FA4">
        <w:rPr>
          <w:noProof/>
        </w:rPr>
        <w:t xml:space="preserve">sporządzenie </w:t>
      </w:r>
      <w:r w:rsidRPr="008B7FA4">
        <w:rPr>
          <w:b/>
          <w:noProof/>
          <w:szCs w:val="24"/>
        </w:rPr>
        <w:t>wykazu przedsiębiorstw</w:t>
      </w:r>
      <w:r w:rsidR="006B6BC0" w:rsidRPr="008B7FA4">
        <w:rPr>
          <w:b/>
          <w:noProof/>
          <w:szCs w:val="24"/>
        </w:rPr>
        <w:t xml:space="preserve"> i ope</w:t>
      </w:r>
      <w:r w:rsidRPr="008B7FA4">
        <w:rPr>
          <w:b/>
          <w:noProof/>
          <w:szCs w:val="24"/>
        </w:rPr>
        <w:t>ratorów</w:t>
      </w:r>
      <w:r w:rsidRPr="008B7FA4">
        <w:rPr>
          <w:noProof/>
        </w:rPr>
        <w:t>, którzy wdrażają wytyczne lub normy</w:t>
      </w:r>
      <w:r w:rsidR="006B6BC0" w:rsidRPr="008B7FA4">
        <w:rPr>
          <w:noProof/>
        </w:rPr>
        <w:t xml:space="preserve"> w zak</w:t>
      </w:r>
      <w:r w:rsidRPr="008B7FA4">
        <w:rPr>
          <w:noProof/>
        </w:rPr>
        <w:t xml:space="preserve">resie STM. </w:t>
      </w:r>
    </w:p>
    <w:p w:rsidR="00630C8C" w:rsidRPr="008B7FA4" w:rsidRDefault="00630C8C" w:rsidP="009E7D75">
      <w:pPr>
        <w:rPr>
          <w:rFonts w:cs="Times New Roman"/>
          <w:noProof/>
        </w:rPr>
      </w:pPr>
      <w:r w:rsidRPr="008B7FA4">
        <w:rPr>
          <w:noProof/>
        </w:rPr>
        <w:t>Wprowadzenie jakiegokolwiek instrumentu zachęcającego wiązałoby się</w:t>
      </w:r>
      <w:r w:rsidR="006B6BC0" w:rsidRPr="008B7FA4">
        <w:rPr>
          <w:noProof/>
        </w:rPr>
        <w:t xml:space="preserve"> z kon</w:t>
      </w:r>
      <w:r w:rsidRPr="008B7FA4">
        <w:rPr>
          <w:noProof/>
        </w:rPr>
        <w:t xml:space="preserve">iecznością ustanowienia </w:t>
      </w:r>
      <w:r w:rsidRPr="008B7FA4">
        <w:rPr>
          <w:b/>
          <w:bCs/>
          <w:noProof/>
        </w:rPr>
        <w:t>mechanizmu służącego do monitorowania procesu wdrażania zalecanych wytycznych</w:t>
      </w:r>
      <w:r w:rsidR="006B6BC0" w:rsidRPr="008B7FA4">
        <w:rPr>
          <w:b/>
          <w:bCs/>
          <w:noProof/>
        </w:rPr>
        <w:t xml:space="preserve"> i nor</w:t>
      </w:r>
      <w:r w:rsidRPr="008B7FA4">
        <w:rPr>
          <w:b/>
          <w:bCs/>
          <w:noProof/>
        </w:rPr>
        <w:t>m</w:t>
      </w:r>
      <w:r w:rsidRPr="008B7FA4">
        <w:rPr>
          <w:noProof/>
        </w:rPr>
        <w:t>. UE – działając</w:t>
      </w:r>
      <w:r w:rsidR="006B6BC0" w:rsidRPr="008B7FA4">
        <w:rPr>
          <w:noProof/>
        </w:rPr>
        <w:t xml:space="preserve"> w ści</w:t>
      </w:r>
      <w:r w:rsidRPr="008B7FA4">
        <w:rPr>
          <w:noProof/>
        </w:rPr>
        <w:t>słej współpracy</w:t>
      </w:r>
      <w:r w:rsidR="006B6BC0" w:rsidRPr="008B7FA4">
        <w:rPr>
          <w:noProof/>
        </w:rPr>
        <w:t xml:space="preserve"> z pań</w:t>
      </w:r>
      <w:r w:rsidRPr="008B7FA4">
        <w:rPr>
          <w:noProof/>
        </w:rPr>
        <w:t xml:space="preserve">stwami członkowskimi – rozważy możliwość opracowania </w:t>
      </w:r>
      <w:r w:rsidRPr="008B7FA4">
        <w:rPr>
          <w:b/>
          <w:noProof/>
        </w:rPr>
        <w:t>mechanizmu certyfikacji na potrzeby STM</w:t>
      </w:r>
      <w:r w:rsidRPr="008B7FA4">
        <w:rPr>
          <w:noProof/>
        </w:rPr>
        <w:t>, aby umożliwić weryfikowanie, czy określone przedsiębiorstwa stosują się do zalecanych wytycznych</w:t>
      </w:r>
      <w:r w:rsidR="006B6BC0" w:rsidRPr="008B7FA4">
        <w:rPr>
          <w:noProof/>
        </w:rPr>
        <w:t xml:space="preserve"> i nor</w:t>
      </w:r>
      <w:r w:rsidRPr="008B7FA4">
        <w:rPr>
          <w:noProof/>
        </w:rPr>
        <w:t xml:space="preserve">m. </w:t>
      </w:r>
    </w:p>
    <w:p w:rsidR="00630C8C" w:rsidRPr="008B7FA4" w:rsidRDefault="00630C8C" w:rsidP="00A72424">
      <w:pPr>
        <w:pStyle w:val="Heading2"/>
        <w:rPr>
          <w:noProof/>
        </w:rPr>
      </w:pPr>
      <w:bookmarkStart w:id="108" w:name="_Toc92283884"/>
      <w:bookmarkStart w:id="109" w:name="_Toc92382179"/>
      <w:r w:rsidRPr="008B7FA4">
        <w:rPr>
          <w:noProof/>
        </w:rPr>
        <w:t>W kierunku obowiązków</w:t>
      </w:r>
      <w:r w:rsidR="006B6BC0" w:rsidRPr="008B7FA4">
        <w:rPr>
          <w:noProof/>
        </w:rPr>
        <w:t xml:space="preserve"> w zak</w:t>
      </w:r>
      <w:r w:rsidRPr="008B7FA4">
        <w:rPr>
          <w:noProof/>
        </w:rPr>
        <w:t>resie STM</w:t>
      </w:r>
      <w:bookmarkEnd w:id="108"/>
      <w:bookmarkEnd w:id="109"/>
    </w:p>
    <w:p w:rsidR="001C2264" w:rsidRPr="008B7FA4" w:rsidRDefault="00630C8C" w:rsidP="009E7D75">
      <w:pPr>
        <w:rPr>
          <w:rFonts w:cs="Times New Roman"/>
          <w:noProof/>
          <w:szCs w:val="24"/>
        </w:rPr>
      </w:pPr>
      <w:r w:rsidRPr="008B7FA4">
        <w:rPr>
          <w:b/>
          <w:noProof/>
        </w:rPr>
        <w:t>W krótkim terminie należy zastanowić się nad nałożeniem na podmioty</w:t>
      </w:r>
      <w:r w:rsidR="006B6BC0" w:rsidRPr="008B7FA4">
        <w:rPr>
          <w:b/>
          <w:noProof/>
        </w:rPr>
        <w:t xml:space="preserve"> z sek</w:t>
      </w:r>
      <w:r w:rsidRPr="008B7FA4">
        <w:rPr>
          <w:b/>
          <w:noProof/>
        </w:rPr>
        <w:t>tora przemysłu określonych ograniczonych obowiązków wiążących się</w:t>
      </w:r>
      <w:r w:rsidR="006B6BC0" w:rsidRPr="008B7FA4">
        <w:rPr>
          <w:b/>
          <w:noProof/>
        </w:rPr>
        <w:t xml:space="preserve"> z kon</w:t>
      </w:r>
      <w:r w:rsidRPr="008B7FA4">
        <w:rPr>
          <w:b/>
          <w:noProof/>
        </w:rPr>
        <w:t xml:space="preserve">iecznością poniesienia przez te podmioty pewnych nieznacznych kosztów. </w:t>
      </w:r>
      <w:r w:rsidRPr="008B7FA4">
        <w:rPr>
          <w:noProof/>
        </w:rPr>
        <w:t>Znaczne nasilenie operacji wynoszenia</w:t>
      </w:r>
      <w:r w:rsidR="006B6BC0" w:rsidRPr="008B7FA4">
        <w:rPr>
          <w:noProof/>
        </w:rPr>
        <w:t xml:space="preserve"> i ope</w:t>
      </w:r>
      <w:r w:rsidRPr="008B7FA4">
        <w:rPr>
          <w:noProof/>
        </w:rPr>
        <w:t>racji powrotu</w:t>
      </w:r>
      <w:r w:rsidR="006B6BC0" w:rsidRPr="008B7FA4">
        <w:rPr>
          <w:noProof/>
        </w:rPr>
        <w:t xml:space="preserve"> z prz</w:t>
      </w:r>
      <w:r w:rsidRPr="008B7FA4">
        <w:rPr>
          <w:noProof/>
        </w:rPr>
        <w:t>estrzeni, nagły wzrost liczby satelitów na poszczególnych orbitach</w:t>
      </w:r>
      <w:r w:rsidR="006B6BC0" w:rsidRPr="008B7FA4">
        <w:rPr>
          <w:noProof/>
        </w:rPr>
        <w:t xml:space="preserve"> w prz</w:t>
      </w:r>
      <w:r w:rsidRPr="008B7FA4">
        <w:rPr>
          <w:noProof/>
        </w:rPr>
        <w:t>estrzeni kosmicznej oraz konieczność przeciwdziałania wytwarzaniu śmieci kosmicznych</w:t>
      </w:r>
      <w:r w:rsidR="006B6BC0" w:rsidRPr="008B7FA4">
        <w:rPr>
          <w:noProof/>
        </w:rPr>
        <w:t xml:space="preserve"> w rez</w:t>
      </w:r>
      <w:r w:rsidRPr="008B7FA4">
        <w:rPr>
          <w:noProof/>
        </w:rPr>
        <w:t xml:space="preserve">ultacie kolejnych kolizji wymagają nałożenia określonych obowiązków na wszystkich operatorów satelitów. Dlatego też należy przyjąć wniosek dotyczący aktu prawnego zobowiązującego wszystkich operatorów satelitów świadczących usługi na terytorium UE do </w:t>
      </w:r>
      <w:r w:rsidRPr="008B7FA4">
        <w:rPr>
          <w:b/>
          <w:bCs/>
          <w:noProof/>
          <w:szCs w:val="24"/>
        </w:rPr>
        <w:t>zarejestrowania się jako użytkownicy usługi zapobiegania kolizjom</w:t>
      </w:r>
      <w:r w:rsidR="006B6BC0" w:rsidRPr="008B7FA4">
        <w:rPr>
          <w:noProof/>
        </w:rPr>
        <w:t xml:space="preserve"> o sku</w:t>
      </w:r>
      <w:r w:rsidRPr="008B7FA4">
        <w:rPr>
          <w:noProof/>
        </w:rPr>
        <w:t xml:space="preserve">teczności przynajmniej zbliżonej do skuteczności usług oferowanych obecnie przez unijny komponent SST. </w:t>
      </w:r>
    </w:p>
    <w:p w:rsidR="00C915DF" w:rsidRPr="008B7FA4" w:rsidRDefault="00D33692" w:rsidP="009E7D75">
      <w:pPr>
        <w:rPr>
          <w:rFonts w:cs="Times New Roman"/>
          <w:noProof/>
          <w:szCs w:val="24"/>
        </w:rPr>
      </w:pPr>
      <w:r w:rsidRPr="008B7FA4">
        <w:rPr>
          <w:noProof/>
        </w:rPr>
        <w:t>Ponadto podmioty odpowiedzialne za świadczenie usług zapobiegania kolizjom powinny dysponować mechanizmami komunikacyjnymi</w:t>
      </w:r>
      <w:r w:rsidR="006B6BC0" w:rsidRPr="008B7FA4">
        <w:rPr>
          <w:noProof/>
        </w:rPr>
        <w:t xml:space="preserve"> i sie</w:t>
      </w:r>
      <w:r w:rsidRPr="008B7FA4">
        <w:rPr>
          <w:noProof/>
        </w:rPr>
        <w:t>cią kontaktów (tj. katalogiem operatorów) umożliwiającymi im zarządzanie przypadkami koniunkcji wspólnie</w:t>
      </w:r>
      <w:r w:rsidR="006B6BC0" w:rsidRPr="008B7FA4">
        <w:rPr>
          <w:noProof/>
        </w:rPr>
        <w:t xml:space="preserve"> z inn</w:t>
      </w:r>
      <w:r w:rsidRPr="008B7FA4">
        <w:rPr>
          <w:noProof/>
        </w:rPr>
        <w:t>ymi dostawcami usług, aby zapewnić możliwość terminowego reagowania na takie przypadki</w:t>
      </w:r>
      <w:r w:rsidR="006B6BC0" w:rsidRPr="008B7FA4">
        <w:rPr>
          <w:noProof/>
        </w:rPr>
        <w:t xml:space="preserve"> i prz</w:t>
      </w:r>
      <w:r w:rsidRPr="008B7FA4">
        <w:rPr>
          <w:noProof/>
        </w:rPr>
        <w:t>eprowadzania skoordynowanych manewrów służących zapobieganiu kolizjom.</w:t>
      </w:r>
    </w:p>
    <w:p w:rsidR="00D10F93" w:rsidRPr="008B7FA4" w:rsidRDefault="00D10F93" w:rsidP="009E7D75">
      <w:pPr>
        <w:rPr>
          <w:rFonts w:cs="Times New Roman"/>
          <w:noProof/>
        </w:rPr>
      </w:pPr>
      <w:r w:rsidRPr="008B7FA4">
        <w:rPr>
          <w:b/>
          <w:noProof/>
        </w:rPr>
        <w:t>W średnim terminie</w:t>
      </w:r>
      <w:r w:rsidRPr="008B7FA4">
        <w:rPr>
          <w:noProof/>
        </w:rPr>
        <w:t xml:space="preserve"> – działając</w:t>
      </w:r>
      <w:r w:rsidR="006B6BC0" w:rsidRPr="008B7FA4">
        <w:rPr>
          <w:noProof/>
        </w:rPr>
        <w:t xml:space="preserve"> w por</w:t>
      </w:r>
      <w:r w:rsidRPr="008B7FA4">
        <w:rPr>
          <w:noProof/>
        </w:rPr>
        <w:t>ozumieniu</w:t>
      </w:r>
      <w:r w:rsidR="006B6BC0" w:rsidRPr="008B7FA4">
        <w:rPr>
          <w:noProof/>
        </w:rPr>
        <w:t xml:space="preserve"> z pań</w:t>
      </w:r>
      <w:r w:rsidRPr="008B7FA4">
        <w:rPr>
          <w:noProof/>
        </w:rPr>
        <w:t>stwami członkowskimi – należy wypracować bardziej kompleksowe podejście regulacyjne do problematyki STM, aby zidentyfikować obszary wymagające uregulowania poprzez przyjęcie odpowiednich przepisów przy jednoczesnym zachowaniu konkurencyjności przemysłu UE</w:t>
      </w:r>
      <w:r w:rsidR="006B6BC0" w:rsidRPr="008B7FA4">
        <w:rPr>
          <w:noProof/>
        </w:rPr>
        <w:t xml:space="preserve"> i zap</w:t>
      </w:r>
      <w:r w:rsidRPr="008B7FA4">
        <w:rPr>
          <w:noProof/>
        </w:rPr>
        <w:t xml:space="preserve">ewnieniu poszanowania odpowiednich kompetencji UE oraz jej państw członkowskich. </w:t>
      </w:r>
    </w:p>
    <w:p w:rsidR="00630C8C" w:rsidRPr="008B7FA4" w:rsidRDefault="00630C8C" w:rsidP="009E7D75">
      <w:pPr>
        <w:rPr>
          <w:rFonts w:cs="Times New Roman"/>
          <w:noProof/>
        </w:rPr>
      </w:pPr>
      <w:r w:rsidRPr="008B7FA4">
        <w:rPr>
          <w:noProof/>
        </w:rPr>
        <w:t>Niektóre państwa członkowskie przyjęły przepisy krajowe dotyczące STM. Inne rozważają możliwość przyjęcia środków krajowych</w:t>
      </w:r>
      <w:r w:rsidR="006B6BC0" w:rsidRPr="008B7FA4">
        <w:rPr>
          <w:noProof/>
        </w:rPr>
        <w:t xml:space="preserve"> w tym</w:t>
      </w:r>
      <w:r w:rsidRPr="008B7FA4">
        <w:rPr>
          <w:noProof/>
        </w:rPr>
        <w:t xml:space="preserve"> zakresie. Fragmentaryczne podejście do przestrzeni kosmicznej na szczeblu UE nie tylko uniemożliwia powstanie dobrze funkcjonującego rynku wewnętrznego istotnego dla rozwoju unijnych towarów</w:t>
      </w:r>
      <w:r w:rsidR="006B6BC0" w:rsidRPr="008B7FA4">
        <w:rPr>
          <w:noProof/>
        </w:rPr>
        <w:t xml:space="preserve"> i usł</w:t>
      </w:r>
      <w:r w:rsidRPr="008B7FA4">
        <w:rPr>
          <w:noProof/>
        </w:rPr>
        <w:t>ug związanych</w:t>
      </w:r>
      <w:r w:rsidR="006B6BC0" w:rsidRPr="008B7FA4">
        <w:rPr>
          <w:noProof/>
        </w:rPr>
        <w:t xml:space="preserve"> z kor</w:t>
      </w:r>
      <w:r w:rsidRPr="008B7FA4">
        <w:rPr>
          <w:noProof/>
        </w:rPr>
        <w:t>zystaniem</w:t>
      </w:r>
      <w:r w:rsidR="006B6BC0" w:rsidRPr="008B7FA4">
        <w:rPr>
          <w:noProof/>
        </w:rPr>
        <w:t xml:space="preserve"> z prz</w:t>
      </w:r>
      <w:r w:rsidRPr="008B7FA4">
        <w:rPr>
          <w:noProof/>
        </w:rPr>
        <w:t>estrzeni kosmicznej, ale może również mieć negatywny wpływ na inne obszary polityki Unii, takie jak klimat, środowisko</w:t>
      </w:r>
      <w:r w:rsidR="006B6BC0" w:rsidRPr="008B7FA4">
        <w:rPr>
          <w:noProof/>
        </w:rPr>
        <w:t xml:space="preserve"> i tra</w:t>
      </w:r>
      <w:r w:rsidRPr="008B7FA4">
        <w:rPr>
          <w:noProof/>
        </w:rPr>
        <w:t>nsport,</w:t>
      </w:r>
      <w:r w:rsidR="006B6BC0" w:rsidRPr="008B7FA4">
        <w:rPr>
          <w:noProof/>
        </w:rPr>
        <w:t xml:space="preserve"> a w szc</w:t>
      </w:r>
      <w:r w:rsidRPr="008B7FA4">
        <w:rPr>
          <w:noProof/>
        </w:rPr>
        <w:t>zególności lotnictwo, gdzie podejmowane są wysiłki na rzecz zmniejszenia fragmentacji europejskiej przestrzeni powietrznej. Wypracowanie spójnego podejścia na szczeblu UE wydaje się niezbędne</w:t>
      </w:r>
      <w:r w:rsidR="006B6BC0" w:rsidRPr="008B7FA4">
        <w:rPr>
          <w:noProof/>
        </w:rPr>
        <w:t>. W tym</w:t>
      </w:r>
      <w:r w:rsidRPr="008B7FA4">
        <w:rPr>
          <w:noProof/>
        </w:rPr>
        <w:t xml:space="preserve"> celu,</w:t>
      </w:r>
      <w:r w:rsidR="006B6BC0" w:rsidRPr="008B7FA4">
        <w:rPr>
          <w:noProof/>
        </w:rPr>
        <w:t xml:space="preserve"> w opa</w:t>
      </w:r>
      <w:r w:rsidRPr="008B7FA4">
        <w:rPr>
          <w:noProof/>
        </w:rPr>
        <w:t>rciu</w:t>
      </w:r>
      <w:r w:rsidR="006B6BC0" w:rsidRPr="008B7FA4">
        <w:rPr>
          <w:noProof/>
        </w:rPr>
        <w:t xml:space="preserve"> o pot</w:t>
      </w:r>
      <w:r w:rsidRPr="008B7FA4">
        <w:rPr>
          <w:noProof/>
        </w:rPr>
        <w:t xml:space="preserve">rzeby </w:t>
      </w:r>
      <w:r w:rsidRPr="008B7FA4">
        <w:rPr>
          <w:b/>
          <w:noProof/>
        </w:rPr>
        <w:t>zainteresowanych stron na szczeblu UE</w:t>
      </w:r>
      <w:r w:rsidRPr="008B7FA4">
        <w:rPr>
          <w:noProof/>
        </w:rPr>
        <w:t xml:space="preserve"> oraz ustalone zasady</w:t>
      </w:r>
      <w:r w:rsidR="006B6BC0" w:rsidRPr="008B7FA4">
        <w:rPr>
          <w:noProof/>
        </w:rPr>
        <w:t xml:space="preserve"> i nor</w:t>
      </w:r>
      <w:r w:rsidRPr="008B7FA4">
        <w:rPr>
          <w:noProof/>
        </w:rPr>
        <w:t>my,</w:t>
      </w:r>
      <w:r w:rsidR="006B6BC0" w:rsidRPr="008B7FA4">
        <w:rPr>
          <w:noProof/>
        </w:rPr>
        <w:t xml:space="preserve"> a tak</w:t>
      </w:r>
      <w:r w:rsidRPr="008B7FA4">
        <w:rPr>
          <w:noProof/>
        </w:rPr>
        <w:t>że po należytym zaangażowaniu państw członkowskich</w:t>
      </w:r>
      <w:r w:rsidR="006B6BC0" w:rsidRPr="008B7FA4">
        <w:rPr>
          <w:noProof/>
        </w:rPr>
        <w:t xml:space="preserve"> w pro</w:t>
      </w:r>
      <w:r w:rsidRPr="008B7FA4">
        <w:rPr>
          <w:noProof/>
        </w:rPr>
        <w:t xml:space="preserve">ces konsultacyjny, UE powinna przedstawić </w:t>
      </w:r>
      <w:r w:rsidRPr="008B7FA4">
        <w:rPr>
          <w:b/>
          <w:noProof/>
        </w:rPr>
        <w:t>wniosek ustawodawczy dotyczący przepisów</w:t>
      </w:r>
      <w:r w:rsidR="006B6BC0" w:rsidRPr="008B7FA4">
        <w:rPr>
          <w:b/>
          <w:noProof/>
        </w:rPr>
        <w:t xml:space="preserve"> w zak</w:t>
      </w:r>
      <w:r w:rsidRPr="008B7FA4">
        <w:rPr>
          <w:b/>
          <w:noProof/>
        </w:rPr>
        <w:t>resie STM</w:t>
      </w:r>
      <w:r w:rsidRPr="008B7FA4">
        <w:rPr>
          <w:noProof/>
        </w:rPr>
        <w:t xml:space="preserve">. </w:t>
      </w:r>
    </w:p>
    <w:p w:rsidR="00630C8C" w:rsidRPr="008B7FA4" w:rsidRDefault="00630C8C" w:rsidP="009E7D75">
      <w:pPr>
        <w:rPr>
          <w:rFonts w:cs="Times New Roman"/>
          <w:noProof/>
        </w:rPr>
      </w:pPr>
      <w:r w:rsidRPr="008B7FA4">
        <w:rPr>
          <w:noProof/>
        </w:rPr>
        <w:t>Wspomniany wniosek ustawodawczy powinien przyczynić się do zapewnienia równych warunków działania na szczeblu UE, co pozwoliłoby zagwarantować nieobejmowanie sankcjami tych operatorów, którzy najściślej przestrzegają obowiązujących przepisów. Taki wniosek powinien również zagwarantować, aby operatorzy unijni nie byli narażeni na zakłócenie konkurencji ze strony operatorów mających swoją siedzibę poza granicami UE, którzy podlegają mniej rygorystycznym normom, na przykład poprzez przyjęcie zasady równego traktowania</w:t>
      </w:r>
      <w:r w:rsidR="006B6BC0" w:rsidRPr="008B7FA4">
        <w:rPr>
          <w:noProof/>
        </w:rPr>
        <w:t xml:space="preserve"> w odn</w:t>
      </w:r>
      <w:r w:rsidRPr="008B7FA4">
        <w:rPr>
          <w:noProof/>
        </w:rPr>
        <w:t>iesieniu do operatorów unijnych</w:t>
      </w:r>
      <w:r w:rsidR="006B6BC0" w:rsidRPr="008B7FA4">
        <w:rPr>
          <w:noProof/>
        </w:rPr>
        <w:t xml:space="preserve"> i wsz</w:t>
      </w:r>
      <w:r w:rsidRPr="008B7FA4">
        <w:rPr>
          <w:noProof/>
        </w:rPr>
        <w:t>elkich innych operatorów satelitów zamierzających świadczyć usługi na terytorium UE.</w:t>
      </w:r>
    </w:p>
    <w:p w:rsidR="00630C8C" w:rsidRPr="008B7FA4" w:rsidRDefault="00FC4503" w:rsidP="009E7D75">
      <w:pPr>
        <w:rPr>
          <w:rFonts w:cs="Times New Roman"/>
          <w:noProof/>
        </w:rPr>
      </w:pPr>
      <w:r w:rsidRPr="008B7FA4">
        <w:rPr>
          <w:noProof/>
        </w:rPr>
        <w:t>Co do zasady, zakres potencjalnego wniosku mógłby ograniczać się do ustanowienia kluczowych wymogów</w:t>
      </w:r>
      <w:r w:rsidR="006B6BC0" w:rsidRPr="008B7FA4">
        <w:rPr>
          <w:noProof/>
        </w:rPr>
        <w:t xml:space="preserve"> w zak</w:t>
      </w:r>
      <w:r w:rsidRPr="008B7FA4">
        <w:rPr>
          <w:noProof/>
        </w:rPr>
        <w:t>resie STM, biorąc pod uwagę wymogi dotyczące zarządzania ruchem lotniczym, które obowiązują już na szczeblu unijnym. Następnie europejskie organizacje normalizacyjne mogłyby opracować odpowiednie wymogi techniczne związane z STM</w:t>
      </w:r>
      <w:r w:rsidR="006B6BC0" w:rsidRPr="008B7FA4">
        <w:rPr>
          <w:noProof/>
        </w:rPr>
        <w:t xml:space="preserve"> w for</w:t>
      </w:r>
      <w:r w:rsidRPr="008B7FA4">
        <w:rPr>
          <w:noProof/>
        </w:rPr>
        <w:t>mie norm zharmonizowanych lub wytycznych, co</w:t>
      </w:r>
      <w:r w:rsidR="006B6BC0" w:rsidRPr="008B7FA4">
        <w:rPr>
          <w:noProof/>
        </w:rPr>
        <w:t xml:space="preserve"> z kol</w:t>
      </w:r>
      <w:r w:rsidRPr="008B7FA4">
        <w:rPr>
          <w:noProof/>
        </w:rPr>
        <w:t>ei pozwoliłoby producentom</w:t>
      </w:r>
      <w:r w:rsidR="006B6BC0" w:rsidRPr="008B7FA4">
        <w:rPr>
          <w:noProof/>
        </w:rPr>
        <w:t xml:space="preserve"> i ope</w:t>
      </w:r>
      <w:r w:rsidRPr="008B7FA4">
        <w:rPr>
          <w:noProof/>
        </w:rPr>
        <w:t>ratorom wykazywać zgodność</w:t>
      </w:r>
      <w:r w:rsidR="006B6BC0" w:rsidRPr="008B7FA4">
        <w:rPr>
          <w:noProof/>
        </w:rPr>
        <w:t xml:space="preserve"> z tym</w:t>
      </w:r>
      <w:r w:rsidRPr="008B7FA4">
        <w:rPr>
          <w:noProof/>
        </w:rPr>
        <w:t xml:space="preserve">i kluczowymi wymogami. </w:t>
      </w:r>
    </w:p>
    <w:p w:rsidR="00ED6708" w:rsidRPr="008B7FA4" w:rsidRDefault="00ED6708" w:rsidP="00FB41CA">
      <w:pPr>
        <w:pStyle w:val="Action"/>
        <w:keepNext/>
        <w:keepLines/>
        <w:shd w:val="pct10" w:color="auto" w:fill="auto"/>
        <w:spacing w:line="360" w:lineRule="auto"/>
        <w:rPr>
          <w:noProof/>
        </w:rPr>
      </w:pPr>
      <w:r w:rsidRPr="008B7FA4">
        <w:rPr>
          <w:noProof/>
        </w:rPr>
        <w:t>Działanie nr</w:t>
      </w:r>
      <w:r w:rsidR="006B6BC0" w:rsidRPr="008B7FA4">
        <w:rPr>
          <w:noProof/>
        </w:rPr>
        <w:t> </w:t>
      </w:r>
      <w:r w:rsidRPr="008B7FA4">
        <w:rPr>
          <w:noProof/>
        </w:rPr>
        <w:t>5:</w:t>
      </w:r>
      <w:r w:rsidRPr="008B7FA4">
        <w:rPr>
          <w:b w:val="0"/>
          <w:noProof/>
          <w:u w:val="none"/>
        </w:rPr>
        <w:t xml:space="preserve"> Komisja</w:t>
      </w:r>
      <w:r w:rsidR="006B6BC0" w:rsidRPr="008B7FA4">
        <w:rPr>
          <w:b w:val="0"/>
          <w:noProof/>
          <w:u w:val="none"/>
        </w:rPr>
        <w:t xml:space="preserve"> i Wys</w:t>
      </w:r>
      <w:r w:rsidRPr="008B7FA4">
        <w:rPr>
          <w:b w:val="0"/>
          <w:noProof/>
          <w:u w:val="none"/>
        </w:rPr>
        <w:t>oki Przedstawiciel,</w:t>
      </w:r>
      <w:r w:rsidR="006B6BC0" w:rsidRPr="008B7FA4">
        <w:rPr>
          <w:b w:val="0"/>
          <w:noProof/>
          <w:u w:val="none"/>
        </w:rPr>
        <w:t xml:space="preserve"> w zal</w:t>
      </w:r>
      <w:r w:rsidRPr="008B7FA4">
        <w:rPr>
          <w:b w:val="0"/>
          <w:noProof/>
          <w:u w:val="none"/>
        </w:rPr>
        <w:t>eżności od zakresu uprawnień przysługujących UE</w:t>
      </w:r>
      <w:r w:rsidR="006B6BC0" w:rsidRPr="008B7FA4">
        <w:rPr>
          <w:b w:val="0"/>
          <w:noProof/>
          <w:u w:val="none"/>
        </w:rPr>
        <w:t xml:space="preserve"> w dan</w:t>
      </w:r>
      <w:r w:rsidRPr="008B7FA4">
        <w:rPr>
          <w:b w:val="0"/>
          <w:noProof/>
          <w:u w:val="none"/>
        </w:rPr>
        <w:t>ej dziedzinie</w:t>
      </w:r>
      <w:r w:rsidR="006B6BC0" w:rsidRPr="008B7FA4">
        <w:rPr>
          <w:b w:val="0"/>
          <w:noProof/>
          <w:u w:val="none"/>
        </w:rPr>
        <w:t xml:space="preserve"> i w ści</w:t>
      </w:r>
      <w:r w:rsidRPr="008B7FA4">
        <w:rPr>
          <w:b w:val="0"/>
          <w:noProof/>
          <w:u w:val="none"/>
        </w:rPr>
        <w:t>słej współpracy</w:t>
      </w:r>
      <w:r w:rsidR="006B6BC0" w:rsidRPr="008B7FA4">
        <w:rPr>
          <w:b w:val="0"/>
          <w:noProof/>
          <w:u w:val="none"/>
        </w:rPr>
        <w:t xml:space="preserve"> z pań</w:t>
      </w:r>
      <w:r w:rsidRPr="008B7FA4">
        <w:rPr>
          <w:b w:val="0"/>
          <w:noProof/>
          <w:u w:val="none"/>
        </w:rPr>
        <w:t>stwami członkowskimi:</w:t>
      </w:r>
    </w:p>
    <w:p w:rsidR="003352D5" w:rsidRPr="008B7FA4" w:rsidRDefault="00ED6708"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sidRPr="008B7FA4">
        <w:rPr>
          <w:b/>
          <w:noProof/>
          <w:szCs w:val="24"/>
        </w:rPr>
        <w:t>–</w:t>
      </w:r>
      <w:r w:rsidRPr="008B7FA4">
        <w:rPr>
          <w:noProof/>
        </w:rPr>
        <w:t xml:space="preserve"> ustanowią do końca 2023</w:t>
      </w:r>
      <w:r w:rsidR="006B6BC0" w:rsidRPr="008B7FA4">
        <w:rPr>
          <w:noProof/>
        </w:rPr>
        <w:t> </w:t>
      </w:r>
      <w:r w:rsidRPr="008B7FA4">
        <w:rPr>
          <w:noProof/>
        </w:rPr>
        <w:t>r. forum niezbędne do zagwarantowania wdrożenia na szczeblu UE środków zapewniających skuteczną wymianę informacji</w:t>
      </w:r>
      <w:r w:rsidR="006B6BC0" w:rsidRPr="008B7FA4">
        <w:rPr>
          <w:noProof/>
        </w:rPr>
        <w:t xml:space="preserve"> i koo</w:t>
      </w:r>
      <w:r w:rsidRPr="008B7FA4">
        <w:rPr>
          <w:noProof/>
        </w:rPr>
        <w:t>rdynację działań</w:t>
      </w:r>
      <w:r w:rsidR="006B6BC0" w:rsidRPr="008B7FA4">
        <w:rPr>
          <w:noProof/>
        </w:rPr>
        <w:t xml:space="preserve"> w zak</w:t>
      </w:r>
      <w:r w:rsidRPr="008B7FA4">
        <w:rPr>
          <w:noProof/>
        </w:rPr>
        <w:t>resie norm</w:t>
      </w:r>
      <w:r w:rsidR="006B6BC0" w:rsidRPr="008B7FA4">
        <w:rPr>
          <w:noProof/>
        </w:rPr>
        <w:t xml:space="preserve"> i wyt</w:t>
      </w:r>
      <w:r w:rsidRPr="008B7FA4">
        <w:rPr>
          <w:noProof/>
        </w:rPr>
        <w:t xml:space="preserve">ycznych opracowywanych na szczeblu międzynarodowym. </w:t>
      </w:r>
    </w:p>
    <w:p w:rsidR="00DE5F65" w:rsidRPr="008B7FA4" w:rsidRDefault="003352D5"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sidRPr="008B7FA4">
        <w:rPr>
          <w:noProof/>
        </w:rPr>
        <w:t>Korzystając ze wsparcia unijnego partnerstwa ds. SST, przemysłu UE i ESA, wspomniane forum:</w:t>
      </w:r>
    </w:p>
    <w:p w:rsidR="00490C50" w:rsidRPr="008B7FA4" w:rsidRDefault="00DE5F65"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142"/>
          <w:tab w:val="left" w:pos="426"/>
        </w:tabs>
        <w:ind w:left="426" w:hanging="426"/>
        <w:rPr>
          <w:rFonts w:eastAsia="Calibri"/>
          <w:noProof/>
          <w:szCs w:val="24"/>
        </w:rPr>
      </w:pPr>
      <w:r w:rsidRPr="008B7FA4">
        <w:rPr>
          <w:noProof/>
        </w:rPr>
        <w:tab/>
        <w:t>a) będzie opracowywało nowe normy na szczeblu europejskim</w:t>
      </w:r>
      <w:r w:rsidR="006B6BC0" w:rsidRPr="008B7FA4">
        <w:rPr>
          <w:noProof/>
        </w:rPr>
        <w:t xml:space="preserve"> i mię</w:t>
      </w:r>
      <w:r w:rsidRPr="008B7FA4">
        <w:rPr>
          <w:noProof/>
        </w:rPr>
        <w:t>dzynarodowym;</w:t>
      </w:r>
    </w:p>
    <w:p w:rsidR="00490C50" w:rsidRPr="008B7FA4" w:rsidRDefault="002003A2"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142"/>
          <w:tab w:val="left" w:pos="426"/>
        </w:tabs>
        <w:ind w:left="426" w:hanging="426"/>
        <w:rPr>
          <w:rFonts w:eastAsia="Calibri"/>
          <w:noProof/>
          <w:szCs w:val="24"/>
        </w:rPr>
      </w:pPr>
      <w:r w:rsidRPr="008B7FA4">
        <w:rPr>
          <w:noProof/>
        </w:rPr>
        <w:tab/>
        <w:t>b)</w:t>
      </w:r>
      <w:r w:rsidRPr="008B7FA4">
        <w:rPr>
          <w:noProof/>
        </w:rPr>
        <w:tab/>
        <w:t>będzie propagowało wybrane normy</w:t>
      </w:r>
      <w:r w:rsidR="006B6BC0" w:rsidRPr="008B7FA4">
        <w:rPr>
          <w:noProof/>
        </w:rPr>
        <w:t xml:space="preserve"> i wyt</w:t>
      </w:r>
      <w:r w:rsidRPr="008B7FA4">
        <w:rPr>
          <w:noProof/>
        </w:rPr>
        <w:t>yczne na szczeblu UE oraz</w:t>
      </w:r>
    </w:p>
    <w:p w:rsidR="00490C50" w:rsidRPr="008B7FA4" w:rsidRDefault="002003A2"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142"/>
          <w:tab w:val="left" w:pos="426"/>
        </w:tabs>
        <w:ind w:left="426" w:hanging="426"/>
        <w:rPr>
          <w:rFonts w:eastAsia="Calibri"/>
          <w:noProof/>
          <w:szCs w:val="24"/>
        </w:rPr>
      </w:pPr>
      <w:r w:rsidRPr="008B7FA4">
        <w:rPr>
          <w:noProof/>
        </w:rPr>
        <w:tab/>
        <w:t>c)</w:t>
      </w:r>
      <w:r w:rsidRPr="008B7FA4">
        <w:rPr>
          <w:noProof/>
        </w:rPr>
        <w:tab/>
        <w:t>opracuje zestaw narzędzi służący zapewnieniu państwom członkowskim wsparcia</w:t>
      </w:r>
      <w:r w:rsidR="006B6BC0" w:rsidRPr="008B7FA4">
        <w:rPr>
          <w:noProof/>
        </w:rPr>
        <w:t xml:space="preserve"> w pro</w:t>
      </w:r>
      <w:r w:rsidRPr="008B7FA4">
        <w:rPr>
          <w:noProof/>
        </w:rPr>
        <w:t>cesie rozpatrywania wniosków</w:t>
      </w:r>
      <w:r w:rsidR="006B6BC0" w:rsidRPr="008B7FA4">
        <w:rPr>
          <w:noProof/>
        </w:rPr>
        <w:t xml:space="preserve"> o udz</w:t>
      </w:r>
      <w:r w:rsidRPr="008B7FA4">
        <w:rPr>
          <w:noProof/>
        </w:rPr>
        <w:t>ielenie koncesji składanych przez operatorów satelitów.</w:t>
      </w:r>
    </w:p>
    <w:p w:rsidR="00490C50" w:rsidRPr="008B7FA4" w:rsidRDefault="00895606"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sidRPr="008B7FA4">
        <w:rPr>
          <w:b/>
          <w:noProof/>
          <w:szCs w:val="24"/>
          <w:u w:val="single"/>
        </w:rPr>
        <w:t>Działanie nr</w:t>
      </w:r>
      <w:r w:rsidR="006B6BC0" w:rsidRPr="008B7FA4">
        <w:rPr>
          <w:b/>
          <w:noProof/>
          <w:szCs w:val="24"/>
          <w:u w:val="single"/>
        </w:rPr>
        <w:t> </w:t>
      </w:r>
      <w:r w:rsidRPr="008B7FA4">
        <w:rPr>
          <w:b/>
          <w:noProof/>
          <w:szCs w:val="24"/>
          <w:u w:val="single"/>
        </w:rPr>
        <w:t>6:</w:t>
      </w:r>
      <w:r w:rsidRPr="008B7FA4">
        <w:rPr>
          <w:noProof/>
        </w:rPr>
        <w:t xml:space="preserve"> Komisja, działając</w:t>
      </w:r>
      <w:r w:rsidR="006B6BC0" w:rsidRPr="008B7FA4">
        <w:rPr>
          <w:noProof/>
        </w:rPr>
        <w:t xml:space="preserve"> w ści</w:t>
      </w:r>
      <w:r w:rsidRPr="008B7FA4">
        <w:rPr>
          <w:noProof/>
        </w:rPr>
        <w:t>słej współpracy</w:t>
      </w:r>
      <w:r w:rsidR="006B6BC0" w:rsidRPr="008B7FA4">
        <w:rPr>
          <w:noProof/>
        </w:rPr>
        <w:t xml:space="preserve"> z pań</w:t>
      </w:r>
      <w:r w:rsidRPr="008B7FA4">
        <w:rPr>
          <w:noProof/>
        </w:rPr>
        <w:t>stwami członkowskimi:</w:t>
      </w:r>
    </w:p>
    <w:p w:rsidR="00ED6708" w:rsidRPr="008B7FA4" w:rsidRDefault="00ED6708"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sidRPr="008B7FA4">
        <w:rPr>
          <w:noProof/>
        </w:rPr>
        <w:t>– zidentyfikuje do końca 2023</w:t>
      </w:r>
      <w:r w:rsidR="006B6BC0" w:rsidRPr="008B7FA4">
        <w:rPr>
          <w:noProof/>
        </w:rPr>
        <w:t> </w:t>
      </w:r>
      <w:r w:rsidRPr="008B7FA4">
        <w:rPr>
          <w:noProof/>
        </w:rPr>
        <w:t>r. potencjalne zachęty</w:t>
      </w:r>
      <w:r w:rsidR="006B6BC0" w:rsidRPr="008B7FA4">
        <w:rPr>
          <w:noProof/>
        </w:rPr>
        <w:t xml:space="preserve"> i mec</w:t>
      </w:r>
      <w:r w:rsidRPr="008B7FA4">
        <w:rPr>
          <w:noProof/>
        </w:rPr>
        <w:t>hanizm certyfikacji na potrzeby wdrażania norm</w:t>
      </w:r>
      <w:r w:rsidR="006B6BC0" w:rsidRPr="008B7FA4">
        <w:rPr>
          <w:noProof/>
        </w:rPr>
        <w:t xml:space="preserve"> i wyt</w:t>
      </w:r>
      <w:r w:rsidRPr="008B7FA4">
        <w:rPr>
          <w:noProof/>
        </w:rPr>
        <w:t>ycznych</w:t>
      </w:r>
      <w:r w:rsidR="006B6BC0" w:rsidRPr="008B7FA4">
        <w:rPr>
          <w:noProof/>
        </w:rPr>
        <w:t xml:space="preserve"> w zak</w:t>
      </w:r>
      <w:r w:rsidRPr="008B7FA4">
        <w:rPr>
          <w:noProof/>
        </w:rPr>
        <w:t>resie STM oraz</w:t>
      </w:r>
    </w:p>
    <w:p w:rsidR="00490C50" w:rsidRPr="008B7FA4" w:rsidRDefault="00ED6708"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sidRPr="008B7FA4">
        <w:rPr>
          <w:noProof/>
        </w:rPr>
        <w:t>– ustanowi wspomniany mechanizm certyfikacji</w:t>
      </w:r>
      <w:r w:rsidR="006B6BC0" w:rsidRPr="008B7FA4">
        <w:rPr>
          <w:noProof/>
        </w:rPr>
        <w:t xml:space="preserve"> i wdr</w:t>
      </w:r>
      <w:r w:rsidRPr="008B7FA4">
        <w:rPr>
          <w:noProof/>
        </w:rPr>
        <w:t>oży powyższe zachęty do końca 2024</w:t>
      </w:r>
      <w:r w:rsidR="006B6BC0" w:rsidRPr="008B7FA4">
        <w:rPr>
          <w:noProof/>
        </w:rPr>
        <w:t> </w:t>
      </w:r>
      <w:r w:rsidRPr="008B7FA4">
        <w:rPr>
          <w:noProof/>
        </w:rPr>
        <w:t>r.</w:t>
      </w:r>
    </w:p>
    <w:p w:rsidR="00EB0B34" w:rsidRPr="008B7FA4" w:rsidRDefault="00895606"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sidRPr="008B7FA4">
        <w:rPr>
          <w:b/>
          <w:noProof/>
          <w:szCs w:val="24"/>
          <w:u w:val="single"/>
        </w:rPr>
        <w:t>Działanie nr</w:t>
      </w:r>
      <w:r w:rsidR="006B6BC0" w:rsidRPr="008B7FA4">
        <w:rPr>
          <w:b/>
          <w:noProof/>
          <w:szCs w:val="24"/>
          <w:u w:val="single"/>
        </w:rPr>
        <w:t> </w:t>
      </w:r>
      <w:r w:rsidRPr="008B7FA4">
        <w:rPr>
          <w:b/>
          <w:noProof/>
          <w:szCs w:val="24"/>
          <w:u w:val="single"/>
        </w:rPr>
        <w:t>7:</w:t>
      </w:r>
      <w:r w:rsidRPr="008B7FA4">
        <w:rPr>
          <w:noProof/>
        </w:rPr>
        <w:t xml:space="preserve"> Komisja, działając</w:t>
      </w:r>
      <w:r w:rsidR="006B6BC0" w:rsidRPr="008B7FA4">
        <w:rPr>
          <w:noProof/>
        </w:rPr>
        <w:t xml:space="preserve"> w ści</w:t>
      </w:r>
      <w:r w:rsidRPr="008B7FA4">
        <w:rPr>
          <w:noProof/>
        </w:rPr>
        <w:t>słej współpracy</w:t>
      </w:r>
      <w:r w:rsidR="006B6BC0" w:rsidRPr="008B7FA4">
        <w:rPr>
          <w:noProof/>
        </w:rPr>
        <w:t xml:space="preserve"> z pań</w:t>
      </w:r>
      <w:r w:rsidRPr="008B7FA4">
        <w:rPr>
          <w:noProof/>
        </w:rPr>
        <w:t>stwami członkowskimi:</w:t>
      </w:r>
    </w:p>
    <w:p w:rsidR="00C91BB3" w:rsidRPr="008B7FA4" w:rsidRDefault="00EB0B34" w:rsidP="00FB41CA">
      <w:pPr>
        <w:pStyle w:val="Action"/>
        <w:keepNext/>
        <w:keepLines/>
        <w:shd w:val="pct10" w:color="auto" w:fill="auto"/>
        <w:rPr>
          <w:noProof/>
        </w:rPr>
      </w:pPr>
      <w:r w:rsidRPr="008B7FA4">
        <w:rPr>
          <w:noProof/>
          <w:u w:val="none"/>
        </w:rPr>
        <w:t xml:space="preserve">– </w:t>
      </w:r>
      <w:r w:rsidRPr="008B7FA4">
        <w:rPr>
          <w:b w:val="0"/>
          <w:noProof/>
          <w:u w:val="none"/>
        </w:rPr>
        <w:t>do końca 2023</w:t>
      </w:r>
      <w:r w:rsidR="006B6BC0" w:rsidRPr="008B7FA4">
        <w:rPr>
          <w:b w:val="0"/>
          <w:noProof/>
          <w:u w:val="none"/>
        </w:rPr>
        <w:t> </w:t>
      </w:r>
      <w:r w:rsidRPr="008B7FA4">
        <w:rPr>
          <w:b w:val="0"/>
          <w:noProof/>
          <w:u w:val="none"/>
        </w:rPr>
        <w:t>r. zaproponuje wstępny, ograniczony zbiór obowiązków;</w:t>
      </w:r>
    </w:p>
    <w:p w:rsidR="00630C8C" w:rsidRPr="008B7FA4" w:rsidRDefault="00C3600C" w:rsidP="00FB41CA">
      <w:pPr>
        <w:pStyle w:val="Action"/>
        <w:keepNext/>
        <w:keepLines/>
        <w:shd w:val="pct10" w:color="auto" w:fill="auto"/>
        <w:rPr>
          <w:noProof/>
        </w:rPr>
      </w:pPr>
      <w:r w:rsidRPr="008B7FA4">
        <w:rPr>
          <w:b w:val="0"/>
          <w:noProof/>
          <w:u w:val="none"/>
        </w:rPr>
        <w:t>– do połowy 2024</w:t>
      </w:r>
      <w:r w:rsidR="006B6BC0" w:rsidRPr="008B7FA4">
        <w:rPr>
          <w:b w:val="0"/>
          <w:noProof/>
          <w:u w:val="none"/>
        </w:rPr>
        <w:t> </w:t>
      </w:r>
      <w:r w:rsidRPr="008B7FA4">
        <w:rPr>
          <w:b w:val="0"/>
          <w:noProof/>
          <w:u w:val="none"/>
        </w:rPr>
        <w:t>r. zidentyfikuje potencjalne obszary, które powinny zostać uregulowane</w:t>
      </w:r>
      <w:r w:rsidR="006B6BC0" w:rsidRPr="008B7FA4">
        <w:rPr>
          <w:b w:val="0"/>
          <w:noProof/>
          <w:u w:val="none"/>
        </w:rPr>
        <w:t xml:space="preserve"> w uni</w:t>
      </w:r>
      <w:r w:rsidRPr="008B7FA4">
        <w:rPr>
          <w:b w:val="0"/>
          <w:noProof/>
          <w:u w:val="none"/>
        </w:rPr>
        <w:t>jnych przepisach</w:t>
      </w:r>
      <w:r w:rsidR="006B6BC0" w:rsidRPr="008B7FA4">
        <w:rPr>
          <w:b w:val="0"/>
          <w:noProof/>
          <w:u w:val="none"/>
        </w:rPr>
        <w:t xml:space="preserve"> w zak</w:t>
      </w:r>
      <w:r w:rsidRPr="008B7FA4">
        <w:rPr>
          <w:b w:val="0"/>
          <w:noProof/>
          <w:u w:val="none"/>
        </w:rPr>
        <w:t>resie STM oraz</w:t>
      </w:r>
    </w:p>
    <w:p w:rsidR="00630C8C" w:rsidRPr="008B7FA4" w:rsidRDefault="00630C8C" w:rsidP="00FB41CA">
      <w:pPr>
        <w:pStyle w:val="Action"/>
        <w:keepNext/>
        <w:keepLines/>
        <w:shd w:val="pct10" w:color="auto" w:fill="auto"/>
        <w:rPr>
          <w:noProof/>
        </w:rPr>
      </w:pPr>
      <w:r w:rsidRPr="008B7FA4">
        <w:rPr>
          <w:b w:val="0"/>
          <w:noProof/>
          <w:u w:val="none"/>
        </w:rPr>
        <w:t>– do końca 2024</w:t>
      </w:r>
      <w:r w:rsidR="006B6BC0" w:rsidRPr="008B7FA4">
        <w:rPr>
          <w:b w:val="0"/>
          <w:noProof/>
          <w:u w:val="none"/>
        </w:rPr>
        <w:t> </w:t>
      </w:r>
      <w:r w:rsidRPr="008B7FA4">
        <w:rPr>
          <w:b w:val="0"/>
          <w:noProof/>
          <w:u w:val="none"/>
        </w:rPr>
        <w:t>r. przedstawi wniosek dotyczący unijnych przepisów</w:t>
      </w:r>
      <w:r w:rsidR="006B6BC0" w:rsidRPr="008B7FA4">
        <w:rPr>
          <w:b w:val="0"/>
          <w:noProof/>
          <w:u w:val="none"/>
        </w:rPr>
        <w:t xml:space="preserve"> w zak</w:t>
      </w:r>
      <w:r w:rsidRPr="008B7FA4">
        <w:rPr>
          <w:b w:val="0"/>
          <w:noProof/>
          <w:u w:val="none"/>
        </w:rPr>
        <w:t>resie STM.</w:t>
      </w:r>
    </w:p>
    <w:p w:rsidR="00630C8C" w:rsidRPr="008B7FA4" w:rsidRDefault="00630C8C" w:rsidP="006F4309">
      <w:pPr>
        <w:keepNext/>
        <w:keepLines/>
        <w:rPr>
          <w:noProof/>
        </w:rPr>
      </w:pPr>
      <w:bookmarkStart w:id="110" w:name="_Toc92283885"/>
      <w:bookmarkStart w:id="111" w:name="_Toc92382180"/>
    </w:p>
    <w:p w:rsidR="00630C8C" w:rsidRPr="008B7FA4" w:rsidRDefault="00630C8C" w:rsidP="009E7D75">
      <w:pPr>
        <w:pStyle w:val="Heading1"/>
        <w:spacing w:before="0"/>
        <w:rPr>
          <w:noProof/>
        </w:rPr>
      </w:pPr>
      <w:r w:rsidRPr="008B7FA4">
        <w:rPr>
          <w:noProof/>
        </w:rPr>
        <w:t>PROPAGOWANIE UNIJNEGO PODEJŚCIA DO STM</w:t>
      </w:r>
      <w:bookmarkEnd w:id="110"/>
      <w:bookmarkEnd w:id="111"/>
      <w:r w:rsidRPr="008B7FA4">
        <w:rPr>
          <w:noProof/>
        </w:rPr>
        <w:t xml:space="preserve"> NA SZCZEBLU GLOBALNYM</w:t>
      </w:r>
    </w:p>
    <w:p w:rsidR="00630C8C" w:rsidRPr="008B7FA4" w:rsidRDefault="00630C8C" w:rsidP="009E7D75">
      <w:pPr>
        <w:rPr>
          <w:noProof/>
        </w:rPr>
      </w:pPr>
      <w:r w:rsidRPr="008B7FA4">
        <w:rPr>
          <w:b/>
          <w:noProof/>
        </w:rPr>
        <w:t>Celem unijnego podejścia do STM jest wniesienie wkładu</w:t>
      </w:r>
      <w:r w:rsidR="006B6BC0" w:rsidRPr="008B7FA4">
        <w:rPr>
          <w:b/>
          <w:noProof/>
        </w:rPr>
        <w:t xml:space="preserve"> w rea</w:t>
      </w:r>
      <w:r w:rsidRPr="008B7FA4">
        <w:rPr>
          <w:b/>
          <w:noProof/>
        </w:rPr>
        <w:t>lizację globalnego przedsięwzięcia</w:t>
      </w:r>
      <w:r w:rsidRPr="008B7FA4">
        <w:rPr>
          <w:noProof/>
        </w:rPr>
        <w:t xml:space="preserve"> poprzez połączenie zdolności</w:t>
      </w:r>
      <w:r w:rsidR="006B6BC0" w:rsidRPr="008B7FA4">
        <w:rPr>
          <w:noProof/>
        </w:rPr>
        <w:t xml:space="preserve"> i nar</w:t>
      </w:r>
      <w:r w:rsidRPr="008B7FA4">
        <w:rPr>
          <w:noProof/>
        </w:rPr>
        <w:t>zędzi istniejących na szczeblu regionalnym</w:t>
      </w:r>
      <w:r w:rsidR="006B6BC0" w:rsidRPr="008B7FA4">
        <w:rPr>
          <w:noProof/>
        </w:rPr>
        <w:t xml:space="preserve"> z ogó</w:t>
      </w:r>
      <w:r w:rsidRPr="008B7FA4">
        <w:rPr>
          <w:noProof/>
        </w:rPr>
        <w:t>lną ambicją dotyczącą współpracy na szczeblu globalnym. Działania</w:t>
      </w:r>
      <w:r w:rsidR="006B6BC0" w:rsidRPr="008B7FA4">
        <w:rPr>
          <w:noProof/>
        </w:rPr>
        <w:t xml:space="preserve"> w tym</w:t>
      </w:r>
      <w:r w:rsidRPr="008B7FA4">
        <w:rPr>
          <w:noProof/>
        </w:rPr>
        <w:t xml:space="preserve"> zakresie stanowią „ścieżkę zewnętrzną” unijnego podejścia do STM,</w:t>
      </w:r>
      <w:r w:rsidR="006B6BC0" w:rsidRPr="008B7FA4">
        <w:rPr>
          <w:noProof/>
        </w:rPr>
        <w:t xml:space="preserve"> w ram</w:t>
      </w:r>
      <w:r w:rsidRPr="008B7FA4">
        <w:rPr>
          <w:noProof/>
        </w:rPr>
        <w:t>ach której planuje się propagować bardziej pragmatyczne</w:t>
      </w:r>
      <w:r w:rsidR="006B6BC0" w:rsidRPr="008B7FA4">
        <w:rPr>
          <w:noProof/>
        </w:rPr>
        <w:t xml:space="preserve"> i kon</w:t>
      </w:r>
      <w:r w:rsidRPr="008B7FA4">
        <w:rPr>
          <w:noProof/>
        </w:rPr>
        <w:t>kretne rozwiązania sprzyjające budowaniu STM</w:t>
      </w:r>
      <w:r w:rsidR="006B6BC0" w:rsidRPr="008B7FA4">
        <w:rPr>
          <w:noProof/>
        </w:rPr>
        <w:t xml:space="preserve"> o bar</w:t>
      </w:r>
      <w:r w:rsidRPr="008B7FA4">
        <w:rPr>
          <w:noProof/>
        </w:rPr>
        <w:t>dziej globalnym charakterze. Pozwoliłoby to zapewnić zgodność</w:t>
      </w:r>
      <w:r w:rsidR="006B6BC0" w:rsidRPr="008B7FA4">
        <w:rPr>
          <w:noProof/>
        </w:rPr>
        <w:t xml:space="preserve"> z pod</w:t>
      </w:r>
      <w:r w:rsidRPr="008B7FA4">
        <w:rPr>
          <w:noProof/>
        </w:rPr>
        <w:t>stawowymi zasadami</w:t>
      </w:r>
      <w:r w:rsidR="006B6BC0" w:rsidRPr="008B7FA4">
        <w:rPr>
          <w:noProof/>
        </w:rPr>
        <w:t xml:space="preserve"> i war</w:t>
      </w:r>
      <w:r w:rsidRPr="008B7FA4">
        <w:rPr>
          <w:noProof/>
        </w:rPr>
        <w:t>tościami UE dotyczącymi przestrzeni kosmicznej przy jednoczesnym zachowaniu jej interesów dyplomatycznych, gospodarczych</w:t>
      </w:r>
      <w:r w:rsidR="006B6BC0" w:rsidRPr="008B7FA4">
        <w:rPr>
          <w:noProof/>
        </w:rPr>
        <w:t xml:space="preserve"> i pol</w:t>
      </w:r>
      <w:r w:rsidRPr="008B7FA4">
        <w:rPr>
          <w:noProof/>
        </w:rPr>
        <w:t>itycznych,</w:t>
      </w:r>
      <w:r w:rsidR="006B6BC0" w:rsidRPr="008B7FA4">
        <w:rPr>
          <w:noProof/>
        </w:rPr>
        <w:t xml:space="preserve"> a tak</w:t>
      </w:r>
      <w:r w:rsidRPr="008B7FA4">
        <w:rPr>
          <w:noProof/>
        </w:rPr>
        <w:t>że interesów jej państw członkowskich</w:t>
      </w:r>
      <w:r w:rsidR="006B6BC0" w:rsidRPr="008B7FA4">
        <w:rPr>
          <w:noProof/>
        </w:rPr>
        <w:t xml:space="preserve"> w tym</w:t>
      </w:r>
      <w:r w:rsidRPr="008B7FA4">
        <w:rPr>
          <w:noProof/>
        </w:rPr>
        <w:t xml:space="preserve"> obszarze. </w:t>
      </w:r>
    </w:p>
    <w:p w:rsidR="00630C8C" w:rsidRPr="008B7FA4" w:rsidRDefault="00630C8C" w:rsidP="00A72424">
      <w:pPr>
        <w:pStyle w:val="Heading2"/>
        <w:rPr>
          <w:noProof/>
        </w:rPr>
      </w:pPr>
      <w:bookmarkStart w:id="112" w:name="_Toc92283886"/>
      <w:bookmarkStart w:id="113" w:name="_Toc92382181"/>
      <w:r w:rsidRPr="008B7FA4">
        <w:rPr>
          <w:noProof/>
        </w:rPr>
        <w:t>Propagowanie wielostronnego podejścia do STM</w:t>
      </w:r>
      <w:bookmarkEnd w:id="112"/>
      <w:bookmarkEnd w:id="113"/>
    </w:p>
    <w:p w:rsidR="00630C8C" w:rsidRPr="008B7FA4" w:rsidRDefault="009C5918" w:rsidP="009E7D75">
      <w:pPr>
        <w:rPr>
          <w:noProof/>
        </w:rPr>
      </w:pPr>
      <w:r w:rsidRPr="008B7FA4">
        <w:rPr>
          <w:noProof/>
        </w:rPr>
        <w:t>Celem unijnego podejścia do STM jest wniesienie wkładu</w:t>
      </w:r>
      <w:r w:rsidR="006B6BC0" w:rsidRPr="008B7FA4">
        <w:rPr>
          <w:noProof/>
        </w:rPr>
        <w:t xml:space="preserve"> w bud</w:t>
      </w:r>
      <w:r w:rsidRPr="008B7FA4">
        <w:rPr>
          <w:noProof/>
        </w:rPr>
        <w:t>owę globalnego systemu STM, który będzie zarządzany na szczeblu międzynarodowym. Już</w:t>
      </w:r>
      <w:r w:rsidR="006B6BC0" w:rsidRPr="008B7FA4">
        <w:rPr>
          <w:noProof/>
        </w:rPr>
        <w:t xml:space="preserve"> w tej</w:t>
      </w:r>
      <w:r w:rsidRPr="008B7FA4">
        <w:rPr>
          <w:noProof/>
        </w:rPr>
        <w:t xml:space="preserve"> chwili UE:</w:t>
      </w:r>
    </w:p>
    <w:p w:rsidR="00630C8C" w:rsidRPr="008B7FA4" w:rsidRDefault="00630C8C" w:rsidP="009E7D75">
      <w:pPr>
        <w:numPr>
          <w:ilvl w:val="0"/>
          <w:numId w:val="10"/>
        </w:numPr>
        <w:rPr>
          <w:rFonts w:asciiTheme="minorHAnsi" w:hAnsiTheme="minorHAnsi"/>
          <w:noProof/>
          <w:sz w:val="22"/>
        </w:rPr>
      </w:pPr>
      <w:r w:rsidRPr="008B7FA4">
        <w:rPr>
          <w:noProof/>
        </w:rPr>
        <w:t xml:space="preserve">wspiera działania przyczyniające się do </w:t>
      </w:r>
      <w:r w:rsidRPr="008B7FA4">
        <w:rPr>
          <w:b/>
          <w:noProof/>
        </w:rPr>
        <w:t>zapewnienia bezpiecznego</w:t>
      </w:r>
      <w:r w:rsidR="006B6BC0" w:rsidRPr="008B7FA4">
        <w:rPr>
          <w:b/>
          <w:noProof/>
        </w:rPr>
        <w:t xml:space="preserve"> i zró</w:t>
      </w:r>
      <w:r w:rsidRPr="008B7FA4">
        <w:rPr>
          <w:b/>
          <w:noProof/>
        </w:rPr>
        <w:t>wnoważonego środowiska kosmicznego</w:t>
      </w:r>
      <w:r w:rsidR="006B6BC0" w:rsidRPr="008B7FA4">
        <w:rPr>
          <w:noProof/>
        </w:rPr>
        <w:t xml:space="preserve"> i pro</w:t>
      </w:r>
      <w:r w:rsidRPr="008B7FA4">
        <w:rPr>
          <w:noProof/>
        </w:rPr>
        <w:t>paguje bezpieczne korzystanie</w:t>
      </w:r>
      <w:r w:rsidR="006B6BC0" w:rsidRPr="008B7FA4">
        <w:rPr>
          <w:noProof/>
        </w:rPr>
        <w:t xml:space="preserve"> z prz</w:t>
      </w:r>
      <w:r w:rsidRPr="008B7FA4">
        <w:rPr>
          <w:noProof/>
        </w:rPr>
        <w:t>estrzeni kosmicznej na sprawiedliwych</w:t>
      </w:r>
      <w:r w:rsidR="006B6BC0" w:rsidRPr="008B7FA4">
        <w:rPr>
          <w:noProof/>
        </w:rPr>
        <w:t xml:space="preserve"> i wza</w:t>
      </w:r>
      <w:r w:rsidRPr="008B7FA4">
        <w:rPr>
          <w:noProof/>
        </w:rPr>
        <w:t xml:space="preserve">jemnie uznawanych zasadach; </w:t>
      </w:r>
    </w:p>
    <w:p w:rsidR="00630C8C" w:rsidRPr="008B7FA4" w:rsidRDefault="00630C8C" w:rsidP="009E7D75">
      <w:pPr>
        <w:numPr>
          <w:ilvl w:val="0"/>
          <w:numId w:val="10"/>
        </w:numPr>
        <w:rPr>
          <w:rFonts w:asciiTheme="minorHAnsi" w:hAnsiTheme="minorHAnsi"/>
          <w:noProof/>
          <w:sz w:val="22"/>
        </w:rPr>
      </w:pPr>
      <w:r w:rsidRPr="008B7FA4">
        <w:rPr>
          <w:noProof/>
        </w:rPr>
        <w:t xml:space="preserve">podkreśla znaczenie </w:t>
      </w:r>
      <w:r w:rsidRPr="008B7FA4">
        <w:rPr>
          <w:b/>
          <w:noProof/>
        </w:rPr>
        <w:t>środków budowy przejrzystości</w:t>
      </w:r>
      <w:r w:rsidR="006B6BC0" w:rsidRPr="008B7FA4">
        <w:rPr>
          <w:b/>
          <w:noProof/>
        </w:rPr>
        <w:t xml:space="preserve"> i zau</w:t>
      </w:r>
      <w:r w:rsidRPr="008B7FA4">
        <w:rPr>
          <w:b/>
          <w:noProof/>
        </w:rPr>
        <w:t>fania</w:t>
      </w:r>
      <w:r w:rsidRPr="008B7FA4">
        <w:rPr>
          <w:noProof/>
        </w:rPr>
        <w:t xml:space="preserve"> oraz </w:t>
      </w:r>
    </w:p>
    <w:p w:rsidR="00630C8C" w:rsidRPr="008B7FA4" w:rsidRDefault="00630C8C" w:rsidP="009E7D75">
      <w:pPr>
        <w:numPr>
          <w:ilvl w:val="0"/>
          <w:numId w:val="10"/>
        </w:numPr>
        <w:rPr>
          <w:rFonts w:asciiTheme="minorHAnsi" w:hAnsiTheme="minorHAnsi"/>
          <w:noProof/>
          <w:sz w:val="22"/>
        </w:rPr>
      </w:pPr>
      <w:r w:rsidRPr="008B7FA4">
        <w:rPr>
          <w:noProof/>
        </w:rPr>
        <w:t xml:space="preserve">opowiada się za </w:t>
      </w:r>
      <w:r w:rsidRPr="008B7FA4">
        <w:rPr>
          <w:b/>
          <w:noProof/>
        </w:rPr>
        <w:t>odpowiedzialnym zachowaniem</w:t>
      </w:r>
      <w:r w:rsidR="006B6BC0" w:rsidRPr="008B7FA4">
        <w:rPr>
          <w:b/>
          <w:noProof/>
        </w:rPr>
        <w:t xml:space="preserve"> w prz</w:t>
      </w:r>
      <w:r w:rsidRPr="008B7FA4">
        <w:rPr>
          <w:b/>
          <w:noProof/>
        </w:rPr>
        <w:t>estrzeni kosmicznej</w:t>
      </w:r>
      <w:r w:rsidR="006B6BC0" w:rsidRPr="008B7FA4">
        <w:rPr>
          <w:noProof/>
        </w:rPr>
        <w:t xml:space="preserve"> w ram</w:t>
      </w:r>
      <w:r w:rsidRPr="008B7FA4">
        <w:rPr>
          <w:noProof/>
        </w:rPr>
        <w:t>ach wyznaczonych przez Organizację Narodów Zjednoczonych.</w:t>
      </w:r>
    </w:p>
    <w:p w:rsidR="00630C8C" w:rsidRPr="008B7FA4" w:rsidRDefault="00630C8C" w:rsidP="009E7D75">
      <w:pPr>
        <w:rPr>
          <w:rFonts w:cs="Times New Roman"/>
          <w:noProof/>
        </w:rPr>
      </w:pPr>
      <w:r w:rsidRPr="008B7FA4">
        <w:rPr>
          <w:noProof/>
        </w:rPr>
        <w:t xml:space="preserve">W oparciu o te zasady unijne podejście do </w:t>
      </w:r>
      <w:r w:rsidRPr="008B7FA4">
        <w:rPr>
          <w:b/>
          <w:noProof/>
        </w:rPr>
        <w:t>STM będzie sprzyjało wielostronnemu podejściu do STM</w:t>
      </w:r>
      <w:r w:rsidR="006B6BC0" w:rsidRPr="008B7FA4">
        <w:rPr>
          <w:b/>
          <w:noProof/>
        </w:rPr>
        <w:t xml:space="preserve"> w ram</w:t>
      </w:r>
      <w:r w:rsidRPr="008B7FA4">
        <w:rPr>
          <w:b/>
          <w:noProof/>
        </w:rPr>
        <w:t>ach ONZ</w:t>
      </w:r>
      <w:r w:rsidR="006B6BC0" w:rsidRPr="008B7FA4">
        <w:rPr>
          <w:noProof/>
        </w:rPr>
        <w:t>. W ram</w:t>
      </w:r>
      <w:r w:rsidRPr="008B7FA4">
        <w:rPr>
          <w:noProof/>
        </w:rPr>
        <w:t>ach unijnego podejścia do STM Unia będzie stwarzała warunki sprzyjające prowadzeniu dyskusji poświęconych STM na odpowiednich forach ONZ,</w:t>
      </w:r>
      <w:r w:rsidR="006B6BC0" w:rsidRPr="008B7FA4">
        <w:rPr>
          <w:noProof/>
        </w:rPr>
        <w:t xml:space="preserve"> w szc</w:t>
      </w:r>
      <w:r w:rsidRPr="008B7FA4">
        <w:rPr>
          <w:noProof/>
        </w:rPr>
        <w:t>zególności na forum Komitetu ds. Pokojowego Wykorzystania Przestrzeni Kosmicznej (COPUOS), ale również na forum Konferencji Rozbrojeniowej, aby doprowadzić do zainicjowania dyskusji na ten temat podczas Zgromadzenia Ogólnego ONZ. UE zidentyfikuje odpowiednie organy ONZ, które mogłyby wesprzeć takie działania lub wnieść wkład</w:t>
      </w:r>
      <w:r w:rsidR="006B6BC0" w:rsidRPr="008B7FA4">
        <w:rPr>
          <w:noProof/>
        </w:rPr>
        <w:t xml:space="preserve"> w ich</w:t>
      </w:r>
      <w:r w:rsidRPr="008B7FA4">
        <w:rPr>
          <w:noProof/>
        </w:rPr>
        <w:t xml:space="preserve"> realizację,</w:t>
      </w:r>
      <w:r w:rsidR="006B6BC0" w:rsidRPr="008B7FA4">
        <w:rPr>
          <w:noProof/>
        </w:rPr>
        <w:t xml:space="preserve"> i naw</w:t>
      </w:r>
      <w:r w:rsidRPr="008B7FA4">
        <w:rPr>
          <w:noProof/>
        </w:rPr>
        <w:t>iąże</w:t>
      </w:r>
      <w:r w:rsidR="006B6BC0" w:rsidRPr="008B7FA4">
        <w:rPr>
          <w:noProof/>
        </w:rPr>
        <w:t xml:space="preserve"> z nim</w:t>
      </w:r>
      <w:r w:rsidRPr="008B7FA4">
        <w:rPr>
          <w:noProof/>
        </w:rPr>
        <w:t>i współpracę. Na przykład Międzynarodowy Związek Telekomunikacyjny bierze już udział</w:t>
      </w:r>
      <w:r w:rsidR="006B6BC0" w:rsidRPr="008B7FA4">
        <w:rPr>
          <w:noProof/>
        </w:rPr>
        <w:t xml:space="preserve"> w pro</w:t>
      </w:r>
      <w:r w:rsidRPr="008B7FA4">
        <w:rPr>
          <w:noProof/>
        </w:rPr>
        <w:t>cesie zarządzania orbitami</w:t>
      </w:r>
      <w:r w:rsidR="006B6BC0" w:rsidRPr="008B7FA4">
        <w:rPr>
          <w:noProof/>
        </w:rPr>
        <w:t xml:space="preserve"> i por</w:t>
      </w:r>
      <w:r w:rsidRPr="008B7FA4">
        <w:rPr>
          <w:noProof/>
        </w:rPr>
        <w:t>ządkowania częstotliwości</w:t>
      </w:r>
      <w:r w:rsidR="006B6BC0" w:rsidRPr="008B7FA4">
        <w:rPr>
          <w:noProof/>
        </w:rPr>
        <w:t xml:space="preserve"> i prz</w:t>
      </w:r>
      <w:r w:rsidRPr="008B7FA4">
        <w:rPr>
          <w:noProof/>
        </w:rPr>
        <w:t>eprowadza rutynowe działania normalizacyjne</w:t>
      </w:r>
      <w:r w:rsidR="006B6BC0" w:rsidRPr="008B7FA4">
        <w:rPr>
          <w:noProof/>
        </w:rPr>
        <w:t xml:space="preserve"> w róż</w:t>
      </w:r>
      <w:r w:rsidRPr="008B7FA4">
        <w:rPr>
          <w:noProof/>
        </w:rPr>
        <w:t>nych obszarach. Organizacja Międzynarodowego Lotnictwa Cywilnego również angażuje się</w:t>
      </w:r>
      <w:r w:rsidR="006B6BC0" w:rsidRPr="008B7FA4">
        <w:rPr>
          <w:noProof/>
        </w:rPr>
        <w:t xml:space="preserve"> w pro</w:t>
      </w:r>
      <w:r w:rsidRPr="008B7FA4">
        <w:rPr>
          <w:noProof/>
        </w:rPr>
        <w:t>ces opracowywania norm</w:t>
      </w:r>
      <w:r w:rsidR="006B6BC0" w:rsidRPr="008B7FA4">
        <w:rPr>
          <w:noProof/>
        </w:rPr>
        <w:t xml:space="preserve"> w dzi</w:t>
      </w:r>
      <w:r w:rsidRPr="008B7FA4">
        <w:rPr>
          <w:noProof/>
        </w:rPr>
        <w:t>edzinach,</w:t>
      </w:r>
      <w:r w:rsidR="006B6BC0" w:rsidRPr="008B7FA4">
        <w:rPr>
          <w:noProof/>
        </w:rPr>
        <w:t xml:space="preserve"> w któ</w:t>
      </w:r>
      <w:r w:rsidRPr="008B7FA4">
        <w:rPr>
          <w:noProof/>
        </w:rPr>
        <w:t>rych operacje kosmiczne wchodzą</w:t>
      </w:r>
      <w:r w:rsidR="006B6BC0" w:rsidRPr="008B7FA4">
        <w:rPr>
          <w:noProof/>
        </w:rPr>
        <w:t xml:space="preserve"> w int</w:t>
      </w:r>
      <w:r w:rsidRPr="008B7FA4">
        <w:rPr>
          <w:noProof/>
        </w:rPr>
        <w:t>erakcję</w:t>
      </w:r>
      <w:r w:rsidR="006B6BC0" w:rsidRPr="008B7FA4">
        <w:rPr>
          <w:noProof/>
        </w:rPr>
        <w:t xml:space="preserve"> z lot</w:t>
      </w:r>
      <w:r w:rsidRPr="008B7FA4">
        <w:rPr>
          <w:noProof/>
        </w:rPr>
        <w:t>nictwem cywilnym.</w:t>
      </w:r>
    </w:p>
    <w:p w:rsidR="00494819" w:rsidRPr="008B7FA4" w:rsidRDefault="00494819" w:rsidP="00494819">
      <w:pPr>
        <w:rPr>
          <w:noProof/>
        </w:rPr>
      </w:pPr>
      <w:r w:rsidRPr="008B7FA4">
        <w:rPr>
          <w:noProof/>
        </w:rPr>
        <w:t>Przyjęcie przez UE odpowiednich traktatów</w:t>
      </w:r>
      <w:r w:rsidR="006B6BC0" w:rsidRPr="008B7FA4">
        <w:rPr>
          <w:noProof/>
        </w:rPr>
        <w:t xml:space="preserve"> i kon</w:t>
      </w:r>
      <w:r w:rsidRPr="008B7FA4">
        <w:rPr>
          <w:noProof/>
        </w:rPr>
        <w:t>wencji ONZ dotyczących przestrzeni kosmicznej, do czego państwa członkowskie wielokrotnie ją wzywały, przyczyniłoby się do zwiększenia wiarygodności UE</w:t>
      </w:r>
      <w:r w:rsidR="006B6BC0" w:rsidRPr="008B7FA4">
        <w:rPr>
          <w:noProof/>
        </w:rPr>
        <w:t xml:space="preserve"> w kwe</w:t>
      </w:r>
      <w:r w:rsidRPr="008B7FA4">
        <w:rPr>
          <w:noProof/>
        </w:rPr>
        <w:t>stii propagowania zrównoważonego sposobu korzystania</w:t>
      </w:r>
      <w:r w:rsidR="006B6BC0" w:rsidRPr="008B7FA4">
        <w:rPr>
          <w:noProof/>
        </w:rPr>
        <w:t xml:space="preserve"> z prz</w:t>
      </w:r>
      <w:r w:rsidRPr="008B7FA4">
        <w:rPr>
          <w:noProof/>
        </w:rPr>
        <w:t>estrzeni kosmicznej oraz odpowiedzialnego zachowania</w:t>
      </w:r>
      <w:r w:rsidR="006B6BC0" w:rsidRPr="008B7FA4">
        <w:rPr>
          <w:noProof/>
        </w:rPr>
        <w:t xml:space="preserve"> w tej</w:t>
      </w:r>
      <w:r w:rsidRPr="008B7FA4">
        <w:rPr>
          <w:noProof/>
        </w:rPr>
        <w:t xml:space="preserve"> przestrzeni,</w:t>
      </w:r>
      <w:r w:rsidR="006B6BC0" w:rsidRPr="008B7FA4">
        <w:rPr>
          <w:noProof/>
        </w:rPr>
        <w:t xml:space="preserve"> a tak</w:t>
      </w:r>
      <w:r w:rsidRPr="008B7FA4">
        <w:rPr>
          <w:noProof/>
        </w:rPr>
        <w:t>że wzmocniłoby jej pozycję</w:t>
      </w:r>
      <w:r w:rsidR="006B6BC0" w:rsidRPr="008B7FA4">
        <w:rPr>
          <w:noProof/>
        </w:rPr>
        <w:t xml:space="preserve"> i leg</w:t>
      </w:r>
      <w:r w:rsidRPr="008B7FA4">
        <w:rPr>
          <w:noProof/>
        </w:rPr>
        <w:t>itymację na szczeblu międzynarodowym. Przepisy międzynarodowe mające zastosowanie do działań prowadzonych</w:t>
      </w:r>
      <w:r w:rsidR="006B6BC0" w:rsidRPr="008B7FA4">
        <w:rPr>
          <w:noProof/>
        </w:rPr>
        <w:t xml:space="preserve"> w prz</w:t>
      </w:r>
      <w:r w:rsidRPr="008B7FA4">
        <w:rPr>
          <w:noProof/>
        </w:rPr>
        <w:t>estrzeni kosmicznej zostały zawarte</w:t>
      </w:r>
      <w:r w:rsidR="006B6BC0" w:rsidRPr="008B7FA4">
        <w:rPr>
          <w:noProof/>
        </w:rPr>
        <w:t xml:space="preserve"> w pię</w:t>
      </w:r>
      <w:r w:rsidRPr="008B7FA4">
        <w:rPr>
          <w:noProof/>
        </w:rPr>
        <w:t>ciu konwencjach międzynarodowych określanych powszechnie mianem „pięciu traktatów Organizacji Narodów Zjednoczonych poświęconych przestrzeni kosmicznej” – organizacje międzynarodowe nie mogą obecnie przystąpić do tych traktatów. Choć organizacje międzynarodowe mogą przystąpić do umowy</w:t>
      </w:r>
      <w:r w:rsidR="006B6BC0" w:rsidRPr="008B7FA4">
        <w:rPr>
          <w:noProof/>
        </w:rPr>
        <w:t xml:space="preserve"> o rat</w:t>
      </w:r>
      <w:r w:rsidRPr="008B7FA4">
        <w:rPr>
          <w:noProof/>
        </w:rPr>
        <w:t>owaniu kosmonautów, Konwencji</w:t>
      </w:r>
      <w:r w:rsidR="006B6BC0" w:rsidRPr="008B7FA4">
        <w:rPr>
          <w:noProof/>
        </w:rPr>
        <w:t xml:space="preserve"> o mię</w:t>
      </w:r>
      <w:r w:rsidRPr="008B7FA4">
        <w:rPr>
          <w:noProof/>
        </w:rPr>
        <w:t>dzynarodowej odpowiedzialności za szkody wyrządzone przez obiekty kosmiczne</w:t>
      </w:r>
      <w:r w:rsidR="006B6BC0" w:rsidRPr="008B7FA4">
        <w:rPr>
          <w:noProof/>
        </w:rPr>
        <w:t xml:space="preserve"> i Kon</w:t>
      </w:r>
      <w:r w:rsidRPr="008B7FA4">
        <w:rPr>
          <w:noProof/>
        </w:rPr>
        <w:t>wencji</w:t>
      </w:r>
      <w:r w:rsidR="006B6BC0" w:rsidRPr="008B7FA4">
        <w:rPr>
          <w:noProof/>
        </w:rPr>
        <w:t xml:space="preserve"> o rej</w:t>
      </w:r>
      <w:r w:rsidRPr="008B7FA4">
        <w:rPr>
          <w:noProof/>
        </w:rPr>
        <w:t>estracji obiektów wypuszczonych</w:t>
      </w:r>
      <w:r w:rsidR="006B6BC0" w:rsidRPr="008B7FA4">
        <w:rPr>
          <w:noProof/>
        </w:rPr>
        <w:t xml:space="preserve"> w prz</w:t>
      </w:r>
      <w:r w:rsidRPr="008B7FA4">
        <w:rPr>
          <w:noProof/>
        </w:rPr>
        <w:t>estrzeń kosmiczną, uprawnienia takich organizacji nie będą odpowiadały uprawnieniom przysługującym państwom-stronom. Biorąc pod uwagę równoległe kompetencje Unii</w:t>
      </w:r>
      <w:r w:rsidR="006B6BC0" w:rsidRPr="008B7FA4">
        <w:rPr>
          <w:noProof/>
        </w:rPr>
        <w:t xml:space="preserve"> i jej</w:t>
      </w:r>
      <w:r w:rsidRPr="008B7FA4">
        <w:rPr>
          <w:noProof/>
        </w:rPr>
        <w:t xml:space="preserve"> państw członkowskich</w:t>
      </w:r>
      <w:r w:rsidR="006B6BC0" w:rsidRPr="008B7FA4">
        <w:rPr>
          <w:noProof/>
        </w:rPr>
        <w:t xml:space="preserve"> w dzi</w:t>
      </w:r>
      <w:r w:rsidRPr="008B7FA4">
        <w:rPr>
          <w:noProof/>
        </w:rPr>
        <w:t>edzinie przestrzeni kosmicznej, należy podjąć działania, aby zbadać możliwość przystąpienia UE do umowy</w:t>
      </w:r>
      <w:r w:rsidR="006B6BC0" w:rsidRPr="008B7FA4">
        <w:rPr>
          <w:noProof/>
        </w:rPr>
        <w:t xml:space="preserve"> o rat</w:t>
      </w:r>
      <w:r w:rsidRPr="008B7FA4">
        <w:rPr>
          <w:noProof/>
        </w:rPr>
        <w:t>owaniu kosmonautów, Konwencji</w:t>
      </w:r>
      <w:r w:rsidR="006B6BC0" w:rsidRPr="008B7FA4">
        <w:rPr>
          <w:noProof/>
        </w:rPr>
        <w:t xml:space="preserve"> o mię</w:t>
      </w:r>
      <w:r w:rsidRPr="008B7FA4">
        <w:rPr>
          <w:noProof/>
        </w:rPr>
        <w:t>dzynarodowej odpowiedzialności za szkody wyrządzone przez obiekty kosmiczne</w:t>
      </w:r>
      <w:r w:rsidR="006B6BC0" w:rsidRPr="008B7FA4">
        <w:rPr>
          <w:noProof/>
        </w:rPr>
        <w:t xml:space="preserve"> i Kon</w:t>
      </w:r>
      <w:r w:rsidRPr="008B7FA4">
        <w:rPr>
          <w:noProof/>
        </w:rPr>
        <w:t>wencji</w:t>
      </w:r>
      <w:r w:rsidR="006B6BC0" w:rsidRPr="008B7FA4">
        <w:rPr>
          <w:noProof/>
        </w:rPr>
        <w:t xml:space="preserve"> o rej</w:t>
      </w:r>
      <w:r w:rsidRPr="008B7FA4">
        <w:rPr>
          <w:noProof/>
        </w:rPr>
        <w:t>estracji obiektów wypuszczonych</w:t>
      </w:r>
      <w:r w:rsidR="006B6BC0" w:rsidRPr="008B7FA4">
        <w:rPr>
          <w:noProof/>
        </w:rPr>
        <w:t xml:space="preserve"> w prz</w:t>
      </w:r>
      <w:r w:rsidRPr="008B7FA4">
        <w:rPr>
          <w:noProof/>
        </w:rPr>
        <w:t>estrzeń kosmiczną, dbając jednocześnie</w:t>
      </w:r>
      <w:r w:rsidR="006B6BC0" w:rsidRPr="008B7FA4">
        <w:rPr>
          <w:noProof/>
        </w:rPr>
        <w:t xml:space="preserve"> o odp</w:t>
      </w:r>
      <w:r w:rsidRPr="008B7FA4">
        <w:rPr>
          <w:noProof/>
        </w:rPr>
        <w:t>owiednie zabezpieczenie określonych interesów Unii związanych</w:t>
      </w:r>
      <w:r w:rsidR="006B6BC0" w:rsidRPr="008B7FA4">
        <w:rPr>
          <w:noProof/>
        </w:rPr>
        <w:t xml:space="preserve"> z wdr</w:t>
      </w:r>
      <w:r w:rsidRPr="008B7FA4">
        <w:rPr>
          <w:noProof/>
        </w:rPr>
        <w:t>ażaniem programu kosmicznego.</w:t>
      </w:r>
    </w:p>
    <w:p w:rsidR="00630C8C" w:rsidRPr="008B7FA4" w:rsidRDefault="00630C8C" w:rsidP="00A72424">
      <w:pPr>
        <w:pStyle w:val="Heading2"/>
        <w:rPr>
          <w:noProof/>
        </w:rPr>
      </w:pPr>
      <w:bookmarkStart w:id="114" w:name="_Toc92283887"/>
      <w:bookmarkStart w:id="115" w:name="_Toc92382182"/>
      <w:r w:rsidRPr="008B7FA4">
        <w:rPr>
          <w:noProof/>
        </w:rPr>
        <w:t>Dążenie do zapewnienia wkładu regionalnych systemów STM</w:t>
      </w:r>
      <w:bookmarkEnd w:id="114"/>
      <w:bookmarkEnd w:id="115"/>
      <w:r w:rsidR="006B6BC0" w:rsidRPr="008B7FA4">
        <w:rPr>
          <w:noProof/>
        </w:rPr>
        <w:t xml:space="preserve"> w wys</w:t>
      </w:r>
      <w:r w:rsidRPr="008B7FA4">
        <w:rPr>
          <w:noProof/>
        </w:rPr>
        <w:t xml:space="preserve">iłki podejmowane na szczeblu globalnym </w:t>
      </w:r>
    </w:p>
    <w:p w:rsidR="00630C8C" w:rsidRPr="008B7FA4" w:rsidRDefault="00630C8C" w:rsidP="009E7D75">
      <w:pPr>
        <w:rPr>
          <w:noProof/>
        </w:rPr>
      </w:pPr>
      <w:r w:rsidRPr="008B7FA4">
        <w:rPr>
          <w:noProof/>
        </w:rPr>
        <w:t>W idealnych warunkach przyszły system STM powinien zostać zorganizowany na szczeblu globalnym. Obecnie bardzo niewielka liczba państw na świecie jest</w:t>
      </w:r>
      <w:r w:rsidR="006B6BC0" w:rsidRPr="008B7FA4">
        <w:rPr>
          <w:noProof/>
        </w:rPr>
        <w:t xml:space="preserve"> w sta</w:t>
      </w:r>
      <w:r w:rsidRPr="008B7FA4">
        <w:rPr>
          <w:noProof/>
        </w:rPr>
        <w:t>nie samodzielnie wdrożyć sprawnie działający system SST zdolny do przetwarzania usług niezbędnych do zapewnienia funkcji STM opisanej</w:t>
      </w:r>
      <w:r w:rsidR="006B6BC0" w:rsidRPr="008B7FA4">
        <w:rPr>
          <w:noProof/>
        </w:rPr>
        <w:t xml:space="preserve"> w roz</w:t>
      </w:r>
      <w:r w:rsidRPr="008B7FA4">
        <w:rPr>
          <w:noProof/>
        </w:rPr>
        <w:t>dziale 4 lub zdefiniować aspekty regulacyjne związane z STM,</w:t>
      </w:r>
      <w:r w:rsidR="006B6BC0" w:rsidRPr="008B7FA4">
        <w:rPr>
          <w:noProof/>
        </w:rPr>
        <w:t xml:space="preserve"> o któ</w:t>
      </w:r>
      <w:r w:rsidRPr="008B7FA4">
        <w:rPr>
          <w:noProof/>
        </w:rPr>
        <w:t>rych mowa</w:t>
      </w:r>
      <w:r w:rsidR="006B6BC0" w:rsidRPr="008B7FA4">
        <w:rPr>
          <w:noProof/>
        </w:rPr>
        <w:t xml:space="preserve"> w roz</w:t>
      </w:r>
      <w:r w:rsidRPr="008B7FA4">
        <w:rPr>
          <w:noProof/>
        </w:rPr>
        <w:t>dziale 5, oraz sprawować nad nimi nadzór. Dlatego też zawiązywanie partnerstw</w:t>
      </w:r>
      <w:r w:rsidR="006B6BC0" w:rsidRPr="008B7FA4">
        <w:rPr>
          <w:noProof/>
        </w:rPr>
        <w:t xml:space="preserve"> i dzi</w:t>
      </w:r>
      <w:r w:rsidRPr="008B7FA4">
        <w:rPr>
          <w:noProof/>
        </w:rPr>
        <w:t>elenie się obciążeniem związanym z STM przy wykorzystaniu uzupełniających zdolności</w:t>
      </w:r>
      <w:r w:rsidR="006B6BC0" w:rsidRPr="008B7FA4">
        <w:rPr>
          <w:noProof/>
        </w:rPr>
        <w:t xml:space="preserve"> i nor</w:t>
      </w:r>
      <w:r w:rsidRPr="008B7FA4">
        <w:rPr>
          <w:noProof/>
        </w:rPr>
        <w:t>m stanowi praktyczne rozwiązanie leżące</w:t>
      </w:r>
      <w:r w:rsidR="006B6BC0" w:rsidRPr="008B7FA4">
        <w:rPr>
          <w:noProof/>
        </w:rPr>
        <w:t xml:space="preserve"> w int</w:t>
      </w:r>
      <w:r w:rsidRPr="008B7FA4">
        <w:rPr>
          <w:noProof/>
        </w:rPr>
        <w:t>eresie wszystkich zainteresowanych stron.</w:t>
      </w:r>
    </w:p>
    <w:p w:rsidR="00630C8C" w:rsidRPr="008B7FA4" w:rsidRDefault="00630C8C" w:rsidP="009E7D75">
      <w:pPr>
        <w:rPr>
          <w:noProof/>
        </w:rPr>
      </w:pPr>
      <w:r w:rsidRPr="008B7FA4">
        <w:rPr>
          <w:noProof/>
        </w:rPr>
        <w:t>Ponadto STM opiera się na pewnym poziomie zaufania między państwami wiodącymi prym</w:t>
      </w:r>
      <w:r w:rsidR="006B6BC0" w:rsidRPr="008B7FA4">
        <w:rPr>
          <w:noProof/>
        </w:rPr>
        <w:t xml:space="preserve"> w zak</w:t>
      </w:r>
      <w:r w:rsidRPr="008B7FA4">
        <w:rPr>
          <w:noProof/>
        </w:rPr>
        <w:t>resie lotów kosmicznych</w:t>
      </w:r>
      <w:r w:rsidR="006B6BC0" w:rsidRPr="008B7FA4">
        <w:rPr>
          <w:noProof/>
        </w:rPr>
        <w:t xml:space="preserve"> i wią</w:t>
      </w:r>
      <w:r w:rsidRPr="008B7FA4">
        <w:rPr>
          <w:noProof/>
        </w:rPr>
        <w:t>że się</w:t>
      </w:r>
      <w:r w:rsidR="006B6BC0" w:rsidRPr="008B7FA4">
        <w:rPr>
          <w:noProof/>
        </w:rPr>
        <w:t xml:space="preserve"> z kon</w:t>
      </w:r>
      <w:r w:rsidRPr="008B7FA4">
        <w:rPr>
          <w:noProof/>
        </w:rPr>
        <w:t xml:space="preserve">iecznością zapewnienia dostępności systemów redundantnych. </w:t>
      </w:r>
      <w:r w:rsidRPr="008B7FA4">
        <w:rPr>
          <w:b/>
          <w:noProof/>
        </w:rPr>
        <w:t>Podejście bazujące na wkładzie wnoszonym na szczeblu regionalnym stanowi pragmatyczną, oddolną metodę</w:t>
      </w:r>
      <w:r w:rsidRPr="008B7FA4">
        <w:rPr>
          <w:noProof/>
        </w:rPr>
        <w:t xml:space="preserve"> budowania zaufania</w:t>
      </w:r>
      <w:r w:rsidR="006B6BC0" w:rsidRPr="008B7FA4">
        <w:rPr>
          <w:noProof/>
        </w:rPr>
        <w:t xml:space="preserve"> i zap</w:t>
      </w:r>
      <w:r w:rsidRPr="008B7FA4">
        <w:rPr>
          <w:noProof/>
        </w:rPr>
        <w:t>ewniania niezbędnego poziomu redundancji. Po osiągnięciu odpowiedniej dojrzałości przez poszczególne regionalne komponenty systemu STM i po zapewnieniu ich wystarczającej konwergencji,</w:t>
      </w:r>
      <w:r w:rsidR="006B6BC0" w:rsidRPr="008B7FA4">
        <w:rPr>
          <w:noProof/>
        </w:rPr>
        <w:t xml:space="preserve"> a tak</w:t>
      </w:r>
      <w:r w:rsidRPr="008B7FA4">
        <w:rPr>
          <w:noProof/>
        </w:rPr>
        <w:t>że po wypracowaniu dostatecznego konsensusu</w:t>
      </w:r>
      <w:r w:rsidR="006B6BC0" w:rsidRPr="008B7FA4">
        <w:rPr>
          <w:noProof/>
        </w:rPr>
        <w:t xml:space="preserve"> w kwe</w:t>
      </w:r>
      <w:r w:rsidRPr="008B7FA4">
        <w:rPr>
          <w:noProof/>
        </w:rPr>
        <w:t>stii poszczególnych zasad</w:t>
      </w:r>
      <w:r w:rsidR="006B6BC0" w:rsidRPr="008B7FA4">
        <w:rPr>
          <w:noProof/>
        </w:rPr>
        <w:t xml:space="preserve"> i nor</w:t>
      </w:r>
      <w:r w:rsidRPr="008B7FA4">
        <w:rPr>
          <w:noProof/>
        </w:rPr>
        <w:t>m opisanych</w:t>
      </w:r>
      <w:r w:rsidR="006B6BC0" w:rsidRPr="008B7FA4">
        <w:rPr>
          <w:noProof/>
        </w:rPr>
        <w:t xml:space="preserve"> w roz</w:t>
      </w:r>
      <w:r w:rsidRPr="008B7FA4">
        <w:rPr>
          <w:noProof/>
        </w:rPr>
        <w:t xml:space="preserve">dziale 4, regionalne komponenty STM mogłyby stać się częścią globalnego systemu STM, którego struktura zarządzania nie została jeszcze precyzyjnie określona. </w:t>
      </w:r>
    </w:p>
    <w:p w:rsidR="00630C8C" w:rsidRPr="008B7FA4" w:rsidRDefault="00770E9C" w:rsidP="009E7D75">
      <w:pPr>
        <w:rPr>
          <w:noProof/>
        </w:rPr>
      </w:pPr>
      <w:r w:rsidRPr="008B7FA4">
        <w:rPr>
          <w:noProof/>
        </w:rPr>
        <w:t>Wypracowanie unijnego podejścia do STM na terytorium Unii jest tylko pierwszym etapem procesu</w:t>
      </w:r>
      <w:r w:rsidR="006B6BC0" w:rsidRPr="008B7FA4">
        <w:rPr>
          <w:noProof/>
        </w:rPr>
        <w:t xml:space="preserve"> o bar</w:t>
      </w:r>
      <w:r w:rsidRPr="008B7FA4">
        <w:rPr>
          <w:noProof/>
        </w:rPr>
        <w:t>dziej ogólnym charakterze. Celem tych działań będzie rozszerzenie unijnego podejścia do STM</w:t>
      </w:r>
      <w:r w:rsidR="006B6BC0" w:rsidRPr="008B7FA4">
        <w:rPr>
          <w:noProof/>
        </w:rPr>
        <w:t xml:space="preserve"> z poz</w:t>
      </w:r>
      <w:r w:rsidRPr="008B7FA4">
        <w:rPr>
          <w:noProof/>
        </w:rPr>
        <w:t>iomu UE</w:t>
      </w:r>
      <w:r w:rsidR="006B6BC0" w:rsidRPr="008B7FA4">
        <w:rPr>
          <w:noProof/>
        </w:rPr>
        <w:t xml:space="preserve"> i jej</w:t>
      </w:r>
      <w:r w:rsidRPr="008B7FA4">
        <w:rPr>
          <w:noProof/>
        </w:rPr>
        <w:t xml:space="preserve"> państw członkowskich na poziom ogólnoeuropejski</w:t>
      </w:r>
      <w:r w:rsidR="006B6BC0" w:rsidRPr="008B7FA4">
        <w:rPr>
          <w:noProof/>
        </w:rPr>
        <w:t xml:space="preserve"> i zai</w:t>
      </w:r>
      <w:r w:rsidRPr="008B7FA4">
        <w:rPr>
          <w:noProof/>
        </w:rPr>
        <w:t>nicjowanie tym samym odpowiedniego procesu na szczeblu międzynarodowym zarówno</w:t>
      </w:r>
      <w:r w:rsidR="006B6BC0" w:rsidRPr="008B7FA4">
        <w:rPr>
          <w:noProof/>
        </w:rPr>
        <w:t xml:space="preserve"> w ram</w:t>
      </w:r>
      <w:r w:rsidRPr="008B7FA4">
        <w:rPr>
          <w:noProof/>
        </w:rPr>
        <w:t>ach ONZ, jak</w:t>
      </w:r>
      <w:r w:rsidR="006B6BC0" w:rsidRPr="008B7FA4">
        <w:rPr>
          <w:noProof/>
        </w:rPr>
        <w:t xml:space="preserve"> i w kon</w:t>
      </w:r>
      <w:r w:rsidRPr="008B7FA4">
        <w:rPr>
          <w:noProof/>
        </w:rPr>
        <w:t xml:space="preserve">tekście stosunków dwustronnych. Dlatego też należy propagować wśród partnerów zewnętrznych koncepcję podejścia wielostronnego bazującego na wkładzie regionalnym. </w:t>
      </w:r>
    </w:p>
    <w:p w:rsidR="00630C8C" w:rsidRPr="008B7FA4" w:rsidRDefault="00630C8C" w:rsidP="0078763B">
      <w:pPr>
        <w:pStyle w:val="Heading2"/>
        <w:rPr>
          <w:noProof/>
        </w:rPr>
      </w:pPr>
      <w:r w:rsidRPr="008B7FA4">
        <w:rPr>
          <w:noProof/>
        </w:rPr>
        <w:t xml:space="preserve">Dyskusja z USA prowadzona na uprzywilejowanych warunkach </w:t>
      </w:r>
    </w:p>
    <w:p w:rsidR="00630C8C" w:rsidRPr="008B7FA4" w:rsidRDefault="00630C8C" w:rsidP="009E7D75">
      <w:pPr>
        <w:rPr>
          <w:noProof/>
        </w:rPr>
      </w:pPr>
      <w:r w:rsidRPr="008B7FA4">
        <w:rPr>
          <w:noProof/>
        </w:rPr>
        <w:t>USA są podmiotem, który poczynił największe postępy we wdrażaniu systemu STM – dzięki zainwestowaniu miliardów dolarów</w:t>
      </w:r>
      <w:r w:rsidR="006B6BC0" w:rsidRPr="008B7FA4">
        <w:rPr>
          <w:noProof/>
        </w:rPr>
        <w:t xml:space="preserve"> w zdo</w:t>
      </w:r>
      <w:r w:rsidRPr="008B7FA4">
        <w:rPr>
          <w:noProof/>
        </w:rPr>
        <w:t>lności</w:t>
      </w:r>
      <w:r w:rsidR="006B6BC0" w:rsidRPr="008B7FA4">
        <w:rPr>
          <w:noProof/>
        </w:rPr>
        <w:t xml:space="preserve"> w zak</w:t>
      </w:r>
      <w:r w:rsidRPr="008B7FA4">
        <w:rPr>
          <w:noProof/>
        </w:rPr>
        <w:t>resie SST na przestrzeni ostatnich 20 lat</w:t>
      </w:r>
      <w:r w:rsidR="006B6BC0" w:rsidRPr="008B7FA4">
        <w:rPr>
          <w:noProof/>
        </w:rPr>
        <w:t>. W kon</w:t>
      </w:r>
      <w:r w:rsidRPr="008B7FA4">
        <w:rPr>
          <w:noProof/>
        </w:rPr>
        <w:t>sekwencji Stany Zjednoczone dysponują najwydajniejszym systemem SST na świecie</w:t>
      </w:r>
      <w:r w:rsidR="006B6BC0" w:rsidRPr="008B7FA4">
        <w:rPr>
          <w:noProof/>
        </w:rPr>
        <w:t xml:space="preserve"> i udo</w:t>
      </w:r>
      <w:r w:rsidRPr="008B7FA4">
        <w:rPr>
          <w:noProof/>
        </w:rPr>
        <w:t>stępniają dane gromadzone</w:t>
      </w:r>
      <w:r w:rsidR="006B6BC0" w:rsidRPr="008B7FA4">
        <w:rPr>
          <w:noProof/>
        </w:rPr>
        <w:t xml:space="preserve"> w ram</w:t>
      </w:r>
      <w:r w:rsidRPr="008B7FA4">
        <w:rPr>
          <w:noProof/>
        </w:rPr>
        <w:t>ach tego systemu na całym świecie. Wraz</w:t>
      </w:r>
      <w:r w:rsidR="006B6BC0" w:rsidRPr="008B7FA4">
        <w:rPr>
          <w:noProof/>
        </w:rPr>
        <w:t xml:space="preserve"> z prz</w:t>
      </w:r>
      <w:r w:rsidRPr="008B7FA4">
        <w:rPr>
          <w:noProof/>
        </w:rPr>
        <w:t>yjęciem trzeciej dyrektywy</w:t>
      </w:r>
      <w:r w:rsidR="006B6BC0" w:rsidRPr="008B7FA4">
        <w:rPr>
          <w:noProof/>
        </w:rPr>
        <w:t xml:space="preserve"> w spr</w:t>
      </w:r>
      <w:r w:rsidRPr="008B7FA4">
        <w:rPr>
          <w:noProof/>
        </w:rPr>
        <w:t>awie polityki kosmicznej USA przystąpiły do rozwijania specjalnego podejścia</w:t>
      </w:r>
      <w:r w:rsidR="006B6BC0" w:rsidRPr="008B7FA4">
        <w:rPr>
          <w:noProof/>
        </w:rPr>
        <w:t xml:space="preserve"> w dzi</w:t>
      </w:r>
      <w:r w:rsidRPr="008B7FA4">
        <w:rPr>
          <w:noProof/>
        </w:rPr>
        <w:t>edzinie STM.</w:t>
      </w:r>
    </w:p>
    <w:p w:rsidR="00630C8C" w:rsidRPr="008B7FA4" w:rsidRDefault="00630C8C" w:rsidP="00452951">
      <w:pPr>
        <w:rPr>
          <w:noProof/>
        </w:rPr>
      </w:pPr>
      <w:r w:rsidRPr="008B7FA4">
        <w:rPr>
          <w:noProof/>
        </w:rPr>
        <w:t>Choć UE powinna</w:t>
      </w:r>
      <w:r w:rsidR="006B6BC0" w:rsidRPr="008B7FA4">
        <w:rPr>
          <w:noProof/>
        </w:rPr>
        <w:t xml:space="preserve"> w pie</w:t>
      </w:r>
      <w:r w:rsidRPr="008B7FA4">
        <w:rPr>
          <w:noProof/>
        </w:rPr>
        <w:t>rwszej kolejności wypracować własne podejście do STM, musi podejmować działania</w:t>
      </w:r>
      <w:r w:rsidR="006B6BC0" w:rsidRPr="008B7FA4">
        <w:rPr>
          <w:noProof/>
        </w:rPr>
        <w:t xml:space="preserve"> w tym</w:t>
      </w:r>
      <w:r w:rsidRPr="008B7FA4">
        <w:rPr>
          <w:noProof/>
        </w:rPr>
        <w:t xml:space="preserve"> zakresie</w:t>
      </w:r>
      <w:r w:rsidR="006B6BC0" w:rsidRPr="008B7FA4">
        <w:rPr>
          <w:noProof/>
        </w:rPr>
        <w:t xml:space="preserve"> w ści</w:t>
      </w:r>
      <w:r w:rsidRPr="008B7FA4">
        <w:rPr>
          <w:noProof/>
        </w:rPr>
        <w:t>słej współpracy ze Stanami Zjednoczonymi. Podczas szczytu UE–USA zorganizowanego</w:t>
      </w:r>
      <w:r w:rsidR="006B6BC0" w:rsidRPr="008B7FA4">
        <w:rPr>
          <w:noProof/>
        </w:rPr>
        <w:t xml:space="preserve"> w cze</w:t>
      </w:r>
      <w:r w:rsidRPr="008B7FA4">
        <w:rPr>
          <w:noProof/>
        </w:rPr>
        <w:t>rwcu 2021</w:t>
      </w:r>
      <w:r w:rsidR="006B6BC0" w:rsidRPr="008B7FA4">
        <w:rPr>
          <w:noProof/>
        </w:rPr>
        <w:t> </w:t>
      </w:r>
      <w:r w:rsidRPr="008B7FA4">
        <w:rPr>
          <w:noProof/>
        </w:rPr>
        <w:t xml:space="preserve">r. obydwie strony uzgodniły, że będą </w:t>
      </w:r>
      <w:r w:rsidRPr="008B7FA4">
        <w:rPr>
          <w:b/>
          <w:noProof/>
        </w:rPr>
        <w:t>wymieniały się informacjami na temat swoich indywidualnych podejść do STM</w:t>
      </w:r>
      <w:r w:rsidR="006B6BC0" w:rsidRPr="008B7FA4">
        <w:rPr>
          <w:noProof/>
        </w:rPr>
        <w:t>. W tym</w:t>
      </w:r>
      <w:r w:rsidRPr="008B7FA4">
        <w:rPr>
          <w:noProof/>
        </w:rPr>
        <w:t xml:space="preserve"> względzie</w:t>
      </w:r>
      <w:r w:rsidR="006B6BC0" w:rsidRPr="008B7FA4">
        <w:rPr>
          <w:noProof/>
        </w:rPr>
        <w:t xml:space="preserve"> i w kon</w:t>
      </w:r>
      <w:r w:rsidRPr="008B7FA4">
        <w:rPr>
          <w:noProof/>
        </w:rPr>
        <w:t>tekście coraz większej aktywności Stanów Zjednoczonych</w:t>
      </w:r>
      <w:r w:rsidR="006B6BC0" w:rsidRPr="008B7FA4">
        <w:rPr>
          <w:noProof/>
        </w:rPr>
        <w:t xml:space="preserve"> w dzi</w:t>
      </w:r>
      <w:r w:rsidRPr="008B7FA4">
        <w:rPr>
          <w:noProof/>
        </w:rPr>
        <w:t>edzinie STM Komisja</w:t>
      </w:r>
      <w:r w:rsidR="006B6BC0" w:rsidRPr="008B7FA4">
        <w:rPr>
          <w:noProof/>
        </w:rPr>
        <w:t xml:space="preserve"> i Wys</w:t>
      </w:r>
      <w:r w:rsidRPr="008B7FA4">
        <w:rPr>
          <w:noProof/>
        </w:rPr>
        <w:t xml:space="preserve">oki Przedstawiciel </w:t>
      </w:r>
      <w:r w:rsidRPr="008B7FA4">
        <w:rPr>
          <w:b/>
          <w:noProof/>
        </w:rPr>
        <w:t>zbadają możliwość zacieśnienia współpracy z USA</w:t>
      </w:r>
      <w:r w:rsidRPr="008B7FA4">
        <w:rPr>
          <w:noProof/>
        </w:rPr>
        <w:t xml:space="preserve"> oraz zapewnienia wzajemnej interoperacyjności</w:t>
      </w:r>
      <w:r w:rsidR="006B6BC0" w:rsidRPr="008B7FA4">
        <w:rPr>
          <w:noProof/>
        </w:rPr>
        <w:t xml:space="preserve"> i kom</w:t>
      </w:r>
      <w:r w:rsidRPr="008B7FA4">
        <w:rPr>
          <w:noProof/>
        </w:rPr>
        <w:t>plementarności działań</w:t>
      </w:r>
      <w:r w:rsidR="006B6BC0" w:rsidRPr="008B7FA4">
        <w:rPr>
          <w:noProof/>
        </w:rPr>
        <w:t xml:space="preserve"> w kwe</w:t>
      </w:r>
      <w:r w:rsidRPr="008B7FA4">
        <w:rPr>
          <w:noProof/>
        </w:rPr>
        <w:t>stiach związanych z STM.</w:t>
      </w:r>
    </w:p>
    <w:p w:rsidR="00630C8C" w:rsidRPr="008B7FA4" w:rsidRDefault="00630C8C" w:rsidP="00A72424">
      <w:pPr>
        <w:pStyle w:val="Heading2"/>
        <w:rPr>
          <w:noProof/>
        </w:rPr>
      </w:pPr>
      <w:bookmarkStart w:id="116" w:name="_Toc92283889"/>
      <w:bookmarkStart w:id="117" w:name="_Toc92382184"/>
      <w:r w:rsidRPr="008B7FA4">
        <w:rPr>
          <w:noProof/>
        </w:rPr>
        <w:t>Dialog</w:t>
      </w:r>
      <w:r w:rsidR="006B6BC0" w:rsidRPr="008B7FA4">
        <w:rPr>
          <w:noProof/>
        </w:rPr>
        <w:t xml:space="preserve"> z inn</w:t>
      </w:r>
      <w:r w:rsidRPr="008B7FA4">
        <w:rPr>
          <w:noProof/>
        </w:rPr>
        <w:t>ymi państwami trzecimi</w:t>
      </w:r>
      <w:bookmarkEnd w:id="116"/>
      <w:bookmarkEnd w:id="117"/>
    </w:p>
    <w:p w:rsidR="00D10F93" w:rsidRPr="008B7FA4" w:rsidRDefault="00D10F93" w:rsidP="00D10F93">
      <w:pPr>
        <w:rPr>
          <w:rFonts w:cs="Times New Roman"/>
          <w:noProof/>
          <w:szCs w:val="24"/>
        </w:rPr>
      </w:pPr>
      <w:r w:rsidRPr="008B7FA4">
        <w:rPr>
          <w:noProof/>
        </w:rPr>
        <w:t xml:space="preserve">UE będzie prowadziła </w:t>
      </w:r>
      <w:r w:rsidRPr="008B7FA4">
        <w:rPr>
          <w:b/>
          <w:noProof/>
          <w:szCs w:val="24"/>
        </w:rPr>
        <w:t>aktywną działalność dyplomatyczną</w:t>
      </w:r>
      <w:r w:rsidR="006B6BC0" w:rsidRPr="008B7FA4">
        <w:rPr>
          <w:b/>
          <w:noProof/>
          <w:szCs w:val="24"/>
        </w:rPr>
        <w:t xml:space="preserve"> w kwe</w:t>
      </w:r>
      <w:r w:rsidRPr="008B7FA4">
        <w:rPr>
          <w:b/>
          <w:noProof/>
          <w:szCs w:val="24"/>
        </w:rPr>
        <w:t>stiach dotyczących STM</w:t>
      </w:r>
      <w:r w:rsidRPr="008B7FA4">
        <w:rPr>
          <w:noProof/>
        </w:rPr>
        <w:t>. Dyskusje</w:t>
      </w:r>
      <w:r w:rsidR="006B6BC0" w:rsidRPr="008B7FA4">
        <w:rPr>
          <w:noProof/>
        </w:rPr>
        <w:t xml:space="preserve"> z par</w:t>
      </w:r>
      <w:r w:rsidRPr="008B7FA4">
        <w:rPr>
          <w:noProof/>
        </w:rPr>
        <w:t>tnerami na szczeblu międzynarodowym powinny koncentrować się na zagadnieniach</w:t>
      </w:r>
      <w:r w:rsidR="006B6BC0" w:rsidRPr="008B7FA4">
        <w:rPr>
          <w:noProof/>
        </w:rPr>
        <w:t xml:space="preserve"> o cha</w:t>
      </w:r>
      <w:r w:rsidRPr="008B7FA4">
        <w:rPr>
          <w:noProof/>
        </w:rPr>
        <w:t>rakterze cywilnym (np. operacjach, normalizacji itp.), przy czym</w:t>
      </w:r>
      <w:r w:rsidR="006B6BC0" w:rsidRPr="008B7FA4">
        <w:rPr>
          <w:noProof/>
        </w:rPr>
        <w:t xml:space="preserve"> w ich</w:t>
      </w:r>
      <w:r w:rsidRPr="008B7FA4">
        <w:rPr>
          <w:noProof/>
        </w:rPr>
        <w:t xml:space="preserve"> trakcie należy zwracać uwagę również na powiązaną z STM problematykę bezpieczeństwa</w:t>
      </w:r>
      <w:r w:rsidR="006B6BC0" w:rsidRPr="008B7FA4">
        <w:rPr>
          <w:noProof/>
        </w:rPr>
        <w:t xml:space="preserve"> i obr</w:t>
      </w:r>
      <w:r w:rsidRPr="008B7FA4">
        <w:rPr>
          <w:noProof/>
        </w:rPr>
        <w:t>onności. Działania</w:t>
      </w:r>
      <w:r w:rsidR="006B6BC0" w:rsidRPr="008B7FA4">
        <w:rPr>
          <w:noProof/>
        </w:rPr>
        <w:t xml:space="preserve"> w tym</w:t>
      </w:r>
      <w:r w:rsidRPr="008B7FA4">
        <w:rPr>
          <w:noProof/>
        </w:rPr>
        <w:t xml:space="preserve"> zakresie powinny koncentrować się</w:t>
      </w:r>
      <w:r w:rsidR="006B6BC0" w:rsidRPr="008B7FA4">
        <w:rPr>
          <w:noProof/>
        </w:rPr>
        <w:t xml:space="preserve"> w szc</w:t>
      </w:r>
      <w:r w:rsidRPr="008B7FA4">
        <w:rPr>
          <w:noProof/>
        </w:rPr>
        <w:t>zególności na propagowaniu unijnego podejścia do STM</w:t>
      </w:r>
      <w:r w:rsidR="006B6BC0" w:rsidRPr="008B7FA4">
        <w:rPr>
          <w:noProof/>
        </w:rPr>
        <w:t xml:space="preserve"> w kon</w:t>
      </w:r>
      <w:r w:rsidRPr="008B7FA4">
        <w:rPr>
          <w:noProof/>
        </w:rPr>
        <w:t xml:space="preserve">tekście </w:t>
      </w:r>
      <w:r w:rsidRPr="008B7FA4">
        <w:rPr>
          <w:b/>
          <w:noProof/>
          <w:szCs w:val="24"/>
        </w:rPr>
        <w:t>odpowiednich perspektyw takich jak bezpieczeństwo operacyjne</w:t>
      </w:r>
      <w:r w:rsidR="006B6BC0" w:rsidRPr="008B7FA4">
        <w:rPr>
          <w:b/>
          <w:noProof/>
          <w:szCs w:val="24"/>
        </w:rPr>
        <w:t xml:space="preserve"> i trw</w:t>
      </w:r>
      <w:r w:rsidRPr="008B7FA4">
        <w:rPr>
          <w:b/>
          <w:noProof/>
          <w:szCs w:val="24"/>
        </w:rPr>
        <w:t>ały zrównoważony charakter</w:t>
      </w:r>
      <w:r w:rsidRPr="008B7FA4">
        <w:rPr>
          <w:noProof/>
        </w:rPr>
        <w:t xml:space="preserve"> środowiska orbitalnego,</w:t>
      </w:r>
      <w:r w:rsidR="006B6BC0" w:rsidRPr="008B7FA4">
        <w:rPr>
          <w:noProof/>
        </w:rPr>
        <w:t xml:space="preserve"> w tym</w:t>
      </w:r>
      <w:r w:rsidRPr="008B7FA4">
        <w:rPr>
          <w:noProof/>
        </w:rPr>
        <w:t xml:space="preserve"> również poprzez </w:t>
      </w:r>
      <w:r w:rsidRPr="008B7FA4">
        <w:rPr>
          <w:b/>
          <w:noProof/>
          <w:szCs w:val="24"/>
        </w:rPr>
        <w:t>zachęcanie do większego zainteresowania usługami UE</w:t>
      </w:r>
      <w:r w:rsidRPr="008B7FA4">
        <w:rPr>
          <w:noProof/>
        </w:rPr>
        <w:t xml:space="preserve"> udostępnianymi szerzej rozumianej społeczności globalnej (np. unijny komponent SST).</w:t>
      </w:r>
    </w:p>
    <w:p w:rsidR="00053F1F" w:rsidRPr="008B7FA4" w:rsidRDefault="0051534B" w:rsidP="00B911D8">
      <w:pPr>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spacing w:before="240"/>
        <w:rPr>
          <w:rFonts w:eastAsia="Calibri"/>
          <w:noProof/>
          <w:szCs w:val="24"/>
        </w:rPr>
      </w:pPr>
      <w:r w:rsidRPr="008B7FA4">
        <w:rPr>
          <w:b/>
          <w:noProof/>
          <w:szCs w:val="24"/>
          <w:u w:val="single"/>
        </w:rPr>
        <w:t>Działanie nr</w:t>
      </w:r>
      <w:r w:rsidR="006B6BC0" w:rsidRPr="008B7FA4">
        <w:rPr>
          <w:b/>
          <w:noProof/>
          <w:szCs w:val="24"/>
          <w:u w:val="single"/>
        </w:rPr>
        <w:t> </w:t>
      </w:r>
      <w:r w:rsidRPr="008B7FA4">
        <w:rPr>
          <w:b/>
          <w:noProof/>
          <w:szCs w:val="24"/>
          <w:u w:val="single"/>
        </w:rPr>
        <w:t>8:</w:t>
      </w:r>
      <w:r w:rsidRPr="008B7FA4">
        <w:rPr>
          <w:noProof/>
        </w:rPr>
        <w:t xml:space="preserve"> Komisja</w:t>
      </w:r>
      <w:r w:rsidR="006B6BC0" w:rsidRPr="008B7FA4">
        <w:rPr>
          <w:noProof/>
        </w:rPr>
        <w:t xml:space="preserve"> i Wys</w:t>
      </w:r>
      <w:r w:rsidRPr="008B7FA4">
        <w:rPr>
          <w:noProof/>
        </w:rPr>
        <w:t>oki Przedstawiciel,</w:t>
      </w:r>
      <w:r w:rsidR="006B6BC0" w:rsidRPr="008B7FA4">
        <w:rPr>
          <w:noProof/>
        </w:rPr>
        <w:t xml:space="preserve"> w zal</w:t>
      </w:r>
      <w:r w:rsidRPr="008B7FA4">
        <w:rPr>
          <w:noProof/>
        </w:rPr>
        <w:t>eżności od zakresu uprawnień przysługujących UE</w:t>
      </w:r>
      <w:r w:rsidR="006B6BC0" w:rsidRPr="008B7FA4">
        <w:rPr>
          <w:noProof/>
        </w:rPr>
        <w:t xml:space="preserve"> w dan</w:t>
      </w:r>
      <w:r w:rsidRPr="008B7FA4">
        <w:rPr>
          <w:noProof/>
        </w:rPr>
        <w:t>ej dziedzinie i we współpracy</w:t>
      </w:r>
      <w:r w:rsidR="006B6BC0" w:rsidRPr="008B7FA4">
        <w:rPr>
          <w:noProof/>
        </w:rPr>
        <w:t xml:space="preserve"> z pań</w:t>
      </w:r>
      <w:r w:rsidRPr="008B7FA4">
        <w:rPr>
          <w:noProof/>
        </w:rPr>
        <w:t>stwami członkowskimi, będą podejmowali działania wspólnie z ONZ, aby zidentyfikować specjalne organy ds. STM lub przyczynić się do utworzenia takich organów</w:t>
      </w:r>
      <w:r w:rsidR="006B6BC0" w:rsidRPr="008B7FA4">
        <w:rPr>
          <w:noProof/>
        </w:rPr>
        <w:t xml:space="preserve"> z myś</w:t>
      </w:r>
      <w:r w:rsidRPr="008B7FA4">
        <w:rPr>
          <w:noProof/>
        </w:rPr>
        <w:t>lą</w:t>
      </w:r>
      <w:r w:rsidR="006B6BC0" w:rsidRPr="008B7FA4">
        <w:rPr>
          <w:noProof/>
        </w:rPr>
        <w:t xml:space="preserve"> o wdr</w:t>
      </w:r>
      <w:r w:rsidRPr="008B7FA4">
        <w:rPr>
          <w:noProof/>
        </w:rPr>
        <w:t>ażaniu konkretnych rozwiązań</w:t>
      </w:r>
      <w:r w:rsidR="006B6BC0" w:rsidRPr="008B7FA4">
        <w:rPr>
          <w:noProof/>
        </w:rPr>
        <w:t xml:space="preserve"> w zak</w:t>
      </w:r>
      <w:r w:rsidRPr="008B7FA4">
        <w:rPr>
          <w:noProof/>
        </w:rPr>
        <w:t>resie STM na szczeblu globalnym.</w:t>
      </w:r>
    </w:p>
    <w:p w:rsidR="00357F1D" w:rsidRPr="008B7FA4" w:rsidRDefault="002003A2" w:rsidP="00B911D8">
      <w:pPr>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sidRPr="008B7FA4">
        <w:rPr>
          <w:b/>
          <w:noProof/>
          <w:szCs w:val="24"/>
          <w:u w:val="single"/>
        </w:rPr>
        <w:t>Działanie nr</w:t>
      </w:r>
      <w:r w:rsidR="006B6BC0" w:rsidRPr="008B7FA4">
        <w:rPr>
          <w:b/>
          <w:noProof/>
          <w:szCs w:val="24"/>
          <w:u w:val="single"/>
        </w:rPr>
        <w:t> </w:t>
      </w:r>
      <w:r w:rsidRPr="008B7FA4">
        <w:rPr>
          <w:b/>
          <w:noProof/>
          <w:szCs w:val="24"/>
          <w:u w:val="single"/>
        </w:rPr>
        <w:t>9:</w:t>
      </w:r>
      <w:r w:rsidRPr="008B7FA4">
        <w:rPr>
          <w:noProof/>
        </w:rPr>
        <w:t xml:space="preserve"> Do połowy 2022</w:t>
      </w:r>
      <w:r w:rsidR="006B6BC0" w:rsidRPr="008B7FA4">
        <w:rPr>
          <w:noProof/>
        </w:rPr>
        <w:t> </w:t>
      </w:r>
      <w:r w:rsidRPr="008B7FA4">
        <w:rPr>
          <w:noProof/>
        </w:rPr>
        <w:t>r. Komisja zbada możliwości przystąpienia UE do umowy</w:t>
      </w:r>
      <w:r w:rsidR="006B6BC0" w:rsidRPr="008B7FA4">
        <w:rPr>
          <w:noProof/>
        </w:rPr>
        <w:t xml:space="preserve"> o rat</w:t>
      </w:r>
      <w:r w:rsidRPr="008B7FA4">
        <w:rPr>
          <w:noProof/>
        </w:rPr>
        <w:t>owaniu kosmonautów, Konwencji</w:t>
      </w:r>
      <w:r w:rsidR="006B6BC0" w:rsidRPr="008B7FA4">
        <w:rPr>
          <w:noProof/>
        </w:rPr>
        <w:t xml:space="preserve"> o mię</w:t>
      </w:r>
      <w:r w:rsidRPr="008B7FA4">
        <w:rPr>
          <w:noProof/>
        </w:rPr>
        <w:t>dzynarodowej odpowiedzialności za szkody wyrządzone przez obiekty kosmiczne</w:t>
      </w:r>
      <w:r w:rsidR="006B6BC0" w:rsidRPr="008B7FA4">
        <w:rPr>
          <w:noProof/>
        </w:rPr>
        <w:t xml:space="preserve"> i Kon</w:t>
      </w:r>
      <w:r w:rsidRPr="008B7FA4">
        <w:rPr>
          <w:noProof/>
        </w:rPr>
        <w:t>wencji</w:t>
      </w:r>
      <w:r w:rsidR="006B6BC0" w:rsidRPr="008B7FA4">
        <w:rPr>
          <w:noProof/>
        </w:rPr>
        <w:t xml:space="preserve"> o rej</w:t>
      </w:r>
      <w:r w:rsidRPr="008B7FA4">
        <w:rPr>
          <w:noProof/>
        </w:rPr>
        <w:t>estracji obiektów wypuszczonych</w:t>
      </w:r>
      <w:r w:rsidR="006B6BC0" w:rsidRPr="008B7FA4">
        <w:rPr>
          <w:noProof/>
        </w:rPr>
        <w:t xml:space="preserve"> w prz</w:t>
      </w:r>
      <w:r w:rsidRPr="008B7FA4">
        <w:rPr>
          <w:noProof/>
        </w:rPr>
        <w:t>estrzeń kosmiczną ONZ, przy jednoczesnym zapewnieniu ochrony interesów Unii</w:t>
      </w:r>
      <w:r w:rsidR="006B6BC0" w:rsidRPr="008B7FA4">
        <w:rPr>
          <w:noProof/>
        </w:rPr>
        <w:t>. W tym</w:t>
      </w:r>
      <w:r w:rsidRPr="008B7FA4">
        <w:rPr>
          <w:noProof/>
        </w:rPr>
        <w:t xml:space="preserve"> celu Komisja przeprowadzi stosowną analizę</w:t>
      </w:r>
      <w:r w:rsidR="006B6BC0" w:rsidRPr="008B7FA4">
        <w:rPr>
          <w:noProof/>
        </w:rPr>
        <w:t xml:space="preserve"> i pod</w:t>
      </w:r>
      <w:r w:rsidRPr="008B7FA4">
        <w:rPr>
          <w:noProof/>
        </w:rPr>
        <w:t xml:space="preserve">ejmie działania na rzecz przyjęcia potencjalnych środków niezbędnych do wywiązania się ze zobowiązań przewidzianych we wspomnianych konwencjach. </w:t>
      </w:r>
    </w:p>
    <w:p w:rsidR="00C91BB3" w:rsidRPr="008B7FA4" w:rsidRDefault="00DF0D6E" w:rsidP="00B911D8">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sidRPr="008B7FA4">
        <w:rPr>
          <w:b/>
          <w:noProof/>
          <w:szCs w:val="24"/>
          <w:u w:val="single"/>
        </w:rPr>
        <w:t>Działanie nr</w:t>
      </w:r>
      <w:r w:rsidR="006B6BC0" w:rsidRPr="008B7FA4">
        <w:rPr>
          <w:b/>
          <w:noProof/>
          <w:szCs w:val="24"/>
          <w:u w:val="single"/>
        </w:rPr>
        <w:t> </w:t>
      </w:r>
      <w:r w:rsidRPr="008B7FA4">
        <w:rPr>
          <w:b/>
          <w:noProof/>
          <w:szCs w:val="24"/>
          <w:u w:val="single"/>
        </w:rPr>
        <w:t>10</w:t>
      </w:r>
      <w:r w:rsidRPr="008B7FA4">
        <w:rPr>
          <w:b/>
          <w:noProof/>
          <w:szCs w:val="24"/>
        </w:rPr>
        <w:t>:</w:t>
      </w:r>
      <w:r w:rsidRPr="008B7FA4">
        <w:rPr>
          <w:noProof/>
        </w:rPr>
        <w:t xml:space="preserve"> Komisja</w:t>
      </w:r>
      <w:r w:rsidR="006B6BC0" w:rsidRPr="008B7FA4">
        <w:rPr>
          <w:noProof/>
        </w:rPr>
        <w:t xml:space="preserve"> i Wys</w:t>
      </w:r>
      <w:r w:rsidRPr="008B7FA4">
        <w:rPr>
          <w:noProof/>
        </w:rPr>
        <w:t>oki Przedstawiciel,</w:t>
      </w:r>
      <w:r w:rsidR="006B6BC0" w:rsidRPr="008B7FA4">
        <w:rPr>
          <w:noProof/>
        </w:rPr>
        <w:t xml:space="preserve"> w zal</w:t>
      </w:r>
      <w:r w:rsidRPr="008B7FA4">
        <w:rPr>
          <w:noProof/>
        </w:rPr>
        <w:t>eżności od zakresu uprawnień przysługujących UE</w:t>
      </w:r>
      <w:r w:rsidR="006B6BC0" w:rsidRPr="008B7FA4">
        <w:rPr>
          <w:noProof/>
        </w:rPr>
        <w:t xml:space="preserve"> w dan</w:t>
      </w:r>
      <w:r w:rsidRPr="008B7FA4">
        <w:rPr>
          <w:noProof/>
        </w:rPr>
        <w:t>ej dziedzinie,</w:t>
      </w:r>
      <w:r w:rsidR="006B6BC0" w:rsidRPr="008B7FA4">
        <w:rPr>
          <w:noProof/>
        </w:rPr>
        <w:t xml:space="preserve"> w ści</w:t>
      </w:r>
      <w:r w:rsidRPr="008B7FA4">
        <w:rPr>
          <w:noProof/>
        </w:rPr>
        <w:t>słej współpracy</w:t>
      </w:r>
      <w:r w:rsidR="006B6BC0" w:rsidRPr="008B7FA4">
        <w:rPr>
          <w:noProof/>
        </w:rPr>
        <w:t xml:space="preserve"> z pań</w:t>
      </w:r>
      <w:r w:rsidRPr="008B7FA4">
        <w:rPr>
          <w:noProof/>
        </w:rPr>
        <w:t>stwami członkowskimi będą:</w:t>
      </w:r>
    </w:p>
    <w:p w:rsidR="00D1557E" w:rsidRPr="008B7FA4" w:rsidRDefault="00D1557E" w:rsidP="00B911D8">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sidRPr="008B7FA4">
        <w:rPr>
          <w:noProof/>
        </w:rPr>
        <w:t>– propagować regionalne podejście do STM wśród partnerów</w:t>
      </w:r>
      <w:r w:rsidR="006B6BC0" w:rsidRPr="008B7FA4">
        <w:rPr>
          <w:noProof/>
        </w:rPr>
        <w:t xml:space="preserve"> z pań</w:t>
      </w:r>
      <w:r w:rsidRPr="008B7FA4">
        <w:rPr>
          <w:noProof/>
        </w:rPr>
        <w:t>stw trzecich i na odpowiednich forach na szczeblu regionalnym, aby przygotować grunt pod ustanowienie globalnego systemu STM bazującego na wkładzie wnoszonym na poziomie regionalnym</w:t>
      </w:r>
      <w:r w:rsidR="006B6BC0" w:rsidRPr="008B7FA4">
        <w:rPr>
          <w:noProof/>
        </w:rPr>
        <w:t xml:space="preserve"> w prz</w:t>
      </w:r>
      <w:r w:rsidRPr="008B7FA4">
        <w:rPr>
          <w:noProof/>
        </w:rPr>
        <w:t xml:space="preserve">yszłości; </w:t>
      </w:r>
    </w:p>
    <w:p w:rsidR="00053F1F" w:rsidRPr="008B7FA4" w:rsidRDefault="00DF0D6E" w:rsidP="00B911D8">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sidRPr="008B7FA4">
        <w:rPr>
          <w:noProof/>
        </w:rPr>
        <w:t>– dalej zacieśniać kontakty z USA</w:t>
      </w:r>
      <w:r w:rsidR="006B6BC0" w:rsidRPr="008B7FA4">
        <w:rPr>
          <w:noProof/>
        </w:rPr>
        <w:t xml:space="preserve"> w cel</w:t>
      </w:r>
      <w:r w:rsidRPr="008B7FA4">
        <w:rPr>
          <w:noProof/>
        </w:rPr>
        <w:t>u zapewnienia ściślejszej współpracy</w:t>
      </w:r>
      <w:r w:rsidR="006B6BC0" w:rsidRPr="008B7FA4">
        <w:rPr>
          <w:noProof/>
        </w:rPr>
        <w:t xml:space="preserve"> i wza</w:t>
      </w:r>
      <w:r w:rsidRPr="008B7FA4">
        <w:rPr>
          <w:noProof/>
        </w:rPr>
        <w:t>jemnej interoperacyjności</w:t>
      </w:r>
      <w:r w:rsidR="006B6BC0" w:rsidRPr="008B7FA4">
        <w:rPr>
          <w:noProof/>
        </w:rPr>
        <w:t xml:space="preserve"> w kwe</w:t>
      </w:r>
      <w:r w:rsidRPr="008B7FA4">
        <w:rPr>
          <w:noProof/>
        </w:rPr>
        <w:t xml:space="preserve">stiach związanych z STM; </w:t>
      </w:r>
    </w:p>
    <w:p w:rsidR="00630C8C" w:rsidRPr="008B7FA4" w:rsidRDefault="00D1557E" w:rsidP="00B911D8">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sidRPr="008B7FA4">
        <w:rPr>
          <w:noProof/>
        </w:rPr>
        <w:t>– systematycznie poruszać problematykę STM</w:t>
      </w:r>
      <w:r w:rsidR="006B6BC0" w:rsidRPr="008B7FA4">
        <w:rPr>
          <w:noProof/>
        </w:rPr>
        <w:t xml:space="preserve"> w ram</w:t>
      </w:r>
      <w:r w:rsidRPr="008B7FA4">
        <w:rPr>
          <w:noProof/>
        </w:rPr>
        <w:t>ach prowadzonego</w:t>
      </w:r>
      <w:r w:rsidR="006B6BC0" w:rsidRPr="008B7FA4">
        <w:rPr>
          <w:noProof/>
        </w:rPr>
        <w:t xml:space="preserve"> z pań</w:t>
      </w:r>
      <w:r w:rsidRPr="008B7FA4">
        <w:rPr>
          <w:noProof/>
        </w:rPr>
        <w:t>stwami trzecimi dialogu na temat przestrzeni kosmicznej.</w:t>
      </w:r>
    </w:p>
    <w:p w:rsidR="00EF2EA0" w:rsidRPr="008B7FA4" w:rsidRDefault="00EF2EA0">
      <w:pPr>
        <w:spacing w:line="276" w:lineRule="auto"/>
        <w:jc w:val="left"/>
        <w:rPr>
          <w:rFonts w:eastAsia="Calibri" w:cstheme="majorBidi"/>
          <w:noProof/>
          <w:sz w:val="26"/>
          <w:szCs w:val="24"/>
          <w:u w:val="single"/>
        </w:rPr>
      </w:pPr>
      <w:r w:rsidRPr="008B7FA4">
        <w:rPr>
          <w:noProof/>
        </w:rPr>
        <w:br w:type="page"/>
      </w:r>
    </w:p>
    <w:p w:rsidR="00630C8C" w:rsidRPr="008B7FA4" w:rsidRDefault="00630C8C" w:rsidP="009E7D75">
      <w:pPr>
        <w:pStyle w:val="Heading1"/>
        <w:spacing w:before="0"/>
        <w:rPr>
          <w:noProof/>
        </w:rPr>
      </w:pPr>
      <w:bookmarkStart w:id="118" w:name="_Toc92283890"/>
      <w:bookmarkStart w:id="119" w:name="_Toc92382186"/>
      <w:r w:rsidRPr="008B7FA4">
        <w:rPr>
          <w:noProof/>
        </w:rPr>
        <w:t>WNIOSKI</w:t>
      </w:r>
      <w:bookmarkEnd w:id="118"/>
      <w:bookmarkEnd w:id="119"/>
    </w:p>
    <w:p w:rsidR="00630C8C" w:rsidRPr="008B7FA4" w:rsidRDefault="00630C8C" w:rsidP="009E7D75">
      <w:pPr>
        <w:rPr>
          <w:noProof/>
        </w:rPr>
      </w:pPr>
      <w:r w:rsidRPr="008B7FA4">
        <w:rPr>
          <w:noProof/>
        </w:rPr>
        <w:t>Niniejszy wspólny komunikat postrzegany jako wkład UE</w:t>
      </w:r>
      <w:r w:rsidR="006B6BC0" w:rsidRPr="008B7FA4">
        <w:rPr>
          <w:noProof/>
        </w:rPr>
        <w:t xml:space="preserve"> w dzi</w:t>
      </w:r>
      <w:r w:rsidRPr="008B7FA4">
        <w:rPr>
          <w:noProof/>
        </w:rPr>
        <w:t>ałania służące przezwyciężeniu globalnego wyzwania politycznego ma na celu zainicjowanie wyrazistego, spójnego</w:t>
      </w:r>
      <w:r w:rsidR="006B6BC0" w:rsidRPr="008B7FA4">
        <w:rPr>
          <w:noProof/>
        </w:rPr>
        <w:t xml:space="preserve"> i sko</w:t>
      </w:r>
      <w:r w:rsidRPr="008B7FA4">
        <w:rPr>
          <w:noProof/>
        </w:rPr>
        <w:t>ordynowanego unijnego podejścia do STM dla UE</w:t>
      </w:r>
      <w:r w:rsidR="006B6BC0" w:rsidRPr="008B7FA4">
        <w:rPr>
          <w:noProof/>
        </w:rPr>
        <w:t xml:space="preserve"> i jej</w:t>
      </w:r>
      <w:r w:rsidRPr="008B7FA4">
        <w:rPr>
          <w:noProof/>
        </w:rPr>
        <w:t xml:space="preserve"> państw członkowskich oraz propagowanie stanowiska UE</w:t>
      </w:r>
      <w:r w:rsidR="006B6BC0" w:rsidRPr="008B7FA4">
        <w:rPr>
          <w:noProof/>
        </w:rPr>
        <w:t xml:space="preserve"> w kwe</w:t>
      </w:r>
      <w:r w:rsidRPr="008B7FA4">
        <w:rPr>
          <w:noProof/>
        </w:rPr>
        <w:t>stii STM na forach międzynarodowych</w:t>
      </w:r>
      <w:r w:rsidR="006B6BC0" w:rsidRPr="008B7FA4">
        <w:rPr>
          <w:noProof/>
        </w:rPr>
        <w:t xml:space="preserve"> i wie</w:t>
      </w:r>
      <w:r w:rsidRPr="008B7FA4">
        <w:rPr>
          <w:noProof/>
        </w:rPr>
        <w:t xml:space="preserve">lostronnych. </w:t>
      </w:r>
    </w:p>
    <w:p w:rsidR="00630C8C" w:rsidRPr="008B7FA4" w:rsidRDefault="00630C8C" w:rsidP="009E7D75">
      <w:pPr>
        <w:rPr>
          <w:noProof/>
        </w:rPr>
      </w:pPr>
      <w:r w:rsidRPr="008B7FA4">
        <w:rPr>
          <w:noProof/>
        </w:rPr>
        <w:t>UE musi wdrożyć stosowne środki już teraz – działając szybko, wspólnie</w:t>
      </w:r>
      <w:r w:rsidR="006B6BC0" w:rsidRPr="008B7FA4">
        <w:rPr>
          <w:noProof/>
        </w:rPr>
        <w:t xml:space="preserve"> i roz</w:t>
      </w:r>
      <w:r w:rsidRPr="008B7FA4">
        <w:rPr>
          <w:noProof/>
        </w:rPr>
        <w:t>ważnie – aby zapewnić korzystanie</w:t>
      </w:r>
      <w:r w:rsidR="006B6BC0" w:rsidRPr="008B7FA4">
        <w:rPr>
          <w:noProof/>
        </w:rPr>
        <w:t xml:space="preserve"> z prz</w:t>
      </w:r>
      <w:r w:rsidRPr="008B7FA4">
        <w:rPr>
          <w:noProof/>
        </w:rPr>
        <w:t>estrzeni kosmicznej</w:t>
      </w:r>
      <w:r w:rsidR="006B6BC0" w:rsidRPr="008B7FA4">
        <w:rPr>
          <w:noProof/>
        </w:rPr>
        <w:t xml:space="preserve"> w bez</w:t>
      </w:r>
      <w:r w:rsidRPr="008B7FA4">
        <w:rPr>
          <w:noProof/>
        </w:rPr>
        <w:t>pieczny</w:t>
      </w:r>
      <w:r w:rsidR="006B6BC0" w:rsidRPr="008B7FA4">
        <w:rPr>
          <w:noProof/>
        </w:rPr>
        <w:t xml:space="preserve"> i zró</w:t>
      </w:r>
      <w:r w:rsidRPr="008B7FA4">
        <w:rPr>
          <w:noProof/>
        </w:rPr>
        <w:t>wnoważony sposób</w:t>
      </w:r>
      <w:r w:rsidR="006B6BC0" w:rsidRPr="008B7FA4">
        <w:rPr>
          <w:noProof/>
        </w:rPr>
        <w:t>. W nin</w:t>
      </w:r>
      <w:r w:rsidRPr="008B7FA4">
        <w:rPr>
          <w:noProof/>
        </w:rPr>
        <w:t>iejszym wspólnym komunikacie zaproponowano przyjęcie dynamicznego</w:t>
      </w:r>
      <w:r w:rsidR="006B6BC0" w:rsidRPr="008B7FA4">
        <w:rPr>
          <w:noProof/>
        </w:rPr>
        <w:t xml:space="preserve"> i ewo</w:t>
      </w:r>
      <w:r w:rsidRPr="008B7FA4">
        <w:rPr>
          <w:noProof/>
        </w:rPr>
        <w:t>luującego podejścia unijnego bazującego na szeregu konkretnych działań</w:t>
      </w:r>
      <w:r w:rsidR="006B6BC0" w:rsidRPr="008B7FA4">
        <w:rPr>
          <w:noProof/>
        </w:rPr>
        <w:t xml:space="preserve"> w dzi</w:t>
      </w:r>
      <w:r w:rsidRPr="008B7FA4">
        <w:rPr>
          <w:noProof/>
        </w:rPr>
        <w:t>edzinie STM, którego celem jest zabezpieczenie interesów UE</w:t>
      </w:r>
      <w:r w:rsidR="006B6BC0" w:rsidRPr="008B7FA4">
        <w:rPr>
          <w:noProof/>
        </w:rPr>
        <w:t xml:space="preserve"> i pań</w:t>
      </w:r>
      <w:r w:rsidRPr="008B7FA4">
        <w:rPr>
          <w:noProof/>
        </w:rPr>
        <w:t>stw członkowskich przy pełnym poszanowaniu przysługujących im kompetencji.</w:t>
      </w:r>
    </w:p>
    <w:p w:rsidR="00B911D8" w:rsidRPr="008B7FA4" w:rsidRDefault="00630C8C" w:rsidP="009E7D75">
      <w:pPr>
        <w:rPr>
          <w:noProof/>
        </w:rPr>
      </w:pPr>
      <w:r w:rsidRPr="008B7FA4">
        <w:rPr>
          <w:noProof/>
        </w:rPr>
        <w:t>Wspomniane działania obejmują ocenę wymogów związanych z STM spoczywających na UE</w:t>
      </w:r>
      <w:r w:rsidR="006B6BC0" w:rsidRPr="008B7FA4">
        <w:rPr>
          <w:noProof/>
        </w:rPr>
        <w:t xml:space="preserve"> w sek</w:t>
      </w:r>
      <w:r w:rsidRPr="008B7FA4">
        <w:rPr>
          <w:noProof/>
        </w:rPr>
        <w:t>torze cywilnym</w:t>
      </w:r>
      <w:r w:rsidR="006B6BC0" w:rsidRPr="008B7FA4">
        <w:rPr>
          <w:noProof/>
        </w:rPr>
        <w:t xml:space="preserve"> i w sek</w:t>
      </w:r>
      <w:r w:rsidRPr="008B7FA4">
        <w:rPr>
          <w:noProof/>
        </w:rPr>
        <w:t>torze obrony, zwiększenie zdolności operacyjnej UE</w:t>
      </w:r>
      <w:r w:rsidR="006B6BC0" w:rsidRPr="008B7FA4">
        <w:rPr>
          <w:noProof/>
        </w:rPr>
        <w:t xml:space="preserve"> w cel</w:t>
      </w:r>
      <w:r w:rsidRPr="008B7FA4">
        <w:rPr>
          <w:noProof/>
        </w:rPr>
        <w:t>u zapewnienia wsparcia na rzecz STM</w:t>
      </w:r>
      <w:r w:rsidR="006B6BC0" w:rsidRPr="008B7FA4">
        <w:rPr>
          <w:noProof/>
        </w:rPr>
        <w:t xml:space="preserve"> w pos</w:t>
      </w:r>
      <w:r w:rsidRPr="008B7FA4">
        <w:rPr>
          <w:noProof/>
        </w:rPr>
        <w:t>taci usług</w:t>
      </w:r>
      <w:r w:rsidR="006B6BC0" w:rsidRPr="008B7FA4">
        <w:rPr>
          <w:noProof/>
        </w:rPr>
        <w:t xml:space="preserve"> i tec</w:t>
      </w:r>
      <w:r w:rsidRPr="008B7FA4">
        <w:rPr>
          <w:noProof/>
        </w:rPr>
        <w:t>hnologii, propagowanie aspektów regulacyjnych związanych z STM prowadzących do przyjęcia odpowiednich przepisów oraz promowanie unijnego podejścia do STM na szczeblu globalnym. </w:t>
      </w:r>
    </w:p>
    <w:p w:rsidR="000A479C" w:rsidRPr="008B7FA4" w:rsidRDefault="00A647E3" w:rsidP="009E7D75">
      <w:pPr>
        <w:rPr>
          <w:noProof/>
        </w:rPr>
      </w:pPr>
      <w:r w:rsidRPr="008B7FA4">
        <w:rPr>
          <w:noProof/>
        </w:rPr>
        <w:t>Wysiłki</w:t>
      </w:r>
      <w:r w:rsidR="006B6BC0" w:rsidRPr="008B7FA4">
        <w:rPr>
          <w:noProof/>
        </w:rPr>
        <w:t xml:space="preserve"> w tym</w:t>
      </w:r>
      <w:r w:rsidRPr="008B7FA4">
        <w:rPr>
          <w:noProof/>
        </w:rPr>
        <w:t xml:space="preserve"> zakresie doprowadzą do zwiększenia odporności infrastruktury kosmicznej UE</w:t>
      </w:r>
      <w:r w:rsidR="006B6BC0" w:rsidRPr="008B7FA4">
        <w:rPr>
          <w:noProof/>
        </w:rPr>
        <w:t xml:space="preserve"> i pań</w:t>
      </w:r>
      <w:r w:rsidRPr="008B7FA4">
        <w:rPr>
          <w:noProof/>
        </w:rPr>
        <w:t>stw członkowskich, na której polegają nasze społeczeństwa i od której uzależniona są nasze gospodarki, zapewnią operatorom większy poziom pewności, wzmocnią konkurencyjność europejskiego przemysłu,</w:t>
      </w:r>
      <w:r w:rsidR="006B6BC0" w:rsidRPr="008B7FA4">
        <w:rPr>
          <w:noProof/>
        </w:rPr>
        <w:t xml:space="preserve"> a tak</w:t>
      </w:r>
      <w:r w:rsidRPr="008B7FA4">
        <w:rPr>
          <w:noProof/>
        </w:rPr>
        <w:t>że– dzięki wsparciu naszych partnerów – wniosą istotny wkład</w:t>
      </w:r>
      <w:r w:rsidR="006B6BC0" w:rsidRPr="008B7FA4">
        <w:rPr>
          <w:noProof/>
        </w:rPr>
        <w:t xml:space="preserve"> w pod</w:t>
      </w:r>
      <w:r w:rsidRPr="008B7FA4">
        <w:rPr>
          <w:noProof/>
        </w:rPr>
        <w:t>ejmowane na szczeblu globalnym działania służące zapewnieniu możliwości dalszego świadczenia usług kosmicznych</w:t>
      </w:r>
      <w:r w:rsidR="006B6BC0" w:rsidRPr="008B7FA4">
        <w:rPr>
          <w:noProof/>
        </w:rPr>
        <w:t xml:space="preserve"> i zag</w:t>
      </w:r>
      <w:r w:rsidRPr="008B7FA4">
        <w:rPr>
          <w:noProof/>
        </w:rPr>
        <w:t>warantowaniu dostępności rozwiązań kosmicznych</w:t>
      </w:r>
      <w:r w:rsidR="006B6BC0" w:rsidRPr="008B7FA4">
        <w:rPr>
          <w:noProof/>
        </w:rPr>
        <w:t xml:space="preserve"> w nad</w:t>
      </w:r>
      <w:r w:rsidRPr="008B7FA4">
        <w:rPr>
          <w:noProof/>
        </w:rPr>
        <w:t xml:space="preserve">chodzących dziesięcioleciach. </w:t>
      </w:r>
    </w:p>
    <w:sectPr w:rsidR="000A479C" w:rsidRPr="008B7FA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69C" w:rsidRPr="008B7FA4" w:rsidRDefault="00CC769C" w:rsidP="00927FB7">
      <w:pPr>
        <w:spacing w:after="0" w:line="240" w:lineRule="auto"/>
      </w:pPr>
      <w:r w:rsidRPr="008B7FA4">
        <w:separator/>
      </w:r>
    </w:p>
  </w:endnote>
  <w:endnote w:type="continuationSeparator" w:id="0">
    <w:p w:rsidR="00CC769C" w:rsidRPr="008B7FA4" w:rsidRDefault="00CC769C" w:rsidP="00927FB7">
      <w:pPr>
        <w:spacing w:after="0" w:line="240" w:lineRule="auto"/>
      </w:pPr>
      <w:r w:rsidRPr="008B7FA4">
        <w:continuationSeparator/>
      </w:r>
    </w:p>
  </w:endnote>
  <w:endnote w:type="continuationNotice" w:id="1">
    <w:p w:rsidR="00CC769C" w:rsidRPr="008B7FA4" w:rsidRDefault="00CC76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8B7" w:rsidRPr="008C58B7" w:rsidRDefault="008C58B7" w:rsidP="008C5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A4" w:rsidRPr="008C58B7" w:rsidRDefault="008C58B7" w:rsidP="008C58B7">
    <w:pPr>
      <w:pStyle w:val="FooterCoverPage"/>
      <w:rPr>
        <w:rFonts w:ascii="Arial" w:hAnsi="Arial" w:cs="Arial"/>
        <w:b/>
        <w:sz w:val="48"/>
      </w:rPr>
    </w:pPr>
    <w:r w:rsidRPr="008C58B7">
      <w:rPr>
        <w:rFonts w:ascii="Arial" w:hAnsi="Arial" w:cs="Arial"/>
        <w:b/>
        <w:sz w:val="48"/>
      </w:rPr>
      <w:t>PL</w:t>
    </w:r>
    <w:r w:rsidRPr="008C58B7">
      <w:rPr>
        <w:rFonts w:ascii="Arial" w:hAnsi="Arial" w:cs="Arial"/>
        <w:b/>
        <w:sz w:val="48"/>
      </w:rPr>
      <w:tab/>
    </w:r>
    <w:r w:rsidRPr="008C58B7">
      <w:rPr>
        <w:rFonts w:ascii="Arial" w:hAnsi="Arial" w:cs="Arial"/>
        <w:b/>
        <w:sz w:val="48"/>
      </w:rPr>
      <w:tab/>
    </w:r>
    <w:r w:rsidRPr="008C58B7">
      <w:tab/>
    </w:r>
    <w:r w:rsidRPr="008C58B7">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8B7" w:rsidRPr="008C58B7" w:rsidRDefault="008C58B7" w:rsidP="008C58B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2A" w:rsidRDefault="00DE28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634388"/>
      <w:docPartObj>
        <w:docPartGallery w:val="Page Numbers (Bottom of Page)"/>
        <w:docPartUnique/>
      </w:docPartObj>
    </w:sdtPr>
    <w:sdtEndPr>
      <w:rPr>
        <w:noProof/>
      </w:rPr>
    </w:sdtEndPr>
    <w:sdtContent>
      <w:p w:rsidR="00813E41" w:rsidRDefault="00813E41">
        <w:pPr>
          <w:pStyle w:val="Footer"/>
          <w:jc w:val="center"/>
        </w:pPr>
        <w:r>
          <w:fldChar w:fldCharType="begin"/>
        </w:r>
        <w:r>
          <w:instrText xml:space="preserve"> PAGE   \* MERGEFORMAT </w:instrText>
        </w:r>
        <w:r>
          <w:fldChar w:fldCharType="separate"/>
        </w:r>
        <w:r w:rsidR="008C58B7">
          <w:rPr>
            <w:noProof/>
          </w:rPr>
          <w:t>1</w:t>
        </w:r>
        <w:r>
          <w:fldChar w:fldCharType="end"/>
        </w:r>
      </w:p>
    </w:sdtContent>
  </w:sdt>
  <w:p w:rsidR="00813E41" w:rsidRDefault="00813E41">
    <w:pPr>
      <w:pStyle w:val="Footer"/>
    </w:pPr>
  </w:p>
  <w:p w:rsidR="00813E41" w:rsidRDefault="00813E41"/>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2A" w:rsidRDefault="00DE2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69C" w:rsidRPr="008B7FA4" w:rsidRDefault="00CC769C" w:rsidP="00927FB7">
      <w:pPr>
        <w:spacing w:after="0" w:line="240" w:lineRule="auto"/>
      </w:pPr>
      <w:r w:rsidRPr="008B7FA4">
        <w:separator/>
      </w:r>
    </w:p>
  </w:footnote>
  <w:footnote w:type="continuationSeparator" w:id="0">
    <w:p w:rsidR="00CC769C" w:rsidRPr="008B7FA4" w:rsidRDefault="00CC769C" w:rsidP="00927FB7">
      <w:pPr>
        <w:spacing w:after="0" w:line="240" w:lineRule="auto"/>
      </w:pPr>
      <w:r w:rsidRPr="008B7FA4">
        <w:continuationSeparator/>
      </w:r>
    </w:p>
  </w:footnote>
  <w:footnote w:type="continuationNotice" w:id="1">
    <w:p w:rsidR="00CC769C" w:rsidRPr="008B7FA4" w:rsidRDefault="00CC769C">
      <w:pPr>
        <w:spacing w:after="0" w:line="240" w:lineRule="auto"/>
      </w:pPr>
    </w:p>
  </w:footnote>
  <w:footnote w:id="2">
    <w:p w:rsidR="00813E41" w:rsidRPr="008B7FA4" w:rsidRDefault="00813E41" w:rsidP="007A3299">
      <w:pPr>
        <w:pStyle w:val="FootnoteText"/>
      </w:pPr>
      <w:r w:rsidRPr="008B7FA4">
        <w:rPr>
          <w:rStyle w:val="FootnoteReference"/>
        </w:rPr>
        <w:footnoteRef/>
      </w:r>
      <w:r w:rsidRPr="008B7FA4">
        <w:t xml:space="preserve"> </w:t>
      </w:r>
      <w:r w:rsidRPr="008B7FA4">
        <w:rPr>
          <w:sz w:val="16"/>
          <w:szCs w:val="16"/>
        </w:rPr>
        <w:t>W dniu 22 lutego 2021</w:t>
      </w:r>
      <w:r w:rsidR="006B6BC0" w:rsidRPr="008B7FA4">
        <w:rPr>
          <w:sz w:val="16"/>
          <w:szCs w:val="16"/>
        </w:rPr>
        <w:t> </w:t>
      </w:r>
      <w:r w:rsidRPr="008B7FA4">
        <w:rPr>
          <w:sz w:val="16"/>
          <w:szCs w:val="16"/>
        </w:rPr>
        <w:t>r. Komisja przyjęła Plan działania na rzecz synergii między przemysłem cywilnym, obronnym</w:t>
      </w:r>
      <w:r w:rsidR="006B6BC0" w:rsidRPr="008B7FA4">
        <w:rPr>
          <w:sz w:val="16"/>
          <w:szCs w:val="16"/>
        </w:rPr>
        <w:t xml:space="preserve"> i kos</w:t>
      </w:r>
      <w:r w:rsidRPr="008B7FA4">
        <w:rPr>
          <w:sz w:val="16"/>
          <w:szCs w:val="16"/>
        </w:rPr>
        <w:t>micznym,</w:t>
      </w:r>
      <w:r w:rsidR="006B6BC0" w:rsidRPr="008B7FA4">
        <w:rPr>
          <w:sz w:val="16"/>
          <w:szCs w:val="16"/>
        </w:rPr>
        <w:t xml:space="preserve"> w ram</w:t>
      </w:r>
      <w:r w:rsidRPr="008B7FA4">
        <w:rPr>
          <w:sz w:val="16"/>
          <w:szCs w:val="16"/>
        </w:rPr>
        <w:t>ach którego ogłoszono rozpoczęcie wzmożonego dialogu</w:t>
      </w:r>
      <w:r w:rsidR="006B6BC0" w:rsidRPr="008B7FA4">
        <w:rPr>
          <w:sz w:val="16"/>
          <w:szCs w:val="16"/>
        </w:rPr>
        <w:t xml:space="preserve"> i zin</w:t>
      </w:r>
      <w:r w:rsidRPr="008B7FA4">
        <w:rPr>
          <w:sz w:val="16"/>
          <w:szCs w:val="16"/>
        </w:rPr>
        <w:t>tensyfikowanie działań na rzecz wdrożenia projektu przewodniego</w:t>
      </w:r>
      <w:r w:rsidR="006B6BC0" w:rsidRPr="008B7FA4">
        <w:rPr>
          <w:sz w:val="16"/>
          <w:szCs w:val="16"/>
        </w:rPr>
        <w:t xml:space="preserve"> w dzi</w:t>
      </w:r>
      <w:r w:rsidRPr="008B7FA4">
        <w:rPr>
          <w:sz w:val="16"/>
          <w:szCs w:val="16"/>
        </w:rPr>
        <w:t>edzinie STM</w:t>
      </w:r>
      <w:r w:rsidR="006B6BC0" w:rsidRPr="008B7FA4">
        <w:rPr>
          <w:sz w:val="16"/>
          <w:szCs w:val="16"/>
        </w:rPr>
        <w:t>. W kon</w:t>
      </w:r>
      <w:r w:rsidRPr="008B7FA4">
        <w:rPr>
          <w:sz w:val="16"/>
          <w:szCs w:val="16"/>
        </w:rPr>
        <w:t>kluzjach Rady ds. Konkurencyjności</w:t>
      </w:r>
      <w:r w:rsidR="006B6BC0" w:rsidRPr="008B7FA4">
        <w:rPr>
          <w:sz w:val="16"/>
          <w:szCs w:val="16"/>
        </w:rPr>
        <w:t xml:space="preserve"> z maj</w:t>
      </w:r>
      <w:r w:rsidRPr="008B7FA4">
        <w:rPr>
          <w:sz w:val="16"/>
          <w:szCs w:val="16"/>
        </w:rPr>
        <w:t>a 2021</w:t>
      </w:r>
      <w:r w:rsidR="006B6BC0" w:rsidRPr="008B7FA4">
        <w:rPr>
          <w:sz w:val="16"/>
          <w:szCs w:val="16"/>
        </w:rPr>
        <w:t> </w:t>
      </w:r>
      <w:r w:rsidRPr="008B7FA4">
        <w:rPr>
          <w:sz w:val="16"/>
          <w:szCs w:val="16"/>
        </w:rPr>
        <w:t>r. pt. „New Space dla wszystkich” podkreślono „wagę opracowania</w:t>
      </w:r>
      <w:r w:rsidR="006B6BC0" w:rsidRPr="008B7FA4">
        <w:rPr>
          <w:sz w:val="16"/>
          <w:szCs w:val="16"/>
        </w:rPr>
        <w:t xml:space="preserve"> w prz</w:t>
      </w:r>
      <w:r w:rsidRPr="008B7FA4">
        <w:rPr>
          <w:sz w:val="16"/>
          <w:szCs w:val="16"/>
        </w:rPr>
        <w:t>yszłości europejskiego podejścia do zarządzania ruchem</w:t>
      </w:r>
      <w:r w:rsidR="006B6BC0" w:rsidRPr="008B7FA4">
        <w:rPr>
          <w:sz w:val="16"/>
          <w:szCs w:val="16"/>
        </w:rPr>
        <w:t xml:space="preserve"> w prz</w:t>
      </w:r>
      <w:r w:rsidRPr="008B7FA4">
        <w:rPr>
          <w:sz w:val="16"/>
          <w:szCs w:val="16"/>
        </w:rPr>
        <w:t>estrzeni kosmicznej oraz przewodnich, globalnych norm”</w:t>
      </w:r>
      <w:r w:rsidR="006B6BC0" w:rsidRPr="008B7FA4">
        <w:rPr>
          <w:sz w:val="16"/>
          <w:szCs w:val="16"/>
        </w:rPr>
        <w:t>. W ram</w:t>
      </w:r>
      <w:r w:rsidRPr="008B7FA4">
        <w:rPr>
          <w:sz w:val="16"/>
          <w:szCs w:val="16"/>
        </w:rPr>
        <w:t>ach procesu Strategicznego kompasu – będącego obecnie przedmiotem debaty prowadzonej</w:t>
      </w:r>
      <w:r w:rsidR="006B6BC0" w:rsidRPr="008B7FA4">
        <w:rPr>
          <w:sz w:val="16"/>
          <w:szCs w:val="16"/>
        </w:rPr>
        <w:t xml:space="preserve"> w Rad</w:t>
      </w:r>
      <w:r w:rsidRPr="008B7FA4">
        <w:rPr>
          <w:sz w:val="16"/>
          <w:szCs w:val="16"/>
        </w:rPr>
        <w:t>zie – potwierdzono znaczenie opracowania unijnego podejścia do STM jako wartościowego wkładu</w:t>
      </w:r>
      <w:r w:rsidR="006B6BC0" w:rsidRPr="008B7FA4">
        <w:rPr>
          <w:sz w:val="16"/>
          <w:szCs w:val="16"/>
        </w:rPr>
        <w:t xml:space="preserve"> w rea</w:t>
      </w:r>
      <w:r w:rsidRPr="008B7FA4">
        <w:rPr>
          <w:sz w:val="16"/>
          <w:szCs w:val="16"/>
        </w:rPr>
        <w:t>lizację celów wspólnej polityki zagranicznej</w:t>
      </w:r>
      <w:r w:rsidR="006B6BC0" w:rsidRPr="008B7FA4">
        <w:rPr>
          <w:sz w:val="16"/>
          <w:szCs w:val="16"/>
        </w:rPr>
        <w:t xml:space="preserve"> i bez</w:t>
      </w:r>
      <w:r w:rsidRPr="008B7FA4">
        <w:rPr>
          <w:sz w:val="16"/>
          <w:szCs w:val="16"/>
        </w:rPr>
        <w:t>pieczeństwa UE.</w:t>
      </w:r>
    </w:p>
  </w:footnote>
  <w:footnote w:id="3">
    <w:p w:rsidR="00813E41" w:rsidRPr="008B7FA4" w:rsidRDefault="00813E41" w:rsidP="00630C8C">
      <w:pPr>
        <w:spacing w:after="0" w:line="240" w:lineRule="auto"/>
        <w:rPr>
          <w:rFonts w:cs="Times New Roman"/>
          <w:sz w:val="16"/>
          <w:szCs w:val="16"/>
        </w:rPr>
      </w:pPr>
      <w:r w:rsidRPr="008B7FA4">
        <w:rPr>
          <w:rStyle w:val="FootnoteReference"/>
          <w:sz w:val="16"/>
          <w:szCs w:val="16"/>
        </w:rPr>
        <w:footnoteRef/>
      </w:r>
      <w:r w:rsidRPr="008B7FA4">
        <w:rPr>
          <w:sz w:val="16"/>
          <w:szCs w:val="16"/>
        </w:rPr>
        <w:t xml:space="preserve"> Na szeregu różnych forów politycznych, akademickich</w:t>
      </w:r>
      <w:r w:rsidR="006B6BC0" w:rsidRPr="008B7FA4">
        <w:rPr>
          <w:sz w:val="16"/>
          <w:szCs w:val="16"/>
        </w:rPr>
        <w:t xml:space="preserve"> i mię</w:t>
      </w:r>
      <w:r w:rsidRPr="008B7FA4">
        <w:rPr>
          <w:sz w:val="16"/>
          <w:szCs w:val="16"/>
        </w:rPr>
        <w:t>dzynarodowych proponowano różne definicje tego pojęcia. Jednocześnie opracowanie definicji STM staje się coraz bardziej skomplikowane</w:t>
      </w:r>
      <w:r w:rsidR="006B6BC0" w:rsidRPr="008B7FA4">
        <w:rPr>
          <w:sz w:val="16"/>
          <w:szCs w:val="16"/>
        </w:rPr>
        <w:t xml:space="preserve"> w mia</w:t>
      </w:r>
      <w:r w:rsidRPr="008B7FA4">
        <w:rPr>
          <w:sz w:val="16"/>
          <w:szCs w:val="16"/>
        </w:rPr>
        <w:t>rę pojawiania się nowych koncepcji takich jak bezpieczeństwo ruchu</w:t>
      </w:r>
      <w:r w:rsidR="006B6BC0" w:rsidRPr="008B7FA4">
        <w:rPr>
          <w:sz w:val="16"/>
          <w:szCs w:val="16"/>
        </w:rPr>
        <w:t xml:space="preserve"> w prz</w:t>
      </w:r>
      <w:r w:rsidRPr="008B7FA4">
        <w:rPr>
          <w:sz w:val="16"/>
          <w:szCs w:val="16"/>
        </w:rPr>
        <w:t>estrzeni kosmicznej (STS), koordynowanie ruchu</w:t>
      </w:r>
      <w:r w:rsidR="006B6BC0" w:rsidRPr="008B7FA4">
        <w:rPr>
          <w:sz w:val="16"/>
          <w:szCs w:val="16"/>
        </w:rPr>
        <w:t xml:space="preserve"> w prz</w:t>
      </w:r>
      <w:r w:rsidRPr="008B7FA4">
        <w:rPr>
          <w:sz w:val="16"/>
          <w:szCs w:val="16"/>
        </w:rPr>
        <w:t>estrzeni kosmicznej (STC),</w:t>
      </w:r>
      <w:r w:rsidR="006B6BC0" w:rsidRPr="008B7FA4">
        <w:rPr>
          <w:sz w:val="16"/>
          <w:szCs w:val="16"/>
        </w:rPr>
        <w:t xml:space="preserve"> a tak</w:t>
      </w:r>
      <w:r w:rsidRPr="008B7FA4">
        <w:rPr>
          <w:sz w:val="16"/>
          <w:szCs w:val="16"/>
        </w:rPr>
        <w:t>że –</w:t>
      </w:r>
      <w:r w:rsidR="006B6BC0" w:rsidRPr="008B7FA4">
        <w:rPr>
          <w:sz w:val="16"/>
          <w:szCs w:val="16"/>
        </w:rPr>
        <w:t xml:space="preserve"> w ost</w:t>
      </w:r>
      <w:r w:rsidRPr="008B7FA4">
        <w:rPr>
          <w:sz w:val="16"/>
          <w:szCs w:val="16"/>
        </w:rPr>
        <w:t>atnim czasie – koordynowanie ruchu</w:t>
      </w:r>
      <w:r w:rsidR="006B6BC0" w:rsidRPr="008B7FA4">
        <w:rPr>
          <w:sz w:val="16"/>
          <w:szCs w:val="16"/>
        </w:rPr>
        <w:t xml:space="preserve"> w prz</w:t>
      </w:r>
      <w:r w:rsidRPr="008B7FA4">
        <w:rPr>
          <w:sz w:val="16"/>
          <w:szCs w:val="16"/>
        </w:rPr>
        <w:t>estrzeni kosmicznej</w:t>
      </w:r>
      <w:r w:rsidR="006B6BC0" w:rsidRPr="008B7FA4">
        <w:rPr>
          <w:sz w:val="16"/>
          <w:szCs w:val="16"/>
        </w:rPr>
        <w:t xml:space="preserve"> i zar</w:t>
      </w:r>
      <w:r w:rsidRPr="008B7FA4">
        <w:rPr>
          <w:sz w:val="16"/>
          <w:szCs w:val="16"/>
        </w:rPr>
        <w:t>ządzanie tym ruchem (STCM).</w:t>
      </w:r>
    </w:p>
  </w:footnote>
  <w:footnote w:id="4">
    <w:p w:rsidR="00813E41" w:rsidRPr="008B7FA4" w:rsidRDefault="00813E41" w:rsidP="00630C8C">
      <w:pPr>
        <w:pStyle w:val="FootnoteText"/>
        <w:rPr>
          <w:sz w:val="16"/>
          <w:szCs w:val="16"/>
        </w:rPr>
      </w:pPr>
      <w:r w:rsidRPr="008B7FA4">
        <w:rPr>
          <w:rStyle w:val="FootnoteReference"/>
          <w:sz w:val="16"/>
          <w:szCs w:val="16"/>
        </w:rPr>
        <w:footnoteRef/>
      </w:r>
      <w:r w:rsidRPr="008B7FA4">
        <w:rPr>
          <w:sz w:val="16"/>
          <w:szCs w:val="16"/>
        </w:rPr>
        <w:t xml:space="preserve"> Projekt pilotażowy</w:t>
      </w:r>
      <w:r w:rsidR="006B6BC0" w:rsidRPr="008B7FA4">
        <w:rPr>
          <w:sz w:val="16"/>
          <w:szCs w:val="16"/>
        </w:rPr>
        <w:t xml:space="preserve"> w spr</w:t>
      </w:r>
      <w:r w:rsidRPr="008B7FA4">
        <w:rPr>
          <w:sz w:val="16"/>
          <w:szCs w:val="16"/>
        </w:rPr>
        <w:t>awie zarządzania ruchem</w:t>
      </w:r>
      <w:r w:rsidR="006B6BC0" w:rsidRPr="008B7FA4">
        <w:rPr>
          <w:sz w:val="16"/>
          <w:szCs w:val="16"/>
        </w:rPr>
        <w:t xml:space="preserve"> w prz</w:t>
      </w:r>
      <w:r w:rsidRPr="008B7FA4">
        <w:rPr>
          <w:sz w:val="16"/>
          <w:szCs w:val="16"/>
        </w:rPr>
        <w:t>estrzeni kosmicznej – Wzrost znaczenia zarządzania ruchem</w:t>
      </w:r>
      <w:r w:rsidR="006B6BC0" w:rsidRPr="008B7FA4">
        <w:rPr>
          <w:sz w:val="16"/>
          <w:szCs w:val="16"/>
        </w:rPr>
        <w:t xml:space="preserve"> w prz</w:t>
      </w:r>
      <w:r w:rsidRPr="008B7FA4">
        <w:rPr>
          <w:sz w:val="16"/>
          <w:szCs w:val="16"/>
        </w:rPr>
        <w:t>estrzeni kosmicznej (STM)</w:t>
      </w:r>
      <w:r w:rsidRPr="008B7FA4">
        <w:t>.</w:t>
      </w:r>
    </w:p>
  </w:footnote>
  <w:footnote w:id="5">
    <w:p w:rsidR="00813E41" w:rsidRPr="008B7FA4" w:rsidRDefault="00813E41" w:rsidP="00630C8C">
      <w:pPr>
        <w:pStyle w:val="FootnoteText"/>
        <w:rPr>
          <w:sz w:val="16"/>
          <w:szCs w:val="16"/>
        </w:rPr>
      </w:pPr>
      <w:r w:rsidRPr="008B7FA4">
        <w:rPr>
          <w:rStyle w:val="FootnoteReference"/>
          <w:sz w:val="16"/>
          <w:szCs w:val="16"/>
        </w:rPr>
        <w:footnoteRef/>
      </w:r>
      <w:r w:rsidRPr="008B7FA4">
        <w:rPr>
          <w:sz w:val="16"/>
          <w:szCs w:val="16"/>
        </w:rPr>
        <w:t xml:space="preserve"> Definicja New Space: przedsiębiorstwa prywatne, MŚP</w:t>
      </w:r>
      <w:r w:rsidR="006B6BC0" w:rsidRPr="008B7FA4">
        <w:rPr>
          <w:sz w:val="16"/>
          <w:szCs w:val="16"/>
        </w:rPr>
        <w:t xml:space="preserve"> i prz</w:t>
      </w:r>
      <w:r w:rsidRPr="008B7FA4">
        <w:rPr>
          <w:sz w:val="16"/>
          <w:szCs w:val="16"/>
        </w:rPr>
        <w:t>edsiębiorstwa typu start-up, które opracowują nowatorskie technologie kosmiczne</w:t>
      </w:r>
      <w:r w:rsidR="006B6BC0" w:rsidRPr="008B7FA4">
        <w:rPr>
          <w:sz w:val="16"/>
          <w:szCs w:val="16"/>
        </w:rPr>
        <w:t xml:space="preserve"> i ich</w:t>
      </w:r>
      <w:r w:rsidRPr="008B7FA4">
        <w:rPr>
          <w:sz w:val="16"/>
          <w:szCs w:val="16"/>
        </w:rPr>
        <w:t xml:space="preserve"> zastosowania.</w:t>
      </w:r>
    </w:p>
  </w:footnote>
  <w:footnote w:id="6">
    <w:p w:rsidR="00813E41" w:rsidRPr="008B7FA4" w:rsidRDefault="00813E41" w:rsidP="00630C8C">
      <w:pPr>
        <w:pStyle w:val="FootnoteText"/>
        <w:rPr>
          <w:sz w:val="16"/>
          <w:szCs w:val="16"/>
        </w:rPr>
      </w:pPr>
      <w:r w:rsidRPr="008B7FA4">
        <w:rPr>
          <w:rStyle w:val="FootnoteReference"/>
          <w:sz w:val="16"/>
          <w:szCs w:val="16"/>
        </w:rPr>
        <w:footnoteRef/>
      </w:r>
      <w:r w:rsidRPr="008B7FA4">
        <w:rPr>
          <w:sz w:val="16"/>
          <w:szCs w:val="16"/>
        </w:rPr>
        <w:t xml:space="preserve"> Źródło: Eurospace</w:t>
      </w:r>
      <w:r w:rsidR="006B6BC0" w:rsidRPr="008B7FA4">
        <w:rPr>
          <w:sz w:val="16"/>
          <w:szCs w:val="16"/>
        </w:rPr>
        <w:t>. W lat</w:t>
      </w:r>
      <w:r w:rsidRPr="008B7FA4">
        <w:rPr>
          <w:sz w:val="16"/>
          <w:szCs w:val="16"/>
        </w:rPr>
        <w:t>ach 2017, 2018</w:t>
      </w:r>
      <w:r w:rsidR="006B6BC0" w:rsidRPr="008B7FA4">
        <w:rPr>
          <w:sz w:val="16"/>
          <w:szCs w:val="16"/>
        </w:rPr>
        <w:t xml:space="preserve"> i 2</w:t>
      </w:r>
      <w:r w:rsidRPr="008B7FA4">
        <w:rPr>
          <w:sz w:val="16"/>
          <w:szCs w:val="16"/>
        </w:rPr>
        <w:t>019 każdego roku na orbitę wynoszono ponad 470 statków kosmicznych, podczas gdy</w:t>
      </w:r>
      <w:r w:rsidR="006B6BC0" w:rsidRPr="008B7FA4">
        <w:rPr>
          <w:sz w:val="16"/>
          <w:szCs w:val="16"/>
        </w:rPr>
        <w:t xml:space="preserve"> w lat</w:t>
      </w:r>
      <w:r w:rsidRPr="008B7FA4">
        <w:rPr>
          <w:sz w:val="16"/>
          <w:szCs w:val="16"/>
        </w:rPr>
        <w:t>ach 2000–2013 liczba ta wynosiła średnio 110 statków kosmicznych rocznie.</w:t>
      </w:r>
    </w:p>
  </w:footnote>
  <w:footnote w:id="7">
    <w:p w:rsidR="00813E41" w:rsidRPr="008B7FA4" w:rsidRDefault="00813E41" w:rsidP="00630C8C">
      <w:pPr>
        <w:pStyle w:val="FootnoteText"/>
        <w:rPr>
          <w:sz w:val="16"/>
          <w:szCs w:val="16"/>
        </w:rPr>
      </w:pPr>
      <w:r w:rsidRPr="008B7FA4">
        <w:rPr>
          <w:rStyle w:val="FootnoteReference"/>
          <w:sz w:val="16"/>
          <w:szCs w:val="16"/>
        </w:rPr>
        <w:footnoteRef/>
      </w:r>
      <w:r w:rsidRPr="008B7FA4">
        <w:rPr>
          <w:sz w:val="16"/>
          <w:szCs w:val="16"/>
        </w:rPr>
        <w:t xml:space="preserve"> Orientacyjny wykaz: Space X Starlink, Amazon Kuiper, pomyślnie wyniesiony na orbitę satelita One Web, Boeing-V-band, Iceye, Kepler, satelita Telesat poruszający się po niskiej orbicie okołoziemskiej, Spire, Theia itp.</w:t>
      </w:r>
    </w:p>
  </w:footnote>
  <w:footnote w:id="8">
    <w:p w:rsidR="00813E41" w:rsidRPr="008B7FA4" w:rsidRDefault="00813E41" w:rsidP="00630C8C">
      <w:pPr>
        <w:pStyle w:val="FootnoteText"/>
        <w:rPr>
          <w:sz w:val="16"/>
          <w:szCs w:val="16"/>
        </w:rPr>
      </w:pPr>
      <w:r w:rsidRPr="008B7FA4">
        <w:rPr>
          <w:rStyle w:val="FootnoteReference"/>
          <w:sz w:val="16"/>
          <w:szCs w:val="16"/>
        </w:rPr>
        <w:footnoteRef/>
      </w:r>
      <w:r w:rsidRPr="008B7FA4">
        <w:rPr>
          <w:sz w:val="16"/>
          <w:szCs w:val="16"/>
        </w:rPr>
        <w:t xml:space="preserve"> Źródło: ESA.</w:t>
      </w:r>
    </w:p>
  </w:footnote>
  <w:footnote w:id="9">
    <w:p w:rsidR="005F7D36" w:rsidRPr="008B7FA4" w:rsidRDefault="005F7D36" w:rsidP="005F7D36">
      <w:pPr>
        <w:pStyle w:val="FootnoteText"/>
        <w:rPr>
          <w:sz w:val="16"/>
          <w:szCs w:val="16"/>
        </w:rPr>
      </w:pPr>
      <w:r w:rsidRPr="008B7FA4">
        <w:rPr>
          <w:rStyle w:val="FootnoteReference"/>
          <w:sz w:val="16"/>
          <w:szCs w:val="16"/>
        </w:rPr>
        <w:footnoteRef/>
      </w:r>
      <w:r w:rsidRPr="008B7FA4">
        <w:rPr>
          <w:sz w:val="16"/>
          <w:szCs w:val="16"/>
        </w:rPr>
        <w:t xml:space="preserve"> Reakcja łańcuchowa,</w:t>
      </w:r>
      <w:r w:rsidR="006B6BC0" w:rsidRPr="008B7FA4">
        <w:rPr>
          <w:sz w:val="16"/>
          <w:szCs w:val="16"/>
        </w:rPr>
        <w:t xml:space="preserve"> w ram</w:t>
      </w:r>
      <w:r w:rsidRPr="008B7FA4">
        <w:rPr>
          <w:sz w:val="16"/>
          <w:szCs w:val="16"/>
        </w:rPr>
        <w:t>ach której każda kolizja prowadzi do wytworzenia śmieci kosmicznych.</w:t>
      </w:r>
    </w:p>
  </w:footnote>
  <w:footnote w:id="10">
    <w:p w:rsidR="00813E41" w:rsidRPr="008B7FA4" w:rsidRDefault="00813E41" w:rsidP="00630C8C">
      <w:pPr>
        <w:pStyle w:val="FootnoteText"/>
        <w:rPr>
          <w:sz w:val="16"/>
          <w:szCs w:val="16"/>
        </w:rPr>
      </w:pPr>
      <w:r w:rsidRPr="008B7FA4">
        <w:rPr>
          <w:rStyle w:val="FootnoteReference"/>
          <w:sz w:val="16"/>
          <w:szCs w:val="16"/>
        </w:rPr>
        <w:footnoteRef/>
      </w:r>
      <w:r w:rsidRPr="008B7FA4">
        <w:rPr>
          <w:sz w:val="16"/>
          <w:szCs w:val="16"/>
        </w:rPr>
        <w:t xml:space="preserve"> W 2018</w:t>
      </w:r>
      <w:r w:rsidR="006B6BC0" w:rsidRPr="008B7FA4">
        <w:rPr>
          <w:sz w:val="16"/>
          <w:szCs w:val="16"/>
        </w:rPr>
        <w:t> </w:t>
      </w:r>
      <w:r w:rsidRPr="008B7FA4">
        <w:rPr>
          <w:sz w:val="16"/>
          <w:szCs w:val="16"/>
        </w:rPr>
        <w:t>r. COPUOS opracował 21 wytycznych dotyczących trwałego zrównoważonego charakteru działań prowadzonych</w:t>
      </w:r>
      <w:r w:rsidR="006B6BC0" w:rsidRPr="008B7FA4">
        <w:rPr>
          <w:sz w:val="16"/>
          <w:szCs w:val="16"/>
        </w:rPr>
        <w:t xml:space="preserve"> w prz</w:t>
      </w:r>
      <w:r w:rsidRPr="008B7FA4">
        <w:rPr>
          <w:sz w:val="16"/>
          <w:szCs w:val="16"/>
        </w:rPr>
        <w:t>estrzeni kosmicznej.</w:t>
      </w:r>
    </w:p>
  </w:footnote>
  <w:footnote w:id="11">
    <w:p w:rsidR="00813E41" w:rsidRPr="008B7FA4" w:rsidRDefault="00813E41" w:rsidP="00630C8C">
      <w:pPr>
        <w:pStyle w:val="FootnoteText"/>
        <w:rPr>
          <w:sz w:val="16"/>
          <w:szCs w:val="16"/>
        </w:rPr>
      </w:pPr>
      <w:r w:rsidRPr="008B7FA4">
        <w:rPr>
          <w:rStyle w:val="FootnoteReference"/>
          <w:sz w:val="16"/>
          <w:szCs w:val="16"/>
        </w:rPr>
        <w:footnoteRef/>
      </w:r>
      <w:r w:rsidRPr="008B7FA4">
        <w:rPr>
          <w:sz w:val="16"/>
          <w:szCs w:val="16"/>
        </w:rPr>
        <w:t xml:space="preserve"> https://trumpwhitehouse.archives.gov/presidential-actions/space-policy-directive-3-national-space-traffic-management-policy/</w:t>
      </w:r>
    </w:p>
  </w:footnote>
  <w:footnote w:id="12">
    <w:p w:rsidR="00813E41" w:rsidRPr="008B7FA4" w:rsidRDefault="00813E41" w:rsidP="008349E6">
      <w:pPr>
        <w:pStyle w:val="FootnoteText"/>
        <w:rPr>
          <w:sz w:val="16"/>
          <w:szCs w:val="16"/>
        </w:rPr>
      </w:pPr>
      <w:r w:rsidRPr="008B7FA4">
        <w:rPr>
          <w:rStyle w:val="FootnoteReference"/>
          <w:sz w:val="16"/>
          <w:szCs w:val="16"/>
        </w:rPr>
        <w:footnoteRef/>
      </w:r>
      <w:r w:rsidRPr="008B7FA4">
        <w:rPr>
          <w:sz w:val="16"/>
          <w:szCs w:val="16"/>
        </w:rPr>
        <w:t xml:space="preserve"> Unijne konsorcjum na rzecz SST ustanowione decyzją nr</w:t>
      </w:r>
      <w:r w:rsidR="006B6BC0" w:rsidRPr="008B7FA4">
        <w:rPr>
          <w:sz w:val="16"/>
          <w:szCs w:val="16"/>
        </w:rPr>
        <w:t> </w:t>
      </w:r>
      <w:r w:rsidRPr="008B7FA4">
        <w:rPr>
          <w:sz w:val="16"/>
          <w:szCs w:val="16"/>
        </w:rPr>
        <w:t>541/2014/UE jest podmiotem odpowiedzialnym za świadczenie usług</w:t>
      </w:r>
      <w:r w:rsidR="006B6BC0" w:rsidRPr="008B7FA4">
        <w:rPr>
          <w:sz w:val="16"/>
          <w:szCs w:val="16"/>
        </w:rPr>
        <w:t xml:space="preserve"> w zak</w:t>
      </w:r>
      <w:r w:rsidRPr="008B7FA4">
        <w:rPr>
          <w:sz w:val="16"/>
          <w:szCs w:val="16"/>
        </w:rPr>
        <w:t>resie SST w UE. Bierze</w:t>
      </w:r>
      <w:r w:rsidR="006B6BC0" w:rsidRPr="008B7FA4">
        <w:rPr>
          <w:sz w:val="16"/>
          <w:szCs w:val="16"/>
        </w:rPr>
        <w:t xml:space="preserve"> w nim</w:t>
      </w:r>
      <w:r w:rsidRPr="008B7FA4">
        <w:rPr>
          <w:sz w:val="16"/>
          <w:szCs w:val="16"/>
        </w:rPr>
        <w:t xml:space="preserve"> udział siedem państw członkowskich: Francja, Niemcy, Włochy, Polska, Portugalia, Rumunia</w:t>
      </w:r>
      <w:r w:rsidR="006B6BC0" w:rsidRPr="008B7FA4">
        <w:rPr>
          <w:sz w:val="16"/>
          <w:szCs w:val="16"/>
        </w:rPr>
        <w:t xml:space="preserve"> i His</w:t>
      </w:r>
      <w:r w:rsidRPr="008B7FA4">
        <w:rPr>
          <w:sz w:val="16"/>
          <w:szCs w:val="16"/>
        </w:rPr>
        <w:t>zpania.</w:t>
      </w:r>
    </w:p>
  </w:footnote>
  <w:footnote w:id="13">
    <w:p w:rsidR="00813E41" w:rsidRPr="008B7FA4" w:rsidRDefault="00813E41" w:rsidP="00630C8C">
      <w:pPr>
        <w:pStyle w:val="FootnoteText"/>
        <w:rPr>
          <w:sz w:val="16"/>
          <w:szCs w:val="16"/>
        </w:rPr>
      </w:pPr>
      <w:r w:rsidRPr="008B7FA4">
        <w:rPr>
          <w:rStyle w:val="FootnoteReference"/>
          <w:sz w:val="16"/>
          <w:szCs w:val="16"/>
        </w:rPr>
        <w:footnoteRef/>
      </w:r>
      <w:r w:rsidRPr="008B7FA4">
        <w:rPr>
          <w:sz w:val="16"/>
          <w:szCs w:val="16"/>
        </w:rPr>
        <w:t xml:space="preserve"> Rozporządzenie Parlamentu Europejskiego</w:t>
      </w:r>
      <w:r w:rsidR="006B6BC0" w:rsidRPr="008B7FA4">
        <w:rPr>
          <w:sz w:val="16"/>
          <w:szCs w:val="16"/>
        </w:rPr>
        <w:t xml:space="preserve"> i Rad</w:t>
      </w:r>
      <w:r w:rsidRPr="008B7FA4">
        <w:rPr>
          <w:sz w:val="16"/>
          <w:szCs w:val="16"/>
        </w:rPr>
        <w:t>y (UE) 2021/696</w:t>
      </w:r>
      <w:r w:rsidR="006B6BC0" w:rsidRPr="008B7FA4">
        <w:rPr>
          <w:sz w:val="16"/>
          <w:szCs w:val="16"/>
        </w:rPr>
        <w:t xml:space="preserve"> z dni</w:t>
      </w:r>
      <w:r w:rsidRPr="008B7FA4">
        <w:rPr>
          <w:sz w:val="16"/>
          <w:szCs w:val="16"/>
        </w:rPr>
        <w:t>a 28 kwietnia 2021</w:t>
      </w:r>
      <w:r w:rsidR="006B6BC0" w:rsidRPr="008B7FA4">
        <w:rPr>
          <w:sz w:val="16"/>
          <w:szCs w:val="16"/>
        </w:rPr>
        <w:t> </w:t>
      </w:r>
      <w:r w:rsidRPr="008B7FA4">
        <w:rPr>
          <w:sz w:val="16"/>
          <w:szCs w:val="16"/>
        </w:rPr>
        <w:t>r. ustanawiające Unijny program kosmiczny</w:t>
      </w:r>
      <w:r w:rsidR="006B6BC0" w:rsidRPr="008B7FA4">
        <w:rPr>
          <w:sz w:val="16"/>
          <w:szCs w:val="16"/>
        </w:rPr>
        <w:t xml:space="preserve"> i Age</w:t>
      </w:r>
      <w:r w:rsidRPr="008B7FA4">
        <w:rPr>
          <w:sz w:val="16"/>
          <w:szCs w:val="16"/>
        </w:rPr>
        <w:t>ncję Unii Europejskiej ds. Programu Kosmicznego oraz uchylające rozporządzenia (UE) nr</w:t>
      </w:r>
      <w:r w:rsidR="006B6BC0" w:rsidRPr="008B7FA4">
        <w:rPr>
          <w:sz w:val="16"/>
          <w:szCs w:val="16"/>
        </w:rPr>
        <w:t> </w:t>
      </w:r>
      <w:r w:rsidRPr="008B7FA4">
        <w:rPr>
          <w:sz w:val="16"/>
          <w:szCs w:val="16"/>
        </w:rPr>
        <w:t>912/2010, (UE) nr</w:t>
      </w:r>
      <w:r w:rsidR="006B6BC0" w:rsidRPr="008B7FA4">
        <w:rPr>
          <w:sz w:val="16"/>
          <w:szCs w:val="16"/>
        </w:rPr>
        <w:t> </w:t>
      </w:r>
      <w:r w:rsidRPr="008B7FA4">
        <w:rPr>
          <w:sz w:val="16"/>
          <w:szCs w:val="16"/>
        </w:rPr>
        <w:t>1285/2013 i (UE) nr</w:t>
      </w:r>
      <w:r w:rsidR="006B6BC0" w:rsidRPr="008B7FA4">
        <w:rPr>
          <w:sz w:val="16"/>
          <w:szCs w:val="16"/>
        </w:rPr>
        <w:t> </w:t>
      </w:r>
      <w:r w:rsidRPr="008B7FA4">
        <w:rPr>
          <w:sz w:val="16"/>
          <w:szCs w:val="16"/>
        </w:rPr>
        <w:t>377/2014 oraz decyzję nr</w:t>
      </w:r>
      <w:r w:rsidR="006B6BC0" w:rsidRPr="008B7FA4">
        <w:rPr>
          <w:sz w:val="16"/>
          <w:szCs w:val="16"/>
        </w:rPr>
        <w:t> </w:t>
      </w:r>
      <w:r w:rsidRPr="008B7FA4">
        <w:rPr>
          <w:sz w:val="16"/>
          <w:szCs w:val="16"/>
        </w:rPr>
        <w:t>541/2014/UE, Dz.U. L 170</w:t>
      </w:r>
      <w:r w:rsidR="006B6BC0" w:rsidRPr="008B7FA4">
        <w:rPr>
          <w:sz w:val="16"/>
          <w:szCs w:val="16"/>
        </w:rPr>
        <w:t xml:space="preserve"> z 1</w:t>
      </w:r>
      <w:r w:rsidRPr="008B7FA4">
        <w:rPr>
          <w:sz w:val="16"/>
          <w:szCs w:val="16"/>
        </w:rPr>
        <w:t>2.5.2021, s. 69.</w:t>
      </w:r>
    </w:p>
  </w:footnote>
  <w:footnote w:id="14">
    <w:p w:rsidR="00813E41" w:rsidRPr="008B7FA4" w:rsidRDefault="00813E41" w:rsidP="00630C8C">
      <w:pPr>
        <w:pStyle w:val="FootnoteText"/>
        <w:rPr>
          <w:sz w:val="16"/>
          <w:szCs w:val="16"/>
        </w:rPr>
      </w:pPr>
      <w:r w:rsidRPr="008B7FA4">
        <w:rPr>
          <w:rStyle w:val="FootnoteReference"/>
          <w:sz w:val="16"/>
          <w:szCs w:val="16"/>
        </w:rPr>
        <w:footnoteRef/>
      </w:r>
      <w:r w:rsidRPr="008B7FA4">
        <w:rPr>
          <w:sz w:val="16"/>
          <w:szCs w:val="16"/>
        </w:rPr>
        <w:t xml:space="preserve"> W rozporządzeniu</w:t>
      </w:r>
      <w:r w:rsidR="006B6BC0" w:rsidRPr="008B7FA4">
        <w:rPr>
          <w:sz w:val="16"/>
          <w:szCs w:val="16"/>
        </w:rPr>
        <w:t xml:space="preserve"> w spr</w:t>
      </w:r>
      <w:r w:rsidRPr="008B7FA4">
        <w:rPr>
          <w:sz w:val="16"/>
          <w:szCs w:val="16"/>
        </w:rPr>
        <w:t>awie przestrzeni kosmicznej na działania</w:t>
      </w:r>
      <w:r w:rsidR="006B6BC0" w:rsidRPr="008B7FA4">
        <w:rPr>
          <w:sz w:val="16"/>
          <w:szCs w:val="16"/>
        </w:rPr>
        <w:t xml:space="preserve"> w obs</w:t>
      </w:r>
      <w:r w:rsidRPr="008B7FA4">
        <w:rPr>
          <w:sz w:val="16"/>
          <w:szCs w:val="16"/>
        </w:rPr>
        <w:t>zarze SST przewidziano budżet</w:t>
      </w:r>
      <w:r w:rsidR="006B6BC0" w:rsidRPr="008B7FA4">
        <w:rPr>
          <w:sz w:val="16"/>
          <w:szCs w:val="16"/>
        </w:rPr>
        <w:t xml:space="preserve"> w wys</w:t>
      </w:r>
      <w:r w:rsidRPr="008B7FA4">
        <w:rPr>
          <w:sz w:val="16"/>
          <w:szCs w:val="16"/>
        </w:rPr>
        <w:t xml:space="preserve">okości 200 mln EUR. </w:t>
      </w:r>
    </w:p>
  </w:footnote>
  <w:footnote w:id="15">
    <w:p w:rsidR="00813E41" w:rsidRPr="008B7FA4" w:rsidRDefault="00813E41" w:rsidP="00630C8C">
      <w:pPr>
        <w:pStyle w:val="FootnoteText"/>
        <w:rPr>
          <w:sz w:val="16"/>
          <w:szCs w:val="16"/>
        </w:rPr>
      </w:pPr>
      <w:r w:rsidRPr="008B7FA4">
        <w:rPr>
          <w:rStyle w:val="FootnoteReference"/>
          <w:sz w:val="16"/>
          <w:szCs w:val="16"/>
        </w:rPr>
        <w:footnoteRef/>
      </w:r>
      <w:r w:rsidRPr="008B7FA4">
        <w:rPr>
          <w:sz w:val="16"/>
          <w:szCs w:val="16"/>
        </w:rPr>
        <w:t xml:space="preserve"> W art.</w:t>
      </w:r>
      <w:r w:rsidR="006B6BC0" w:rsidRPr="008B7FA4">
        <w:rPr>
          <w:sz w:val="16"/>
          <w:szCs w:val="16"/>
        </w:rPr>
        <w:t> </w:t>
      </w:r>
      <w:r w:rsidRPr="008B7FA4">
        <w:rPr>
          <w:sz w:val="16"/>
          <w:szCs w:val="16"/>
        </w:rPr>
        <w:t>55 ust.</w:t>
      </w:r>
      <w:r w:rsidR="006B6BC0" w:rsidRPr="008B7FA4">
        <w:rPr>
          <w:sz w:val="16"/>
          <w:szCs w:val="16"/>
        </w:rPr>
        <w:t> </w:t>
      </w:r>
      <w:r w:rsidRPr="008B7FA4">
        <w:rPr>
          <w:sz w:val="16"/>
          <w:szCs w:val="16"/>
        </w:rPr>
        <w:t>1 lit.</w:t>
      </w:r>
      <w:r w:rsidR="006B6BC0" w:rsidRPr="008B7FA4">
        <w:rPr>
          <w:sz w:val="16"/>
          <w:szCs w:val="16"/>
        </w:rPr>
        <w:t> </w:t>
      </w:r>
      <w:r w:rsidRPr="008B7FA4">
        <w:rPr>
          <w:sz w:val="16"/>
          <w:szCs w:val="16"/>
        </w:rPr>
        <w:t>a) rozporządzenia</w:t>
      </w:r>
      <w:r w:rsidR="006B6BC0" w:rsidRPr="008B7FA4">
        <w:rPr>
          <w:sz w:val="16"/>
          <w:szCs w:val="16"/>
        </w:rPr>
        <w:t xml:space="preserve"> w spr</w:t>
      </w:r>
      <w:r w:rsidRPr="008B7FA4">
        <w:rPr>
          <w:sz w:val="16"/>
          <w:szCs w:val="16"/>
        </w:rPr>
        <w:t>awie przestrzeni kosmicznej zawarto następującą definicję usługi zapobiegania kolizjom świadczonej</w:t>
      </w:r>
      <w:r w:rsidR="006B6BC0" w:rsidRPr="008B7FA4">
        <w:rPr>
          <w:sz w:val="16"/>
          <w:szCs w:val="16"/>
        </w:rPr>
        <w:t xml:space="preserve"> w ram</w:t>
      </w:r>
      <w:r w:rsidRPr="008B7FA4">
        <w:rPr>
          <w:sz w:val="16"/>
          <w:szCs w:val="16"/>
        </w:rPr>
        <w:t>ach unijnego komponentu SST: ocena ryzyka kolizji między statkami kosmicznymi lub między statkami kosmicznymi</w:t>
      </w:r>
      <w:r w:rsidR="006B6BC0" w:rsidRPr="008B7FA4">
        <w:rPr>
          <w:sz w:val="16"/>
          <w:szCs w:val="16"/>
        </w:rPr>
        <w:t xml:space="preserve"> a śmi</w:t>
      </w:r>
      <w:r w:rsidRPr="008B7FA4">
        <w:rPr>
          <w:sz w:val="16"/>
          <w:szCs w:val="16"/>
        </w:rPr>
        <w:t>eciami kosmicznymi oraz ewentualne wydawanie ostrzeżeń</w:t>
      </w:r>
      <w:r w:rsidR="006B6BC0" w:rsidRPr="008B7FA4">
        <w:rPr>
          <w:sz w:val="16"/>
          <w:szCs w:val="16"/>
        </w:rPr>
        <w:t xml:space="preserve"> o moż</w:t>
      </w:r>
      <w:r w:rsidRPr="008B7FA4">
        <w:rPr>
          <w:sz w:val="16"/>
          <w:szCs w:val="16"/>
        </w:rPr>
        <w:t>liwości kolizji</w:t>
      </w:r>
      <w:r w:rsidR="006B6BC0" w:rsidRPr="008B7FA4">
        <w:rPr>
          <w:sz w:val="16"/>
          <w:szCs w:val="16"/>
        </w:rPr>
        <w:t xml:space="preserve"> w faz</w:t>
      </w:r>
      <w:r w:rsidRPr="008B7FA4">
        <w:rPr>
          <w:sz w:val="16"/>
          <w:szCs w:val="16"/>
        </w:rPr>
        <w:t>ach: wynoszenia na orbitę, wczesnych operacji na orbicie, operacji zwiększania wysokości orbity</w:t>
      </w:r>
      <w:r w:rsidR="006B6BC0" w:rsidRPr="008B7FA4">
        <w:rPr>
          <w:sz w:val="16"/>
          <w:szCs w:val="16"/>
        </w:rPr>
        <w:t xml:space="preserve"> i ope</w:t>
      </w:r>
      <w:r w:rsidRPr="008B7FA4">
        <w:rPr>
          <w:sz w:val="16"/>
          <w:szCs w:val="16"/>
        </w:rPr>
        <w:t>racji orbitalnych oraz</w:t>
      </w:r>
      <w:r w:rsidR="006B6BC0" w:rsidRPr="008B7FA4">
        <w:rPr>
          <w:sz w:val="16"/>
          <w:szCs w:val="16"/>
        </w:rPr>
        <w:t xml:space="preserve"> w faz</w:t>
      </w:r>
      <w:r w:rsidRPr="008B7FA4">
        <w:rPr>
          <w:sz w:val="16"/>
          <w:szCs w:val="16"/>
        </w:rPr>
        <w:t>ach unieszkodliwiania fizycznych pozostałości po misjach kosmicznych.</w:t>
      </w:r>
    </w:p>
  </w:footnote>
  <w:footnote w:id="16">
    <w:p w:rsidR="00813E41" w:rsidRPr="008B7FA4" w:rsidRDefault="00813E41" w:rsidP="00630C8C">
      <w:pPr>
        <w:pStyle w:val="FootnoteText"/>
        <w:rPr>
          <w:sz w:val="16"/>
          <w:szCs w:val="16"/>
        </w:rPr>
      </w:pPr>
      <w:r w:rsidRPr="008B7FA4">
        <w:rPr>
          <w:rStyle w:val="FootnoteReference"/>
          <w:sz w:val="16"/>
          <w:szCs w:val="16"/>
        </w:rPr>
        <w:footnoteRef/>
      </w:r>
      <w:r w:rsidRPr="008B7FA4">
        <w:rPr>
          <w:sz w:val="16"/>
          <w:szCs w:val="16"/>
        </w:rPr>
        <w:t xml:space="preserve"> Na przykład ochrona ludności</w:t>
      </w:r>
      <w:r w:rsidR="006B6BC0" w:rsidRPr="008B7FA4">
        <w:rPr>
          <w:sz w:val="16"/>
          <w:szCs w:val="16"/>
        </w:rPr>
        <w:t xml:space="preserve"> w prz</w:t>
      </w:r>
      <w:r w:rsidRPr="008B7FA4">
        <w:rPr>
          <w:sz w:val="16"/>
          <w:szCs w:val="16"/>
        </w:rPr>
        <w:t>ypadku ryzykownych ponownych wejść obiektów kosmicznych</w:t>
      </w:r>
      <w:r w:rsidR="006B6BC0" w:rsidRPr="008B7FA4">
        <w:rPr>
          <w:sz w:val="16"/>
          <w:szCs w:val="16"/>
        </w:rPr>
        <w:t xml:space="preserve"> w atm</w:t>
      </w:r>
      <w:r w:rsidRPr="008B7FA4">
        <w:rPr>
          <w:sz w:val="16"/>
          <w:szCs w:val="16"/>
        </w:rPr>
        <w:t>osferę,</w:t>
      </w:r>
      <w:r w:rsidR="006B6BC0" w:rsidRPr="008B7FA4">
        <w:rPr>
          <w:sz w:val="16"/>
          <w:szCs w:val="16"/>
        </w:rPr>
        <w:t xml:space="preserve"> a tak</w:t>
      </w:r>
      <w:r w:rsidRPr="008B7FA4">
        <w:rPr>
          <w:sz w:val="16"/>
          <w:szCs w:val="16"/>
        </w:rPr>
        <w:t>że WPZiB/WPBiO zgodnie</w:t>
      </w:r>
      <w:r w:rsidR="006B6BC0" w:rsidRPr="008B7FA4">
        <w:rPr>
          <w:sz w:val="16"/>
          <w:szCs w:val="16"/>
        </w:rPr>
        <w:t xml:space="preserve"> z pos</w:t>
      </w:r>
      <w:r w:rsidRPr="008B7FA4">
        <w:rPr>
          <w:sz w:val="16"/>
          <w:szCs w:val="16"/>
        </w:rPr>
        <w:t>tanowieniami Strategicznego kompasu</w:t>
      </w:r>
      <w:r w:rsidRPr="008B7FA4">
        <w:t>.</w:t>
      </w:r>
    </w:p>
  </w:footnote>
  <w:footnote w:id="17">
    <w:p w:rsidR="00813E41" w:rsidRPr="008B7FA4" w:rsidRDefault="00813E41" w:rsidP="00630C8C">
      <w:pPr>
        <w:pStyle w:val="FootnoteText"/>
        <w:rPr>
          <w:sz w:val="16"/>
          <w:szCs w:val="16"/>
        </w:rPr>
      </w:pPr>
      <w:r w:rsidRPr="008B7FA4">
        <w:rPr>
          <w:rStyle w:val="FootnoteReference"/>
          <w:sz w:val="16"/>
          <w:szCs w:val="16"/>
        </w:rPr>
        <w:footnoteRef/>
      </w:r>
      <w:r w:rsidRPr="008B7FA4">
        <w:rPr>
          <w:sz w:val="16"/>
          <w:szCs w:val="16"/>
        </w:rPr>
        <w:t xml:space="preserve"> Działania</w:t>
      </w:r>
      <w:r w:rsidR="006B6BC0" w:rsidRPr="008B7FA4">
        <w:rPr>
          <w:sz w:val="16"/>
          <w:szCs w:val="16"/>
        </w:rPr>
        <w:t xml:space="preserve"> w zak</w:t>
      </w:r>
      <w:r w:rsidRPr="008B7FA4">
        <w:rPr>
          <w:sz w:val="16"/>
          <w:szCs w:val="16"/>
        </w:rPr>
        <w:t>resie unieszkodliwiania śmieci kosmicznych mają na celu ograniczenie ilości śmieci kosmicznych generowanych</w:t>
      </w:r>
      <w:r w:rsidR="006B6BC0" w:rsidRPr="008B7FA4">
        <w:rPr>
          <w:sz w:val="16"/>
          <w:szCs w:val="16"/>
        </w:rPr>
        <w:t xml:space="preserve"> w prz</w:t>
      </w:r>
      <w:r w:rsidRPr="008B7FA4">
        <w:rPr>
          <w:sz w:val="16"/>
          <w:szCs w:val="16"/>
        </w:rPr>
        <w:t>yszłości, natomiast działania</w:t>
      </w:r>
      <w:r w:rsidR="006B6BC0" w:rsidRPr="008B7FA4">
        <w:rPr>
          <w:sz w:val="16"/>
          <w:szCs w:val="16"/>
        </w:rPr>
        <w:t xml:space="preserve"> w zak</w:t>
      </w:r>
      <w:r w:rsidRPr="008B7FA4">
        <w:rPr>
          <w:sz w:val="16"/>
          <w:szCs w:val="16"/>
        </w:rPr>
        <w:t>resie remediacji śmieci kosmicznych służą wypracowaniu metod gospodarowania już istniejącymi śmieciami kosmicznymi.</w:t>
      </w:r>
    </w:p>
  </w:footnote>
  <w:footnote w:id="18">
    <w:p w:rsidR="00813E41" w:rsidRPr="008B7FA4" w:rsidRDefault="00813E41">
      <w:pPr>
        <w:pStyle w:val="FootnoteText"/>
        <w:rPr>
          <w:sz w:val="16"/>
        </w:rPr>
      </w:pPr>
      <w:r w:rsidRPr="008B7FA4">
        <w:rPr>
          <w:rStyle w:val="FootnoteReference"/>
          <w:sz w:val="16"/>
        </w:rPr>
        <w:footnoteRef/>
      </w:r>
      <w:r w:rsidRPr="008B7FA4">
        <w:rPr>
          <w:sz w:val="16"/>
        </w:rPr>
        <w:t xml:space="preserve"> Termin „Horyzont Europa” stosowany</w:t>
      </w:r>
      <w:r w:rsidR="006B6BC0" w:rsidRPr="008B7FA4">
        <w:rPr>
          <w:sz w:val="16"/>
        </w:rPr>
        <w:t xml:space="preserve"> w nin</w:t>
      </w:r>
      <w:r w:rsidRPr="008B7FA4">
        <w:rPr>
          <w:sz w:val="16"/>
        </w:rPr>
        <w:t>iejszym dokumencie odnosi się do programu szczegółowego służącego realizacji programu „Horyzont Europa” oraz Europejskiego Instytutu Innowacji</w:t>
      </w:r>
      <w:r w:rsidR="006B6BC0" w:rsidRPr="008B7FA4">
        <w:rPr>
          <w:sz w:val="16"/>
        </w:rPr>
        <w:t xml:space="preserve"> i Tec</w:t>
      </w:r>
      <w:r w:rsidRPr="008B7FA4">
        <w:rPr>
          <w:sz w:val="16"/>
        </w:rPr>
        <w:t>hnologii; działania podejmowane</w:t>
      </w:r>
      <w:r w:rsidR="006B6BC0" w:rsidRPr="008B7FA4">
        <w:rPr>
          <w:sz w:val="16"/>
        </w:rPr>
        <w:t xml:space="preserve"> w ram</w:t>
      </w:r>
      <w:r w:rsidRPr="008B7FA4">
        <w:rPr>
          <w:sz w:val="16"/>
        </w:rPr>
        <w:t>ach tych programów koncentrują się wyłącznie na zastosowaniach cywilnych.</w:t>
      </w:r>
    </w:p>
  </w:footnote>
  <w:footnote w:id="19">
    <w:p w:rsidR="00813E41" w:rsidRPr="008B7FA4" w:rsidRDefault="00813E41" w:rsidP="00630C8C">
      <w:pPr>
        <w:pStyle w:val="FootnoteText"/>
        <w:rPr>
          <w:sz w:val="16"/>
          <w:szCs w:val="16"/>
        </w:rPr>
      </w:pPr>
      <w:r w:rsidRPr="008B7FA4">
        <w:rPr>
          <w:rStyle w:val="FootnoteReference"/>
          <w:sz w:val="16"/>
          <w:szCs w:val="16"/>
        </w:rPr>
        <w:footnoteRef/>
      </w:r>
      <w:r w:rsidRPr="008B7FA4">
        <w:rPr>
          <w:sz w:val="16"/>
          <w:szCs w:val="16"/>
        </w:rPr>
        <w:t xml:space="preserve"> Pozostałe 25</w:t>
      </w:r>
      <w:r w:rsidR="006B6BC0" w:rsidRPr="008B7FA4">
        <w:rPr>
          <w:sz w:val="16"/>
          <w:szCs w:val="16"/>
        </w:rPr>
        <w:t> </w:t>
      </w:r>
      <w:r w:rsidRPr="008B7FA4">
        <w:rPr>
          <w:sz w:val="16"/>
          <w:szCs w:val="16"/>
        </w:rPr>
        <w:t>% tych funduszy wykorzystują podmioty krajowe będące członkami samego unijnego konsorcjum na rzecz SST.</w:t>
      </w:r>
    </w:p>
  </w:footnote>
  <w:footnote w:id="20">
    <w:p w:rsidR="00813E41" w:rsidRPr="008B7FA4" w:rsidRDefault="00813E41">
      <w:pPr>
        <w:pStyle w:val="FootnoteText"/>
      </w:pPr>
      <w:r w:rsidRPr="008B7FA4">
        <w:rPr>
          <w:rStyle w:val="FootnoteReference"/>
        </w:rPr>
        <w:footnoteRef/>
      </w:r>
      <w:r w:rsidRPr="008B7FA4">
        <w:rPr>
          <w:sz w:val="16"/>
          <w:szCs w:val="16"/>
        </w:rPr>
        <w:t xml:space="preserve"> Spójny rejestr</w:t>
      </w:r>
      <w:r w:rsidR="006B6BC0" w:rsidRPr="008B7FA4">
        <w:rPr>
          <w:sz w:val="16"/>
          <w:szCs w:val="16"/>
        </w:rPr>
        <w:t xml:space="preserve"> i his</w:t>
      </w:r>
      <w:r w:rsidRPr="008B7FA4">
        <w:rPr>
          <w:sz w:val="16"/>
          <w:szCs w:val="16"/>
        </w:rPr>
        <w:t>toria identyfikowalnych danych (np. informacji</w:t>
      </w:r>
      <w:r w:rsidR="006B6BC0" w:rsidRPr="008B7FA4">
        <w:rPr>
          <w:sz w:val="16"/>
          <w:szCs w:val="16"/>
        </w:rPr>
        <w:t xml:space="preserve"> o obi</w:t>
      </w:r>
      <w:r w:rsidRPr="008B7FA4">
        <w:rPr>
          <w:sz w:val="16"/>
          <w:szCs w:val="16"/>
        </w:rPr>
        <w:t>ektach, danych pomiarowych, danych dotyczących orbity, informacji</w:t>
      </w:r>
      <w:r w:rsidR="006B6BC0" w:rsidRPr="008B7FA4">
        <w:rPr>
          <w:sz w:val="16"/>
          <w:szCs w:val="16"/>
        </w:rPr>
        <w:t xml:space="preserve"> o poz</w:t>
      </w:r>
      <w:r w:rsidRPr="008B7FA4">
        <w:rPr>
          <w:sz w:val="16"/>
          <w:szCs w:val="16"/>
        </w:rPr>
        <w:t>iomie niepewności) prowadzone</w:t>
      </w:r>
      <w:r w:rsidR="006B6BC0" w:rsidRPr="008B7FA4">
        <w:rPr>
          <w:sz w:val="16"/>
          <w:szCs w:val="16"/>
        </w:rPr>
        <w:t xml:space="preserve"> w ram</w:t>
      </w:r>
      <w:r w:rsidRPr="008B7FA4">
        <w:rPr>
          <w:sz w:val="16"/>
          <w:szCs w:val="16"/>
        </w:rPr>
        <w:t>ach unikalnego systemu.</w:t>
      </w:r>
    </w:p>
  </w:footnote>
  <w:footnote w:id="21">
    <w:p w:rsidR="00813E41" w:rsidRPr="008B7FA4" w:rsidRDefault="00813E41" w:rsidP="00630C8C">
      <w:pPr>
        <w:pStyle w:val="FootnoteText"/>
        <w:rPr>
          <w:sz w:val="16"/>
          <w:szCs w:val="16"/>
        </w:rPr>
      </w:pPr>
      <w:r w:rsidRPr="008B7FA4">
        <w:rPr>
          <w:rStyle w:val="FootnoteReference"/>
          <w:sz w:val="16"/>
          <w:szCs w:val="16"/>
        </w:rPr>
        <w:footnoteRef/>
      </w:r>
      <w:r w:rsidRPr="008B7FA4">
        <w:rPr>
          <w:sz w:val="16"/>
          <w:szCs w:val="16"/>
        </w:rPr>
        <w:t xml:space="preserve"> Unijny katalog SST powinien zostać udostępniony do końca 2024</w:t>
      </w:r>
      <w:r w:rsidR="006B6BC0" w:rsidRPr="008B7FA4">
        <w:rPr>
          <w:sz w:val="16"/>
          <w:szCs w:val="16"/>
        </w:rPr>
        <w:t> </w:t>
      </w:r>
      <w:r w:rsidRPr="008B7FA4">
        <w:rPr>
          <w:sz w:val="16"/>
          <w:szCs w:val="16"/>
        </w:rPr>
        <w:t xml:space="preserve">r. </w:t>
      </w:r>
    </w:p>
  </w:footnote>
  <w:footnote w:id="22">
    <w:p w:rsidR="00813E41" w:rsidRPr="008B7FA4" w:rsidRDefault="00813E41" w:rsidP="00630C8C">
      <w:pPr>
        <w:pStyle w:val="FootnoteText"/>
        <w:rPr>
          <w:sz w:val="16"/>
          <w:szCs w:val="16"/>
        </w:rPr>
      </w:pPr>
      <w:r w:rsidRPr="008B7FA4">
        <w:rPr>
          <w:rStyle w:val="FootnoteReference"/>
          <w:sz w:val="16"/>
          <w:szCs w:val="16"/>
        </w:rPr>
        <w:footnoteRef/>
      </w:r>
      <w:r w:rsidRPr="008B7FA4">
        <w:rPr>
          <w:sz w:val="16"/>
          <w:szCs w:val="16"/>
        </w:rPr>
        <w:t xml:space="preserve"> Unijna baza danych SST to platforma służąca do wymieniania się danymi</w:t>
      </w:r>
      <w:r w:rsidR="006B6BC0" w:rsidRPr="008B7FA4">
        <w:rPr>
          <w:sz w:val="16"/>
          <w:szCs w:val="16"/>
        </w:rPr>
        <w:t xml:space="preserve"> i inf</w:t>
      </w:r>
      <w:r w:rsidRPr="008B7FA4">
        <w:rPr>
          <w:sz w:val="16"/>
          <w:szCs w:val="16"/>
        </w:rPr>
        <w:t>ormacjami, ich przechowywania</w:t>
      </w:r>
      <w:r w:rsidR="006B6BC0" w:rsidRPr="008B7FA4">
        <w:rPr>
          <w:sz w:val="16"/>
          <w:szCs w:val="16"/>
        </w:rPr>
        <w:t xml:space="preserve"> i roz</w:t>
      </w:r>
      <w:r w:rsidRPr="008B7FA4">
        <w:rPr>
          <w:sz w:val="16"/>
          <w:szCs w:val="16"/>
        </w:rPr>
        <w:t>powszechniania</w:t>
      </w:r>
      <w:r w:rsidR="006B6BC0" w:rsidRPr="008B7FA4">
        <w:rPr>
          <w:sz w:val="16"/>
          <w:szCs w:val="16"/>
        </w:rPr>
        <w:t xml:space="preserve"> w ram</w:t>
      </w:r>
      <w:r w:rsidRPr="008B7FA4">
        <w:rPr>
          <w:sz w:val="16"/>
          <w:szCs w:val="16"/>
        </w:rPr>
        <w:t>ach unijnego komponentu SST (chodzi tu np.</w:t>
      </w:r>
      <w:r w:rsidR="006B6BC0" w:rsidRPr="008B7FA4">
        <w:rPr>
          <w:sz w:val="16"/>
          <w:szCs w:val="16"/>
        </w:rPr>
        <w:t xml:space="preserve"> o inf</w:t>
      </w:r>
      <w:r w:rsidRPr="008B7FA4">
        <w:rPr>
          <w:sz w:val="16"/>
          <w:szCs w:val="16"/>
        </w:rPr>
        <w:t>ormacje</w:t>
      </w:r>
      <w:r w:rsidR="006B6BC0" w:rsidRPr="008B7FA4">
        <w:rPr>
          <w:sz w:val="16"/>
          <w:szCs w:val="16"/>
        </w:rPr>
        <w:t xml:space="preserve"> o obi</w:t>
      </w:r>
      <w:r w:rsidRPr="008B7FA4">
        <w:rPr>
          <w:sz w:val="16"/>
          <w:szCs w:val="16"/>
        </w:rPr>
        <w:t>ektach, dane pomiarowe, dane dotyczące orbity, wnioski</w:t>
      </w:r>
      <w:r w:rsidR="006B6BC0" w:rsidRPr="008B7FA4">
        <w:rPr>
          <w:sz w:val="16"/>
          <w:szCs w:val="16"/>
        </w:rPr>
        <w:t xml:space="preserve"> o wyk</w:t>
      </w:r>
      <w:r w:rsidRPr="008B7FA4">
        <w:rPr>
          <w:sz w:val="16"/>
          <w:szCs w:val="16"/>
        </w:rPr>
        <w:t>onanie zadań, krajowe</w:t>
      </w:r>
      <w:r w:rsidR="006B6BC0" w:rsidRPr="008B7FA4">
        <w:rPr>
          <w:sz w:val="16"/>
          <w:szCs w:val="16"/>
        </w:rPr>
        <w:t xml:space="preserve"> i uni</w:t>
      </w:r>
      <w:r w:rsidRPr="008B7FA4">
        <w:rPr>
          <w:sz w:val="16"/>
          <w:szCs w:val="16"/>
        </w:rPr>
        <w:t>jne katalogi SST) połączona</w:t>
      </w:r>
      <w:r w:rsidR="006B6BC0" w:rsidRPr="008B7FA4">
        <w:rPr>
          <w:sz w:val="16"/>
          <w:szCs w:val="16"/>
        </w:rPr>
        <w:t xml:space="preserve"> z cen</w:t>
      </w:r>
      <w:r w:rsidRPr="008B7FA4">
        <w:rPr>
          <w:sz w:val="16"/>
          <w:szCs w:val="16"/>
        </w:rPr>
        <w:t>trami operacyjnymi państw członkowskich.</w:t>
      </w:r>
    </w:p>
  </w:footnote>
  <w:footnote w:id="23">
    <w:p w:rsidR="00813E41" w:rsidRPr="008B7FA4" w:rsidRDefault="00813E41">
      <w:pPr>
        <w:pStyle w:val="FootnoteText"/>
      </w:pPr>
      <w:r w:rsidRPr="008B7FA4">
        <w:rPr>
          <w:rStyle w:val="FootnoteReference"/>
        </w:rPr>
        <w:footnoteRef/>
      </w:r>
      <w:r w:rsidRPr="008B7FA4">
        <w:t xml:space="preserve"> </w:t>
      </w:r>
      <w:hyperlink r:id="rId1" w:history="1">
        <w:r w:rsidRPr="008B7FA4">
          <w:rPr>
            <w:sz w:val="16"/>
            <w:szCs w:val="16"/>
          </w:rPr>
          <w:t>https://ec.europa.eu/defence-industry-space/eu-space-policy/space-research-and-innovation/cassini-space-entrepreneurship-initiative_en</w:t>
        </w:r>
      </w:hyperlink>
      <w:r w:rsidRPr="008B7FA4">
        <w:t xml:space="preserve"> </w:t>
      </w:r>
    </w:p>
  </w:footnote>
  <w:footnote w:id="24">
    <w:p w:rsidR="00D90CDD" w:rsidRPr="008B7FA4" w:rsidRDefault="00D90CDD" w:rsidP="00D90CDD">
      <w:pPr>
        <w:pStyle w:val="FootnoteText"/>
        <w:rPr>
          <w:sz w:val="16"/>
          <w:szCs w:val="16"/>
        </w:rPr>
      </w:pPr>
      <w:r w:rsidRPr="008B7FA4">
        <w:rPr>
          <w:rStyle w:val="FootnoteReference"/>
          <w:sz w:val="16"/>
          <w:szCs w:val="16"/>
        </w:rPr>
        <w:footnoteRef/>
      </w:r>
      <w:r w:rsidRPr="008B7FA4">
        <w:rPr>
          <w:sz w:val="16"/>
          <w:szCs w:val="16"/>
        </w:rPr>
        <w:t xml:space="preserve"> W dniu 2 lutego 2022</w:t>
      </w:r>
      <w:r w:rsidR="006B6BC0" w:rsidRPr="008B7FA4">
        <w:rPr>
          <w:sz w:val="16"/>
          <w:szCs w:val="16"/>
        </w:rPr>
        <w:t> </w:t>
      </w:r>
      <w:r w:rsidRPr="008B7FA4">
        <w:rPr>
          <w:sz w:val="16"/>
          <w:szCs w:val="16"/>
        </w:rPr>
        <w:t>r. Komisja przyjęła strategię UE</w:t>
      </w:r>
      <w:r w:rsidR="006B6BC0" w:rsidRPr="008B7FA4">
        <w:rPr>
          <w:sz w:val="16"/>
          <w:szCs w:val="16"/>
        </w:rPr>
        <w:t xml:space="preserve"> w zak</w:t>
      </w:r>
      <w:r w:rsidRPr="008B7FA4">
        <w:rPr>
          <w:sz w:val="16"/>
          <w:szCs w:val="16"/>
        </w:rPr>
        <w:t>resie normalizacji: Ustanowienie światowych norm na rzecz odpornego, ekologicznego</w:t>
      </w:r>
      <w:r w:rsidR="006B6BC0" w:rsidRPr="008B7FA4">
        <w:rPr>
          <w:sz w:val="16"/>
          <w:szCs w:val="16"/>
        </w:rPr>
        <w:t xml:space="preserve"> i cyf</w:t>
      </w:r>
      <w:r w:rsidRPr="008B7FA4">
        <w:rPr>
          <w:sz w:val="16"/>
          <w:szCs w:val="16"/>
        </w:rPr>
        <w:t>rowego jednolitego rynku UE, COM(2022) 31 final,</w:t>
      </w:r>
      <w:r w:rsidR="006B6BC0" w:rsidRPr="008B7FA4">
        <w:rPr>
          <w:sz w:val="16"/>
          <w:szCs w:val="16"/>
        </w:rPr>
        <w:t xml:space="preserve"> w któ</w:t>
      </w:r>
      <w:r w:rsidRPr="008B7FA4">
        <w:rPr>
          <w:sz w:val="16"/>
          <w:szCs w:val="16"/>
        </w:rPr>
        <w:t>rej podkreślono związek normalizacji</w:t>
      </w:r>
      <w:r w:rsidR="006B6BC0" w:rsidRPr="008B7FA4">
        <w:rPr>
          <w:sz w:val="16"/>
          <w:szCs w:val="16"/>
        </w:rPr>
        <w:t xml:space="preserve"> z pro</w:t>
      </w:r>
      <w:r w:rsidRPr="008B7FA4">
        <w:rPr>
          <w:sz w:val="16"/>
          <w:szCs w:val="16"/>
        </w:rPr>
        <w:t>jekcją wartości, wiodącą pozycją</w:t>
      </w:r>
      <w:r w:rsidR="006B6BC0" w:rsidRPr="008B7FA4">
        <w:rPr>
          <w:sz w:val="16"/>
          <w:szCs w:val="16"/>
        </w:rPr>
        <w:t xml:space="preserve"> w prz</w:t>
      </w:r>
      <w:r w:rsidRPr="008B7FA4">
        <w:rPr>
          <w:sz w:val="16"/>
          <w:szCs w:val="16"/>
        </w:rPr>
        <w:t>emyśle, zmieniającym się krajobrazem geopolitycznym oraz rolą UE jako zaufanego podmiotu</w:t>
      </w:r>
      <w:r w:rsidR="006B6BC0" w:rsidRPr="008B7FA4">
        <w:rPr>
          <w:sz w:val="16"/>
          <w:szCs w:val="16"/>
        </w:rPr>
        <w:t xml:space="preserve"> w opr</w:t>
      </w:r>
      <w:r w:rsidRPr="008B7FA4">
        <w:rPr>
          <w:sz w:val="16"/>
          <w:szCs w:val="16"/>
        </w:rPr>
        <w:t>acowywaniu globalnych norm.</w:t>
      </w:r>
    </w:p>
  </w:footnote>
  <w:footnote w:id="25">
    <w:p w:rsidR="00813E41" w:rsidRPr="008B7FA4" w:rsidRDefault="00813E41" w:rsidP="00630C8C">
      <w:pPr>
        <w:pStyle w:val="FootnoteText"/>
        <w:rPr>
          <w:sz w:val="16"/>
          <w:szCs w:val="16"/>
        </w:rPr>
      </w:pPr>
      <w:r w:rsidRPr="008B7FA4">
        <w:rPr>
          <w:rStyle w:val="FootnoteReference"/>
          <w:sz w:val="16"/>
          <w:szCs w:val="16"/>
        </w:rPr>
        <w:footnoteRef/>
      </w:r>
      <w:r w:rsidRPr="008B7FA4">
        <w:rPr>
          <w:sz w:val="16"/>
          <w:szCs w:val="16"/>
        </w:rPr>
        <w:t xml:space="preserve"> Krajowe jednostki normalizacyjne, CEN/CENELEC</w:t>
      </w:r>
      <w:r w:rsidR="006B6BC0" w:rsidRPr="008B7FA4">
        <w:rPr>
          <w:sz w:val="16"/>
          <w:szCs w:val="16"/>
        </w:rPr>
        <w:t xml:space="preserve"> i Mię</w:t>
      </w:r>
      <w:r w:rsidRPr="008B7FA4">
        <w:rPr>
          <w:sz w:val="16"/>
          <w:szCs w:val="16"/>
        </w:rPr>
        <w:t>dzynarodowa Organizacja Normalizacyjna</w:t>
      </w:r>
      <w:r w:rsidRPr="008B7FA4">
        <w:t>.</w:t>
      </w:r>
    </w:p>
  </w:footnote>
  <w:footnote w:id="26">
    <w:p w:rsidR="00813E41" w:rsidRPr="008B7FA4" w:rsidRDefault="00813E41" w:rsidP="00630C8C">
      <w:pPr>
        <w:pStyle w:val="FootnoteText"/>
        <w:rPr>
          <w:sz w:val="16"/>
          <w:szCs w:val="16"/>
        </w:rPr>
      </w:pPr>
      <w:r w:rsidRPr="008B7FA4">
        <w:rPr>
          <w:rStyle w:val="FootnoteReference"/>
          <w:sz w:val="16"/>
          <w:szCs w:val="16"/>
        </w:rPr>
        <w:footnoteRef/>
      </w:r>
      <w:r w:rsidRPr="008B7FA4">
        <w:rPr>
          <w:sz w:val="16"/>
          <w:szCs w:val="16"/>
        </w:rPr>
        <w:t xml:space="preserve"> Takich jak europejska współpraca</w:t>
      </w:r>
      <w:r w:rsidR="006B6BC0" w:rsidRPr="008B7FA4">
        <w:rPr>
          <w:sz w:val="16"/>
          <w:szCs w:val="16"/>
        </w:rPr>
        <w:t xml:space="preserve"> w zak</w:t>
      </w:r>
      <w:r w:rsidRPr="008B7FA4">
        <w:rPr>
          <w:sz w:val="16"/>
          <w:szCs w:val="16"/>
        </w:rPr>
        <w:t>resie normalizacji związanej</w:t>
      </w:r>
      <w:r w:rsidR="006B6BC0" w:rsidRPr="008B7FA4">
        <w:rPr>
          <w:sz w:val="16"/>
          <w:szCs w:val="16"/>
        </w:rPr>
        <w:t xml:space="preserve"> z prz</w:t>
      </w:r>
      <w:r w:rsidRPr="008B7FA4">
        <w:rPr>
          <w:sz w:val="16"/>
          <w:szCs w:val="16"/>
        </w:rPr>
        <w:t>estrzenią kosmiczną (ECSS), Komitet Konsultacyjny ds. Danych</w:t>
      </w:r>
      <w:r w:rsidR="006B6BC0" w:rsidRPr="008B7FA4">
        <w:rPr>
          <w:sz w:val="16"/>
          <w:szCs w:val="16"/>
        </w:rPr>
        <w:t xml:space="preserve"> i Sys</w:t>
      </w:r>
      <w:r w:rsidRPr="008B7FA4">
        <w:rPr>
          <w:sz w:val="16"/>
          <w:szCs w:val="16"/>
        </w:rPr>
        <w:t>temów Satelitarnych (CCSDS) oraz Międzynarodowy Komitet Koordynacyjny ds. Śmieci Kosmicznych (IADC).</w:t>
      </w:r>
    </w:p>
  </w:footnote>
  <w:footnote w:id="27">
    <w:p w:rsidR="00813E41" w:rsidRPr="008B7FA4" w:rsidRDefault="00813E41" w:rsidP="00630C8C">
      <w:pPr>
        <w:pStyle w:val="FootnoteText"/>
        <w:rPr>
          <w:sz w:val="16"/>
          <w:szCs w:val="16"/>
        </w:rPr>
      </w:pPr>
      <w:r w:rsidRPr="008B7FA4">
        <w:rPr>
          <w:rStyle w:val="FootnoteReference"/>
          <w:sz w:val="16"/>
          <w:szCs w:val="16"/>
        </w:rPr>
        <w:footnoteRef/>
      </w:r>
      <w:r w:rsidRPr="008B7FA4">
        <w:rPr>
          <w:sz w:val="16"/>
          <w:szCs w:val="16"/>
        </w:rPr>
        <w:t xml:space="preserve"> Wytyczne dotyczące trwałego zrównoważonego charakteru działań prowadzonych</w:t>
      </w:r>
      <w:r w:rsidR="006B6BC0" w:rsidRPr="008B7FA4">
        <w:rPr>
          <w:sz w:val="16"/>
          <w:szCs w:val="16"/>
        </w:rPr>
        <w:t xml:space="preserve"> w prz</w:t>
      </w:r>
      <w:r w:rsidRPr="008B7FA4">
        <w:rPr>
          <w:sz w:val="16"/>
          <w:szCs w:val="16"/>
        </w:rPr>
        <w:t>estrzeni kosmicznej, A/AC.105/2018/CRP.20, 27 czerwca 2018</w:t>
      </w:r>
      <w:r w:rsidR="006B6BC0" w:rsidRPr="008B7FA4">
        <w:rPr>
          <w:sz w:val="16"/>
          <w:szCs w:val="16"/>
        </w:rPr>
        <w:t> </w:t>
      </w:r>
      <w:r w:rsidRPr="008B7FA4">
        <w:rPr>
          <w:sz w:val="16"/>
          <w:szCs w:val="16"/>
        </w:rPr>
        <w:t>r.</w:t>
      </w:r>
    </w:p>
  </w:footnote>
  <w:footnote w:id="28">
    <w:p w:rsidR="00813E41" w:rsidRPr="008B7FA4" w:rsidRDefault="00813E41" w:rsidP="00630C8C">
      <w:pPr>
        <w:pStyle w:val="FootnoteText"/>
        <w:rPr>
          <w:sz w:val="16"/>
          <w:szCs w:val="16"/>
        </w:rPr>
      </w:pPr>
      <w:r w:rsidRPr="008B7FA4">
        <w:rPr>
          <w:rStyle w:val="FootnoteReference"/>
          <w:sz w:val="16"/>
          <w:szCs w:val="16"/>
        </w:rPr>
        <w:footnoteRef/>
      </w:r>
      <w:r w:rsidRPr="008B7FA4">
        <w:rPr>
          <w:sz w:val="16"/>
          <w:szCs w:val="16"/>
        </w:rPr>
        <w:t xml:space="preserve"> </w:t>
      </w:r>
      <w:r w:rsidRPr="008B7FA4">
        <w:rPr>
          <w:color w:val="0000FF"/>
          <w:sz w:val="16"/>
          <w:szCs w:val="16"/>
          <w:u w:val="single"/>
        </w:rPr>
        <w:t>Unijny zestaw narzędzi na potrzeby cyberbezpieczeństwa sieci 5G | Kształtowanie cyfrowej przyszłości Europy (europa.eu).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8B7" w:rsidRPr="008C58B7" w:rsidRDefault="008C58B7" w:rsidP="008C5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8B7" w:rsidRPr="008C58B7" w:rsidRDefault="008C58B7" w:rsidP="008C58B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8B7" w:rsidRPr="008C58B7" w:rsidRDefault="008C58B7" w:rsidP="008C58B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E41" w:rsidRDefault="00813E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E41" w:rsidRDefault="00813E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E41" w:rsidRDefault="00813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83C"/>
    <w:multiLevelType w:val="hybridMultilevel"/>
    <w:tmpl w:val="D4D0F188"/>
    <w:lvl w:ilvl="0" w:tplc="6128D3D6">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1A74FF"/>
    <w:multiLevelType w:val="hybridMultilevel"/>
    <w:tmpl w:val="72E40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F00D1"/>
    <w:multiLevelType w:val="hybridMultilevel"/>
    <w:tmpl w:val="EADCBC90"/>
    <w:lvl w:ilvl="0" w:tplc="6128D3D6">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C30615"/>
    <w:multiLevelType w:val="hybridMultilevel"/>
    <w:tmpl w:val="144AC10C"/>
    <w:lvl w:ilvl="0" w:tplc="6560745A">
      <w:start w:val="1"/>
      <w:numFmt w:val="decimal"/>
      <w:lvlText w:val="Action %1 :."/>
      <w:lvlJc w:val="left"/>
      <w:pPr>
        <w:ind w:left="720" w:hanging="360"/>
      </w:pPr>
      <w:rPr>
        <w:rFonts w:hint="default"/>
        <w:u w:val="thick"/>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9020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5A69FF"/>
    <w:multiLevelType w:val="multilevel"/>
    <w:tmpl w:val="C60C4BA8"/>
    <w:lvl w:ilvl="0">
      <w:start w:val="1"/>
      <w:numFmt w:val="bullet"/>
      <w:lvlText w:val=""/>
      <w:lvlJc w:val="left"/>
      <w:pPr>
        <w:ind w:left="720" w:hanging="360"/>
      </w:pPr>
      <w:rPr>
        <w:rFonts w:ascii="Symbol" w:hAnsi="Symbol"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5E4CBD"/>
    <w:multiLevelType w:val="hybridMultilevel"/>
    <w:tmpl w:val="58FE84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0A55E7"/>
    <w:multiLevelType w:val="hybridMultilevel"/>
    <w:tmpl w:val="8CB6A462"/>
    <w:lvl w:ilvl="0" w:tplc="6560745A">
      <w:start w:val="1"/>
      <w:numFmt w:val="decimal"/>
      <w:lvlText w:val="Action %1 :."/>
      <w:lvlJc w:val="left"/>
      <w:pPr>
        <w:ind w:left="720" w:hanging="360"/>
      </w:pPr>
      <w:rPr>
        <w:rFonts w:hint="default"/>
        <w:u w:val="thick"/>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6E68DC"/>
    <w:multiLevelType w:val="multilevel"/>
    <w:tmpl w:val="B94E570C"/>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1F34A91"/>
    <w:multiLevelType w:val="hybridMultilevel"/>
    <w:tmpl w:val="AE1C00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003CD7"/>
    <w:multiLevelType w:val="hybridMultilevel"/>
    <w:tmpl w:val="970C11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3222D07"/>
    <w:multiLevelType w:val="hybridMultilevel"/>
    <w:tmpl w:val="287C9ABC"/>
    <w:lvl w:ilvl="0" w:tplc="840AE2F6">
      <w:start w:val="1"/>
      <w:numFmt w:val="bullet"/>
      <w:lvlText w:val=""/>
      <w:lvlJc w:val="left"/>
      <w:pPr>
        <w:ind w:left="720" w:hanging="360"/>
      </w:pPr>
      <w:rPr>
        <w:rFonts w:ascii="Symbol" w:hAnsi="Symbol" w:hint="default"/>
      </w:rPr>
    </w:lvl>
    <w:lvl w:ilvl="1" w:tplc="9394FCBC">
      <w:start w:val="1"/>
      <w:numFmt w:val="bullet"/>
      <w:lvlText w:val="o"/>
      <w:lvlJc w:val="left"/>
      <w:pPr>
        <w:ind w:left="1440" w:hanging="360"/>
      </w:pPr>
      <w:rPr>
        <w:rFonts w:ascii="Courier New" w:hAnsi="Courier New" w:hint="default"/>
      </w:rPr>
    </w:lvl>
    <w:lvl w:ilvl="2" w:tplc="69B245FC">
      <w:start w:val="1"/>
      <w:numFmt w:val="bullet"/>
      <w:lvlText w:val=""/>
      <w:lvlJc w:val="left"/>
      <w:pPr>
        <w:ind w:left="2160" w:hanging="360"/>
      </w:pPr>
      <w:rPr>
        <w:rFonts w:ascii="Wingdings" w:hAnsi="Wingdings" w:hint="default"/>
      </w:rPr>
    </w:lvl>
    <w:lvl w:ilvl="3" w:tplc="6538AB3C">
      <w:start w:val="1"/>
      <w:numFmt w:val="bullet"/>
      <w:lvlText w:val=""/>
      <w:lvlJc w:val="left"/>
      <w:pPr>
        <w:ind w:left="2880" w:hanging="360"/>
      </w:pPr>
      <w:rPr>
        <w:rFonts w:ascii="Symbol" w:hAnsi="Symbol" w:hint="default"/>
      </w:rPr>
    </w:lvl>
    <w:lvl w:ilvl="4" w:tplc="A8C2C3DC">
      <w:start w:val="1"/>
      <w:numFmt w:val="bullet"/>
      <w:lvlText w:val="o"/>
      <w:lvlJc w:val="left"/>
      <w:pPr>
        <w:ind w:left="3600" w:hanging="360"/>
      </w:pPr>
      <w:rPr>
        <w:rFonts w:ascii="Courier New" w:hAnsi="Courier New" w:hint="default"/>
      </w:rPr>
    </w:lvl>
    <w:lvl w:ilvl="5" w:tplc="618A5A5E">
      <w:start w:val="1"/>
      <w:numFmt w:val="bullet"/>
      <w:lvlText w:val=""/>
      <w:lvlJc w:val="left"/>
      <w:pPr>
        <w:ind w:left="4320" w:hanging="360"/>
      </w:pPr>
      <w:rPr>
        <w:rFonts w:ascii="Wingdings" w:hAnsi="Wingdings" w:hint="default"/>
      </w:rPr>
    </w:lvl>
    <w:lvl w:ilvl="6" w:tplc="352EA2A6">
      <w:start w:val="1"/>
      <w:numFmt w:val="bullet"/>
      <w:lvlText w:val=""/>
      <w:lvlJc w:val="left"/>
      <w:pPr>
        <w:ind w:left="5040" w:hanging="360"/>
      </w:pPr>
      <w:rPr>
        <w:rFonts w:ascii="Symbol" w:hAnsi="Symbol" w:hint="default"/>
      </w:rPr>
    </w:lvl>
    <w:lvl w:ilvl="7" w:tplc="37147736">
      <w:start w:val="1"/>
      <w:numFmt w:val="bullet"/>
      <w:lvlText w:val="o"/>
      <w:lvlJc w:val="left"/>
      <w:pPr>
        <w:ind w:left="5760" w:hanging="360"/>
      </w:pPr>
      <w:rPr>
        <w:rFonts w:ascii="Courier New" w:hAnsi="Courier New" w:hint="default"/>
      </w:rPr>
    </w:lvl>
    <w:lvl w:ilvl="8" w:tplc="C55CEA84">
      <w:start w:val="1"/>
      <w:numFmt w:val="bullet"/>
      <w:lvlText w:val=""/>
      <w:lvlJc w:val="left"/>
      <w:pPr>
        <w:ind w:left="6480" w:hanging="360"/>
      </w:pPr>
      <w:rPr>
        <w:rFonts w:ascii="Wingdings" w:hAnsi="Wingdings" w:hint="default"/>
      </w:rPr>
    </w:lvl>
  </w:abstractNum>
  <w:abstractNum w:abstractNumId="12" w15:restartNumberingAfterBreak="0">
    <w:nsid w:val="17EE339E"/>
    <w:multiLevelType w:val="hybridMultilevel"/>
    <w:tmpl w:val="81F655BA"/>
    <w:lvl w:ilvl="0" w:tplc="557ABDD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4B3DB8"/>
    <w:multiLevelType w:val="hybridMultilevel"/>
    <w:tmpl w:val="BE2AE6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1F1466D"/>
    <w:multiLevelType w:val="hybridMultilevel"/>
    <w:tmpl w:val="EEC46E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4614945"/>
    <w:multiLevelType w:val="hybridMultilevel"/>
    <w:tmpl w:val="2B6C44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4AA49AA"/>
    <w:multiLevelType w:val="hybridMultilevel"/>
    <w:tmpl w:val="D91A78EC"/>
    <w:lvl w:ilvl="0" w:tplc="0E0896C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04750C"/>
    <w:multiLevelType w:val="hybridMultilevel"/>
    <w:tmpl w:val="2004B9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C586AF1"/>
    <w:multiLevelType w:val="hybridMultilevel"/>
    <w:tmpl w:val="BE32347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4CA79F6"/>
    <w:multiLevelType w:val="hybridMultilevel"/>
    <w:tmpl w:val="BE38DAA0"/>
    <w:lvl w:ilvl="0" w:tplc="6128D3D6">
      <w:numFmt w:val="bullet"/>
      <w:lvlText w:val="-"/>
      <w:lvlJc w:val="left"/>
      <w:pPr>
        <w:ind w:left="720"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7254D0F"/>
    <w:multiLevelType w:val="hybridMultilevel"/>
    <w:tmpl w:val="DD721688"/>
    <w:lvl w:ilvl="0" w:tplc="1D0E0FD6">
      <w:start w:val="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75D291B"/>
    <w:multiLevelType w:val="hybridMultilevel"/>
    <w:tmpl w:val="4AEA85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E4947EE"/>
    <w:multiLevelType w:val="multilevel"/>
    <w:tmpl w:val="55C4BB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18735F"/>
    <w:multiLevelType w:val="hybridMultilevel"/>
    <w:tmpl w:val="A03CBEAA"/>
    <w:lvl w:ilvl="0" w:tplc="6128D3D6">
      <w:numFmt w:val="bullet"/>
      <w:lvlText w:val="-"/>
      <w:lvlJc w:val="left"/>
      <w:pPr>
        <w:ind w:left="862" w:hanging="360"/>
      </w:pPr>
      <w:rPr>
        <w:rFonts w:ascii="Times New Roman" w:eastAsia="Calibri" w:hAnsi="Times New Roman" w:cs="Times New Roman"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5" w15:restartNumberingAfterBreak="0">
    <w:nsid w:val="416A3EBC"/>
    <w:multiLevelType w:val="hybridMultilevel"/>
    <w:tmpl w:val="C56A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1A6106"/>
    <w:multiLevelType w:val="hybridMultilevel"/>
    <w:tmpl w:val="DBF831E0"/>
    <w:lvl w:ilvl="0" w:tplc="AA224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64DB6"/>
    <w:multiLevelType w:val="multilevel"/>
    <w:tmpl w:val="9AB459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F55673"/>
    <w:multiLevelType w:val="hybridMultilevel"/>
    <w:tmpl w:val="7284A778"/>
    <w:lvl w:ilvl="0" w:tplc="48CADF1A">
      <w:start w:val="1"/>
      <w:numFmt w:val="decimal"/>
      <w:lvlText w:val="Action %1 : "/>
      <w:lvlJc w:val="left"/>
      <w:pPr>
        <w:ind w:left="2344" w:hanging="360"/>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CB6252"/>
    <w:multiLevelType w:val="multilevel"/>
    <w:tmpl w:val="202CA5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A335506"/>
    <w:multiLevelType w:val="hybridMultilevel"/>
    <w:tmpl w:val="237A47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0E412F1"/>
    <w:multiLevelType w:val="hybridMultilevel"/>
    <w:tmpl w:val="DD28F0BC"/>
    <w:lvl w:ilvl="0" w:tplc="E4D8C66C">
      <w:start w:val="1"/>
      <w:numFmt w:val="decimal"/>
      <w:lvlText w:val="%1."/>
      <w:lvlJc w:val="left"/>
      <w:pPr>
        <w:ind w:left="853" w:hanging="360"/>
      </w:pPr>
    </w:lvl>
    <w:lvl w:ilvl="1" w:tplc="08090019" w:tentative="1">
      <w:start w:val="1"/>
      <w:numFmt w:val="lowerLetter"/>
      <w:lvlText w:val="%2."/>
      <w:lvlJc w:val="left"/>
      <w:pPr>
        <w:ind w:left="1573" w:hanging="360"/>
      </w:pPr>
    </w:lvl>
    <w:lvl w:ilvl="2" w:tplc="0809001B" w:tentative="1">
      <w:start w:val="1"/>
      <w:numFmt w:val="lowerRoman"/>
      <w:lvlText w:val="%3."/>
      <w:lvlJc w:val="right"/>
      <w:pPr>
        <w:ind w:left="2293" w:hanging="180"/>
      </w:pPr>
    </w:lvl>
    <w:lvl w:ilvl="3" w:tplc="0809000F" w:tentative="1">
      <w:start w:val="1"/>
      <w:numFmt w:val="decimal"/>
      <w:lvlText w:val="%4."/>
      <w:lvlJc w:val="left"/>
      <w:pPr>
        <w:ind w:left="3013" w:hanging="360"/>
      </w:pPr>
    </w:lvl>
    <w:lvl w:ilvl="4" w:tplc="08090019" w:tentative="1">
      <w:start w:val="1"/>
      <w:numFmt w:val="lowerLetter"/>
      <w:lvlText w:val="%5."/>
      <w:lvlJc w:val="left"/>
      <w:pPr>
        <w:ind w:left="3733" w:hanging="360"/>
      </w:pPr>
    </w:lvl>
    <w:lvl w:ilvl="5" w:tplc="0809001B" w:tentative="1">
      <w:start w:val="1"/>
      <w:numFmt w:val="lowerRoman"/>
      <w:lvlText w:val="%6."/>
      <w:lvlJc w:val="right"/>
      <w:pPr>
        <w:ind w:left="4453" w:hanging="180"/>
      </w:pPr>
    </w:lvl>
    <w:lvl w:ilvl="6" w:tplc="0809000F" w:tentative="1">
      <w:start w:val="1"/>
      <w:numFmt w:val="decimal"/>
      <w:lvlText w:val="%7."/>
      <w:lvlJc w:val="left"/>
      <w:pPr>
        <w:ind w:left="5173" w:hanging="360"/>
      </w:pPr>
    </w:lvl>
    <w:lvl w:ilvl="7" w:tplc="08090019" w:tentative="1">
      <w:start w:val="1"/>
      <w:numFmt w:val="lowerLetter"/>
      <w:lvlText w:val="%8."/>
      <w:lvlJc w:val="left"/>
      <w:pPr>
        <w:ind w:left="5893" w:hanging="360"/>
      </w:pPr>
    </w:lvl>
    <w:lvl w:ilvl="8" w:tplc="0809001B" w:tentative="1">
      <w:start w:val="1"/>
      <w:numFmt w:val="lowerRoman"/>
      <w:lvlText w:val="%9."/>
      <w:lvlJc w:val="right"/>
      <w:pPr>
        <w:ind w:left="6613" w:hanging="180"/>
      </w:pPr>
    </w:lvl>
  </w:abstractNum>
  <w:abstractNum w:abstractNumId="32" w15:restartNumberingAfterBreak="0">
    <w:nsid w:val="51E806B6"/>
    <w:multiLevelType w:val="multilevel"/>
    <w:tmpl w:val="34FAD264"/>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3EB265B"/>
    <w:multiLevelType w:val="hybridMultilevel"/>
    <w:tmpl w:val="72D2747E"/>
    <w:lvl w:ilvl="0" w:tplc="6560745A">
      <w:start w:val="1"/>
      <w:numFmt w:val="decimal"/>
      <w:lvlText w:val="Action %1 :."/>
      <w:lvlJc w:val="left"/>
      <w:pPr>
        <w:ind w:left="720" w:hanging="360"/>
      </w:pPr>
      <w:rPr>
        <w:rFonts w:hint="default"/>
        <w:u w:val="thick"/>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9A39FB"/>
    <w:multiLevelType w:val="hybridMultilevel"/>
    <w:tmpl w:val="6F5A5848"/>
    <w:lvl w:ilvl="0" w:tplc="E196F2A0">
      <w:start w:val="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55E03C83"/>
    <w:multiLevelType w:val="multilevel"/>
    <w:tmpl w:val="E10E6A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2040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7DE2157"/>
    <w:multiLevelType w:val="hybridMultilevel"/>
    <w:tmpl w:val="69BAA0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71683C"/>
    <w:multiLevelType w:val="hybridMultilevel"/>
    <w:tmpl w:val="A308ED3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5A9B33FB"/>
    <w:multiLevelType w:val="hybridMultilevel"/>
    <w:tmpl w:val="D2022E30"/>
    <w:lvl w:ilvl="0" w:tplc="5B985E1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B8707C8"/>
    <w:multiLevelType w:val="hybridMultilevel"/>
    <w:tmpl w:val="62D60C9E"/>
    <w:lvl w:ilvl="0" w:tplc="833E48B0">
      <w:start w:val="1"/>
      <w:numFmt w:val="bullet"/>
      <w:lvlText w:val=""/>
      <w:lvlJc w:val="left"/>
      <w:pPr>
        <w:ind w:left="720" w:hanging="360"/>
      </w:pPr>
      <w:rPr>
        <w:rFonts w:ascii="Symbol" w:hAnsi="Symbol" w:hint="default"/>
      </w:rPr>
    </w:lvl>
    <w:lvl w:ilvl="1" w:tplc="035EAA6A">
      <w:start w:val="1"/>
      <w:numFmt w:val="bullet"/>
      <w:lvlText w:val="o"/>
      <w:lvlJc w:val="left"/>
      <w:pPr>
        <w:ind w:left="1440" w:hanging="360"/>
      </w:pPr>
      <w:rPr>
        <w:rFonts w:ascii="Courier New" w:hAnsi="Courier New" w:hint="default"/>
      </w:rPr>
    </w:lvl>
    <w:lvl w:ilvl="2" w:tplc="16681A8A">
      <w:start w:val="1"/>
      <w:numFmt w:val="bullet"/>
      <w:lvlText w:val=""/>
      <w:lvlJc w:val="left"/>
      <w:pPr>
        <w:ind w:left="2160" w:hanging="360"/>
      </w:pPr>
      <w:rPr>
        <w:rFonts w:ascii="Wingdings" w:hAnsi="Wingdings" w:hint="default"/>
      </w:rPr>
    </w:lvl>
    <w:lvl w:ilvl="3" w:tplc="5F74400C">
      <w:start w:val="1"/>
      <w:numFmt w:val="bullet"/>
      <w:lvlText w:val=""/>
      <w:lvlJc w:val="left"/>
      <w:pPr>
        <w:ind w:left="2880" w:hanging="360"/>
      </w:pPr>
      <w:rPr>
        <w:rFonts w:ascii="Symbol" w:hAnsi="Symbol" w:hint="default"/>
      </w:rPr>
    </w:lvl>
    <w:lvl w:ilvl="4" w:tplc="8E0E1E9A">
      <w:start w:val="1"/>
      <w:numFmt w:val="bullet"/>
      <w:lvlText w:val="o"/>
      <w:lvlJc w:val="left"/>
      <w:pPr>
        <w:ind w:left="3600" w:hanging="360"/>
      </w:pPr>
      <w:rPr>
        <w:rFonts w:ascii="Courier New" w:hAnsi="Courier New" w:hint="default"/>
      </w:rPr>
    </w:lvl>
    <w:lvl w:ilvl="5" w:tplc="4096228C">
      <w:start w:val="1"/>
      <w:numFmt w:val="bullet"/>
      <w:lvlText w:val=""/>
      <w:lvlJc w:val="left"/>
      <w:pPr>
        <w:ind w:left="4320" w:hanging="360"/>
      </w:pPr>
      <w:rPr>
        <w:rFonts w:ascii="Wingdings" w:hAnsi="Wingdings" w:hint="default"/>
      </w:rPr>
    </w:lvl>
    <w:lvl w:ilvl="6" w:tplc="D2745496">
      <w:start w:val="1"/>
      <w:numFmt w:val="bullet"/>
      <w:lvlText w:val=""/>
      <w:lvlJc w:val="left"/>
      <w:pPr>
        <w:ind w:left="5040" w:hanging="360"/>
      </w:pPr>
      <w:rPr>
        <w:rFonts w:ascii="Symbol" w:hAnsi="Symbol" w:hint="default"/>
      </w:rPr>
    </w:lvl>
    <w:lvl w:ilvl="7" w:tplc="61464BD8">
      <w:start w:val="1"/>
      <w:numFmt w:val="bullet"/>
      <w:lvlText w:val="o"/>
      <w:lvlJc w:val="left"/>
      <w:pPr>
        <w:ind w:left="5760" w:hanging="360"/>
      </w:pPr>
      <w:rPr>
        <w:rFonts w:ascii="Courier New" w:hAnsi="Courier New" w:hint="default"/>
      </w:rPr>
    </w:lvl>
    <w:lvl w:ilvl="8" w:tplc="F75AD73E">
      <w:start w:val="1"/>
      <w:numFmt w:val="bullet"/>
      <w:lvlText w:val=""/>
      <w:lvlJc w:val="left"/>
      <w:pPr>
        <w:ind w:left="6480" w:hanging="360"/>
      </w:pPr>
      <w:rPr>
        <w:rFonts w:ascii="Wingdings" w:hAnsi="Wingdings" w:hint="default"/>
      </w:rPr>
    </w:lvl>
  </w:abstractNum>
  <w:abstractNum w:abstractNumId="41" w15:restartNumberingAfterBreak="0">
    <w:nsid w:val="5B8D0384"/>
    <w:multiLevelType w:val="hybridMultilevel"/>
    <w:tmpl w:val="0816A864"/>
    <w:lvl w:ilvl="0" w:tplc="DA30FE9A">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6558242A"/>
    <w:multiLevelType w:val="hybridMultilevel"/>
    <w:tmpl w:val="B50E8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5720FC6"/>
    <w:multiLevelType w:val="hybridMultilevel"/>
    <w:tmpl w:val="11346674"/>
    <w:lvl w:ilvl="0" w:tplc="05C0D24E">
      <w:start w:val="1"/>
      <w:numFmt w:val="lowerLetter"/>
      <w:pStyle w:val="Listactions"/>
      <w:lvlText w:val="               %1)"/>
      <w:lvlJc w:val="left"/>
      <w:pPr>
        <w:ind w:left="1637" w:hanging="360"/>
      </w:pPr>
      <w:rPr>
        <w:rFonts w:hint="default"/>
      </w:rPr>
    </w:lvl>
    <w:lvl w:ilvl="1" w:tplc="08090019">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44" w15:restartNumberingAfterBreak="0">
    <w:nsid w:val="65D31BD5"/>
    <w:multiLevelType w:val="hybridMultilevel"/>
    <w:tmpl w:val="A12A34F4"/>
    <w:lvl w:ilvl="0" w:tplc="67EC6094">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669102F5"/>
    <w:multiLevelType w:val="hybridMultilevel"/>
    <w:tmpl w:val="96C0CECA"/>
    <w:lvl w:ilvl="0" w:tplc="519A09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8D16C68"/>
    <w:multiLevelType w:val="hybridMultilevel"/>
    <w:tmpl w:val="EB42F6DC"/>
    <w:lvl w:ilvl="0" w:tplc="DA98817C">
      <w:start w:val="1"/>
      <w:numFmt w:val="decimal"/>
      <w:lvlText w:val="Action %1.: "/>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E6D10A8"/>
    <w:multiLevelType w:val="multilevel"/>
    <w:tmpl w:val="35F8F6F0"/>
    <w:lvl w:ilvl="0">
      <w:start w:val="1"/>
      <w:numFmt w:val="decimal"/>
      <w:pStyle w:val="Heading1"/>
      <w:lvlText w:val="%1"/>
      <w:lvlJc w:val="left"/>
      <w:pPr>
        <w:ind w:left="432" w:hanging="432"/>
      </w:pPr>
      <w:rPr>
        <w:b/>
      </w:rPr>
    </w:lvl>
    <w:lvl w:ilvl="1">
      <w:start w:val="1"/>
      <w:numFmt w:val="decimal"/>
      <w:pStyle w:val="Heading2"/>
      <w:lvlText w:val="%1.%2"/>
      <w:lvlJc w:val="left"/>
      <w:pPr>
        <w:ind w:left="5680" w:hanging="576"/>
      </w:pPr>
      <w:rPr>
        <w:lang w:val="en-IE"/>
      </w:rPr>
    </w:lvl>
    <w:lvl w:ilvl="2">
      <w:start w:val="1"/>
      <w:numFmt w:val="decimal"/>
      <w:pStyle w:val="Heading3"/>
      <w:lvlText w:val="%1.%2.%3"/>
      <w:lvlJc w:val="left"/>
      <w:pPr>
        <w:ind w:left="2137"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72B672B8"/>
    <w:multiLevelType w:val="hybridMultilevel"/>
    <w:tmpl w:val="7500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987DBD"/>
    <w:multiLevelType w:val="multilevel"/>
    <w:tmpl w:val="F9B089E0"/>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7AA73B09"/>
    <w:multiLevelType w:val="multilevel"/>
    <w:tmpl w:val="3CCE36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B60622C"/>
    <w:multiLevelType w:val="hybridMultilevel"/>
    <w:tmpl w:val="20FE058A"/>
    <w:lvl w:ilvl="0" w:tplc="003C3FC6">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7CD24F0F"/>
    <w:multiLevelType w:val="hybridMultilevel"/>
    <w:tmpl w:val="950085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DCE0978"/>
    <w:multiLevelType w:val="hybridMultilevel"/>
    <w:tmpl w:val="7FA8DF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7E4A383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38"/>
  </w:num>
  <w:num w:numId="3">
    <w:abstractNumId w:val="20"/>
  </w:num>
  <w:num w:numId="4">
    <w:abstractNumId w:val="17"/>
  </w:num>
  <w:num w:numId="5">
    <w:abstractNumId w:val="30"/>
  </w:num>
  <w:num w:numId="6">
    <w:abstractNumId w:val="24"/>
  </w:num>
  <w:num w:numId="7">
    <w:abstractNumId w:val="0"/>
  </w:num>
  <w:num w:numId="8">
    <w:abstractNumId w:val="2"/>
  </w:num>
  <w:num w:numId="9">
    <w:abstractNumId w:val="5"/>
  </w:num>
  <w:num w:numId="10">
    <w:abstractNumId w:val="15"/>
  </w:num>
  <w:num w:numId="11">
    <w:abstractNumId w:val="40"/>
  </w:num>
  <w:num w:numId="12">
    <w:abstractNumId w:val="11"/>
  </w:num>
  <w:num w:numId="13">
    <w:abstractNumId w:val="27"/>
  </w:num>
  <w:num w:numId="14">
    <w:abstractNumId w:val="50"/>
  </w:num>
  <w:num w:numId="15">
    <w:abstractNumId w:val="4"/>
  </w:num>
  <w:num w:numId="16">
    <w:abstractNumId w:val="35"/>
  </w:num>
  <w:num w:numId="17">
    <w:abstractNumId w:val="8"/>
  </w:num>
  <w:num w:numId="18">
    <w:abstractNumId w:val="23"/>
  </w:num>
  <w:num w:numId="19">
    <w:abstractNumId w:val="54"/>
  </w:num>
  <w:num w:numId="20">
    <w:abstractNumId w:val="46"/>
  </w:num>
  <w:num w:numId="21">
    <w:abstractNumId w:val="46"/>
    <w:lvlOverride w:ilvl="0">
      <w:startOverride w:val="1"/>
    </w:lvlOverride>
  </w:num>
  <w:num w:numId="22">
    <w:abstractNumId w:val="43"/>
  </w:num>
  <w:num w:numId="23">
    <w:abstractNumId w:val="49"/>
  </w:num>
  <w:num w:numId="24">
    <w:abstractNumId w:val="32"/>
  </w:num>
  <w:num w:numId="25">
    <w:abstractNumId w:val="52"/>
  </w:num>
  <w:num w:numId="26">
    <w:abstractNumId w:val="6"/>
  </w:num>
  <w:num w:numId="27">
    <w:abstractNumId w:val="28"/>
  </w:num>
  <w:num w:numId="28">
    <w:abstractNumId w:val="47"/>
  </w:num>
  <w:num w:numId="29">
    <w:abstractNumId w:val="25"/>
  </w:num>
  <w:num w:numId="30">
    <w:abstractNumId w:val="48"/>
  </w:num>
  <w:num w:numId="31">
    <w:abstractNumId w:val="14"/>
  </w:num>
  <w:num w:numId="32">
    <w:abstractNumId w:val="41"/>
  </w:num>
  <w:num w:numId="33">
    <w:abstractNumId w:val="53"/>
  </w:num>
  <w:num w:numId="34">
    <w:abstractNumId w:val="44"/>
  </w:num>
  <w:num w:numId="35">
    <w:abstractNumId w:val="51"/>
  </w:num>
  <w:num w:numId="36">
    <w:abstractNumId w:val="18"/>
  </w:num>
  <w:num w:numId="37">
    <w:abstractNumId w:val="47"/>
  </w:num>
  <w:num w:numId="38">
    <w:abstractNumId w:val="21"/>
  </w:num>
  <w:num w:numId="39">
    <w:abstractNumId w:val="22"/>
  </w:num>
  <w:num w:numId="40">
    <w:abstractNumId w:val="10"/>
  </w:num>
  <w:num w:numId="41">
    <w:abstractNumId w:val="19"/>
  </w:num>
  <w:num w:numId="42">
    <w:abstractNumId w:val="19"/>
  </w:num>
  <w:num w:numId="43">
    <w:abstractNumId w:val="19"/>
  </w:num>
  <w:num w:numId="44">
    <w:abstractNumId w:val="47"/>
  </w:num>
  <w:num w:numId="45">
    <w:abstractNumId w:val="34"/>
  </w:num>
  <w:num w:numId="46">
    <w:abstractNumId w:val="1"/>
  </w:num>
  <w:num w:numId="47">
    <w:abstractNumId w:val="31"/>
  </w:num>
  <w:num w:numId="48">
    <w:abstractNumId w:val="29"/>
  </w:num>
  <w:num w:numId="49">
    <w:abstractNumId w:val="37"/>
  </w:num>
  <w:num w:numId="50">
    <w:abstractNumId w:val="9"/>
  </w:num>
  <w:num w:numId="51">
    <w:abstractNumId w:val="16"/>
  </w:num>
  <w:num w:numId="52">
    <w:abstractNumId w:val="12"/>
  </w:num>
  <w:num w:numId="53">
    <w:abstractNumId w:val="26"/>
  </w:num>
  <w:num w:numId="54">
    <w:abstractNumId w:val="42"/>
  </w:num>
  <w:num w:numId="55">
    <w:abstractNumId w:val="45"/>
  </w:num>
  <w:num w:numId="56">
    <w:abstractNumId w:val="47"/>
  </w:num>
  <w:num w:numId="57">
    <w:abstractNumId w:val="36"/>
  </w:num>
  <w:num w:numId="58">
    <w:abstractNumId w:val="7"/>
  </w:num>
  <w:num w:numId="59">
    <w:abstractNumId w:val="3"/>
  </w:num>
  <w:num w:numId="60">
    <w:abstractNumId w:val="33"/>
  </w:num>
  <w:num w:numId="61">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5BF1C640-ACBB-42BF-BFB7-22A2D37F8484"/>
    <w:docVar w:name="LW_COVERPAGE_TYPE" w:val="1"/>
    <w:docVar w:name="LW_CROSSREFERENCE" w:val="&lt;UNUSED&gt;"/>
    <w:docVar w:name="LW_DocType" w:val="NORMAL"/>
    <w:docVar w:name="LW_EMISSION" w:val="15.2.2022"/>
    <w:docVar w:name="LW_EMISSION_ISODATE" w:val="2022-02-15"/>
    <w:docVar w:name="LW_EMISSION_LOCATION" w:val="STR"/>
    <w:docVar w:name="LW_EMISSION_PREFIX" w:val="Strasburg, dnia "/>
    <w:docVar w:name="LW_EMISSION_SUFFIX" w:val=" r."/>
    <w:docVar w:name="LW_ID_DOCTYPE_NONLW" w:val="CP-015"/>
    <w:docVar w:name="LW_LANGUE" w:val="PL"/>
    <w:docVar w:name="LW_LEVEL_OF_SENSITIVITY" w:val="Standard treatment"/>
    <w:docVar w:name="LW_NOM.INST" w:val="KOMISJA EUROPEJSKA"/>
    <w:docVar w:name="LW_NOM.INST_JOINTDOC" w:val="WYSOKI PRZEDSTAWICIEL UNII_x000b_DO SPRAW ZAGRANICZNYCH I_x000b_ POLITYKI BEZPIECZE\u323?STWA"/>
    <w:docVar w:name="LW_PART_NBR" w:val="1"/>
    <w:docVar w:name="LW_PART_NBR_TOTAL" w:val="1"/>
    <w:docVar w:name="LW_REF.INST.NEW" w:val="JOIN"/>
    <w:docVar w:name="LW_REF.INST.NEW_ADOPTED" w:val="final"/>
    <w:docVar w:name="LW_REF.INST.NEW_TEXT" w:val="(2022) 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nijne podejście do zarządzania ruchem w przestrzeni kosmicznej_x000d__x000d__x000b_Wkład UE w działania służące przezwyciężeniu globalnego wyzwania"/>
    <w:docVar w:name="LW_TYPE.DOC.CP" w:val="WSPÓLNY KOMUNIKAT DO PARLAMENTU EUROPEJSKIEGO I RADY"/>
    <w:docVar w:name="LW_TYPE.DOC.CP.USERTEXT" w:val="&lt;EMPTY&gt;"/>
    <w:docVar w:name="LwApiVersions" w:val="LW4CoDe 1.23.2.0; LW 8.0, Build 20211117"/>
  </w:docVars>
  <w:rsids>
    <w:rsidRoot w:val="00172521"/>
    <w:rsid w:val="000008A1"/>
    <w:rsid w:val="000024D6"/>
    <w:rsid w:val="00004C1C"/>
    <w:rsid w:val="000061D6"/>
    <w:rsid w:val="0000631C"/>
    <w:rsid w:val="000100A6"/>
    <w:rsid w:val="00011C24"/>
    <w:rsid w:val="000122D1"/>
    <w:rsid w:val="00013C87"/>
    <w:rsid w:val="00017550"/>
    <w:rsid w:val="00020CB0"/>
    <w:rsid w:val="00023003"/>
    <w:rsid w:val="00024CBA"/>
    <w:rsid w:val="00025633"/>
    <w:rsid w:val="00026A17"/>
    <w:rsid w:val="00026ACF"/>
    <w:rsid w:val="00026F5F"/>
    <w:rsid w:val="00031834"/>
    <w:rsid w:val="00032847"/>
    <w:rsid w:val="00033E7D"/>
    <w:rsid w:val="00037639"/>
    <w:rsid w:val="000376DF"/>
    <w:rsid w:val="0004096F"/>
    <w:rsid w:val="000438B5"/>
    <w:rsid w:val="00043C3A"/>
    <w:rsid w:val="00044B85"/>
    <w:rsid w:val="000469D9"/>
    <w:rsid w:val="00047803"/>
    <w:rsid w:val="000511F8"/>
    <w:rsid w:val="0005356E"/>
    <w:rsid w:val="00053F1F"/>
    <w:rsid w:val="00055A79"/>
    <w:rsid w:val="000573D6"/>
    <w:rsid w:val="00057AED"/>
    <w:rsid w:val="00061AE7"/>
    <w:rsid w:val="0006246D"/>
    <w:rsid w:val="00062F48"/>
    <w:rsid w:val="000630B8"/>
    <w:rsid w:val="00065FB2"/>
    <w:rsid w:val="00066978"/>
    <w:rsid w:val="000679D8"/>
    <w:rsid w:val="00067B9E"/>
    <w:rsid w:val="00070676"/>
    <w:rsid w:val="00070811"/>
    <w:rsid w:val="00070DBA"/>
    <w:rsid w:val="00074957"/>
    <w:rsid w:val="00074BE0"/>
    <w:rsid w:val="00074F00"/>
    <w:rsid w:val="00076AF1"/>
    <w:rsid w:val="00076BE0"/>
    <w:rsid w:val="0008002F"/>
    <w:rsid w:val="00080809"/>
    <w:rsid w:val="00081D6A"/>
    <w:rsid w:val="0008305D"/>
    <w:rsid w:val="000836B0"/>
    <w:rsid w:val="00083845"/>
    <w:rsid w:val="00084119"/>
    <w:rsid w:val="00084942"/>
    <w:rsid w:val="00085E9C"/>
    <w:rsid w:val="00086229"/>
    <w:rsid w:val="00086E65"/>
    <w:rsid w:val="00090569"/>
    <w:rsid w:val="00090D35"/>
    <w:rsid w:val="0009184F"/>
    <w:rsid w:val="00092344"/>
    <w:rsid w:val="00094ECF"/>
    <w:rsid w:val="00095E35"/>
    <w:rsid w:val="00095E51"/>
    <w:rsid w:val="000A13CB"/>
    <w:rsid w:val="000A43D2"/>
    <w:rsid w:val="000A469A"/>
    <w:rsid w:val="000A479C"/>
    <w:rsid w:val="000A4BC4"/>
    <w:rsid w:val="000A6A80"/>
    <w:rsid w:val="000A6D2A"/>
    <w:rsid w:val="000A7109"/>
    <w:rsid w:val="000B1204"/>
    <w:rsid w:val="000B28C8"/>
    <w:rsid w:val="000B364A"/>
    <w:rsid w:val="000B42FD"/>
    <w:rsid w:val="000B645D"/>
    <w:rsid w:val="000B7176"/>
    <w:rsid w:val="000B7849"/>
    <w:rsid w:val="000C2D68"/>
    <w:rsid w:val="000C4F3F"/>
    <w:rsid w:val="000C50DD"/>
    <w:rsid w:val="000C5F7A"/>
    <w:rsid w:val="000D01BB"/>
    <w:rsid w:val="000D2C68"/>
    <w:rsid w:val="000D4565"/>
    <w:rsid w:val="000D515F"/>
    <w:rsid w:val="000D54FA"/>
    <w:rsid w:val="000D6718"/>
    <w:rsid w:val="000D6A55"/>
    <w:rsid w:val="000D6E7B"/>
    <w:rsid w:val="000E578D"/>
    <w:rsid w:val="000E7927"/>
    <w:rsid w:val="000F0777"/>
    <w:rsid w:val="000F1238"/>
    <w:rsid w:val="000F26B3"/>
    <w:rsid w:val="000F3C12"/>
    <w:rsid w:val="00100FE3"/>
    <w:rsid w:val="00102D23"/>
    <w:rsid w:val="00102E57"/>
    <w:rsid w:val="00104027"/>
    <w:rsid w:val="00104B45"/>
    <w:rsid w:val="00104FB4"/>
    <w:rsid w:val="00116B4D"/>
    <w:rsid w:val="00116C37"/>
    <w:rsid w:val="00117941"/>
    <w:rsid w:val="001202FB"/>
    <w:rsid w:val="00122863"/>
    <w:rsid w:val="00127094"/>
    <w:rsid w:val="001276C5"/>
    <w:rsid w:val="001309DD"/>
    <w:rsid w:val="00130D9F"/>
    <w:rsid w:val="00131389"/>
    <w:rsid w:val="001314DD"/>
    <w:rsid w:val="00131CC1"/>
    <w:rsid w:val="001322DD"/>
    <w:rsid w:val="001348B3"/>
    <w:rsid w:val="00135B89"/>
    <w:rsid w:val="001363FB"/>
    <w:rsid w:val="0013669B"/>
    <w:rsid w:val="00137D60"/>
    <w:rsid w:val="00141951"/>
    <w:rsid w:val="00141B5B"/>
    <w:rsid w:val="00142071"/>
    <w:rsid w:val="0014391F"/>
    <w:rsid w:val="001468B8"/>
    <w:rsid w:val="00146B95"/>
    <w:rsid w:val="00146D4F"/>
    <w:rsid w:val="00150910"/>
    <w:rsid w:val="0015576F"/>
    <w:rsid w:val="00156FB8"/>
    <w:rsid w:val="00163253"/>
    <w:rsid w:val="00164A61"/>
    <w:rsid w:val="00164E27"/>
    <w:rsid w:val="0016590C"/>
    <w:rsid w:val="00165E23"/>
    <w:rsid w:val="00165F34"/>
    <w:rsid w:val="00167C23"/>
    <w:rsid w:val="00170903"/>
    <w:rsid w:val="00170EE2"/>
    <w:rsid w:val="0017231A"/>
    <w:rsid w:val="00172521"/>
    <w:rsid w:val="00173F32"/>
    <w:rsid w:val="001742C0"/>
    <w:rsid w:val="00175508"/>
    <w:rsid w:val="00175904"/>
    <w:rsid w:val="001768C9"/>
    <w:rsid w:val="00176F7C"/>
    <w:rsid w:val="001779AF"/>
    <w:rsid w:val="001804F6"/>
    <w:rsid w:val="00181062"/>
    <w:rsid w:val="001840A0"/>
    <w:rsid w:val="00185CFF"/>
    <w:rsid w:val="001860EC"/>
    <w:rsid w:val="00187198"/>
    <w:rsid w:val="00191DC8"/>
    <w:rsid w:val="00193AED"/>
    <w:rsid w:val="00193B10"/>
    <w:rsid w:val="0019476D"/>
    <w:rsid w:val="00194F17"/>
    <w:rsid w:val="0019547F"/>
    <w:rsid w:val="00197540"/>
    <w:rsid w:val="001A0057"/>
    <w:rsid w:val="001A04A7"/>
    <w:rsid w:val="001A0B46"/>
    <w:rsid w:val="001A1257"/>
    <w:rsid w:val="001A18B8"/>
    <w:rsid w:val="001A21B1"/>
    <w:rsid w:val="001A3069"/>
    <w:rsid w:val="001A3F70"/>
    <w:rsid w:val="001A482D"/>
    <w:rsid w:val="001A4DC7"/>
    <w:rsid w:val="001A5613"/>
    <w:rsid w:val="001B01CA"/>
    <w:rsid w:val="001B2118"/>
    <w:rsid w:val="001B4176"/>
    <w:rsid w:val="001C01F3"/>
    <w:rsid w:val="001C2264"/>
    <w:rsid w:val="001C2733"/>
    <w:rsid w:val="001C2A7E"/>
    <w:rsid w:val="001C375A"/>
    <w:rsid w:val="001C3808"/>
    <w:rsid w:val="001C4A67"/>
    <w:rsid w:val="001C5822"/>
    <w:rsid w:val="001C75F1"/>
    <w:rsid w:val="001D1485"/>
    <w:rsid w:val="001D18B5"/>
    <w:rsid w:val="001D2D86"/>
    <w:rsid w:val="001D3727"/>
    <w:rsid w:val="001D3A21"/>
    <w:rsid w:val="001D5386"/>
    <w:rsid w:val="001D73C4"/>
    <w:rsid w:val="001E0244"/>
    <w:rsid w:val="001E18CC"/>
    <w:rsid w:val="001E3FBD"/>
    <w:rsid w:val="001E44DF"/>
    <w:rsid w:val="001E50D1"/>
    <w:rsid w:val="001E56CB"/>
    <w:rsid w:val="001F02EA"/>
    <w:rsid w:val="001F066A"/>
    <w:rsid w:val="001F112B"/>
    <w:rsid w:val="001F1723"/>
    <w:rsid w:val="001F194D"/>
    <w:rsid w:val="001F1BCA"/>
    <w:rsid w:val="001F2EC3"/>
    <w:rsid w:val="001F3445"/>
    <w:rsid w:val="001F5775"/>
    <w:rsid w:val="002003A2"/>
    <w:rsid w:val="00200664"/>
    <w:rsid w:val="00202104"/>
    <w:rsid w:val="00204FD9"/>
    <w:rsid w:val="0020572F"/>
    <w:rsid w:val="00205DBA"/>
    <w:rsid w:val="00207F46"/>
    <w:rsid w:val="00211E17"/>
    <w:rsid w:val="00212B87"/>
    <w:rsid w:val="00213C7A"/>
    <w:rsid w:val="00214A99"/>
    <w:rsid w:val="00215B01"/>
    <w:rsid w:val="0021734D"/>
    <w:rsid w:val="002179BC"/>
    <w:rsid w:val="002179DA"/>
    <w:rsid w:val="00221892"/>
    <w:rsid w:val="00221D99"/>
    <w:rsid w:val="00222102"/>
    <w:rsid w:val="0022482D"/>
    <w:rsid w:val="00224B26"/>
    <w:rsid w:val="00224C76"/>
    <w:rsid w:val="002258D6"/>
    <w:rsid w:val="00225F1E"/>
    <w:rsid w:val="00226CE1"/>
    <w:rsid w:val="00227DE6"/>
    <w:rsid w:val="00232765"/>
    <w:rsid w:val="00236911"/>
    <w:rsid w:val="00237070"/>
    <w:rsid w:val="002376DF"/>
    <w:rsid w:val="002376FC"/>
    <w:rsid w:val="00243280"/>
    <w:rsid w:val="002433D0"/>
    <w:rsid w:val="00244479"/>
    <w:rsid w:val="002460A0"/>
    <w:rsid w:val="00251781"/>
    <w:rsid w:val="00254A39"/>
    <w:rsid w:val="00256F96"/>
    <w:rsid w:val="00260AB1"/>
    <w:rsid w:val="00262DCC"/>
    <w:rsid w:val="0026445F"/>
    <w:rsid w:val="00264748"/>
    <w:rsid w:val="002675F9"/>
    <w:rsid w:val="002717A6"/>
    <w:rsid w:val="002721C6"/>
    <w:rsid w:val="00273257"/>
    <w:rsid w:val="002739EB"/>
    <w:rsid w:val="00273BA7"/>
    <w:rsid w:val="002745F1"/>
    <w:rsid w:val="00276C4D"/>
    <w:rsid w:val="00277FA9"/>
    <w:rsid w:val="00281046"/>
    <w:rsid w:val="00290DB7"/>
    <w:rsid w:val="00291A03"/>
    <w:rsid w:val="0029200E"/>
    <w:rsid w:val="0029728E"/>
    <w:rsid w:val="002A032C"/>
    <w:rsid w:val="002A2F13"/>
    <w:rsid w:val="002A558D"/>
    <w:rsid w:val="002B00CD"/>
    <w:rsid w:val="002B22DF"/>
    <w:rsid w:val="002B2F8D"/>
    <w:rsid w:val="002B3729"/>
    <w:rsid w:val="002B41BE"/>
    <w:rsid w:val="002C2A3F"/>
    <w:rsid w:val="002C4A8A"/>
    <w:rsid w:val="002C5069"/>
    <w:rsid w:val="002C6041"/>
    <w:rsid w:val="002C65CB"/>
    <w:rsid w:val="002C7826"/>
    <w:rsid w:val="002C7B96"/>
    <w:rsid w:val="002D0E1C"/>
    <w:rsid w:val="002D0E91"/>
    <w:rsid w:val="002D17CC"/>
    <w:rsid w:val="002D559E"/>
    <w:rsid w:val="002D5D35"/>
    <w:rsid w:val="002D6412"/>
    <w:rsid w:val="002D70E0"/>
    <w:rsid w:val="002E15C2"/>
    <w:rsid w:val="002E344F"/>
    <w:rsid w:val="002E6B2D"/>
    <w:rsid w:val="002E772D"/>
    <w:rsid w:val="002F2EF7"/>
    <w:rsid w:val="002F6C75"/>
    <w:rsid w:val="003014AA"/>
    <w:rsid w:val="00302A25"/>
    <w:rsid w:val="00302ED9"/>
    <w:rsid w:val="00304DA7"/>
    <w:rsid w:val="0030712E"/>
    <w:rsid w:val="00307479"/>
    <w:rsid w:val="00307FBD"/>
    <w:rsid w:val="00311F74"/>
    <w:rsid w:val="00315E03"/>
    <w:rsid w:val="0031657D"/>
    <w:rsid w:val="0031741B"/>
    <w:rsid w:val="003213CA"/>
    <w:rsid w:val="003219B5"/>
    <w:rsid w:val="00321FD3"/>
    <w:rsid w:val="0032221E"/>
    <w:rsid w:val="003233D2"/>
    <w:rsid w:val="003238A9"/>
    <w:rsid w:val="00324D1F"/>
    <w:rsid w:val="00325E7B"/>
    <w:rsid w:val="003272C6"/>
    <w:rsid w:val="003276D6"/>
    <w:rsid w:val="003303C2"/>
    <w:rsid w:val="00331F6A"/>
    <w:rsid w:val="003329CF"/>
    <w:rsid w:val="00332FF2"/>
    <w:rsid w:val="00334125"/>
    <w:rsid w:val="003352D5"/>
    <w:rsid w:val="00337CB8"/>
    <w:rsid w:val="0034006C"/>
    <w:rsid w:val="0034108A"/>
    <w:rsid w:val="00344824"/>
    <w:rsid w:val="003455EA"/>
    <w:rsid w:val="00345958"/>
    <w:rsid w:val="00346653"/>
    <w:rsid w:val="00350A8F"/>
    <w:rsid w:val="00350C00"/>
    <w:rsid w:val="00350F6A"/>
    <w:rsid w:val="00353436"/>
    <w:rsid w:val="00353901"/>
    <w:rsid w:val="00355F14"/>
    <w:rsid w:val="00357F1D"/>
    <w:rsid w:val="00361A2C"/>
    <w:rsid w:val="00362613"/>
    <w:rsid w:val="00362DFF"/>
    <w:rsid w:val="003649D4"/>
    <w:rsid w:val="003651ED"/>
    <w:rsid w:val="00370F3D"/>
    <w:rsid w:val="00371465"/>
    <w:rsid w:val="00371CFE"/>
    <w:rsid w:val="00373D0B"/>
    <w:rsid w:val="00374CA1"/>
    <w:rsid w:val="0037540A"/>
    <w:rsid w:val="00375F26"/>
    <w:rsid w:val="0037628B"/>
    <w:rsid w:val="00376FB0"/>
    <w:rsid w:val="0037737F"/>
    <w:rsid w:val="00377E1F"/>
    <w:rsid w:val="003809C1"/>
    <w:rsid w:val="0038111A"/>
    <w:rsid w:val="003832B4"/>
    <w:rsid w:val="00383606"/>
    <w:rsid w:val="00385492"/>
    <w:rsid w:val="0038708A"/>
    <w:rsid w:val="003911F5"/>
    <w:rsid w:val="00391D66"/>
    <w:rsid w:val="003938F1"/>
    <w:rsid w:val="003A0FBC"/>
    <w:rsid w:val="003A1CE2"/>
    <w:rsid w:val="003A33F2"/>
    <w:rsid w:val="003A361B"/>
    <w:rsid w:val="003B6045"/>
    <w:rsid w:val="003B682F"/>
    <w:rsid w:val="003B6DF3"/>
    <w:rsid w:val="003C0E20"/>
    <w:rsid w:val="003C2757"/>
    <w:rsid w:val="003C4775"/>
    <w:rsid w:val="003C554E"/>
    <w:rsid w:val="003C76E3"/>
    <w:rsid w:val="003D01F3"/>
    <w:rsid w:val="003D129B"/>
    <w:rsid w:val="003D1FCD"/>
    <w:rsid w:val="003D2449"/>
    <w:rsid w:val="003D2E5A"/>
    <w:rsid w:val="003D3113"/>
    <w:rsid w:val="003D77B0"/>
    <w:rsid w:val="003E0BC7"/>
    <w:rsid w:val="003E4680"/>
    <w:rsid w:val="003E4B18"/>
    <w:rsid w:val="003E62F3"/>
    <w:rsid w:val="003E64C7"/>
    <w:rsid w:val="003E6981"/>
    <w:rsid w:val="003E7185"/>
    <w:rsid w:val="003E7631"/>
    <w:rsid w:val="003F1034"/>
    <w:rsid w:val="003F10B7"/>
    <w:rsid w:val="003F37F5"/>
    <w:rsid w:val="003F618F"/>
    <w:rsid w:val="003F63F0"/>
    <w:rsid w:val="004012E7"/>
    <w:rsid w:val="004057F2"/>
    <w:rsid w:val="0041102F"/>
    <w:rsid w:val="00411304"/>
    <w:rsid w:val="004115C7"/>
    <w:rsid w:val="004139D9"/>
    <w:rsid w:val="00414AC4"/>
    <w:rsid w:val="00416761"/>
    <w:rsid w:val="0041682F"/>
    <w:rsid w:val="00416B80"/>
    <w:rsid w:val="00420326"/>
    <w:rsid w:val="0042361F"/>
    <w:rsid w:val="00423D2E"/>
    <w:rsid w:val="00425446"/>
    <w:rsid w:val="004302B1"/>
    <w:rsid w:val="00431C75"/>
    <w:rsid w:val="0043463E"/>
    <w:rsid w:val="00434C63"/>
    <w:rsid w:val="00435E7F"/>
    <w:rsid w:val="0044178B"/>
    <w:rsid w:val="00442191"/>
    <w:rsid w:val="00442C77"/>
    <w:rsid w:val="004439FF"/>
    <w:rsid w:val="00446C96"/>
    <w:rsid w:val="00446E63"/>
    <w:rsid w:val="004500A5"/>
    <w:rsid w:val="004502CD"/>
    <w:rsid w:val="00452951"/>
    <w:rsid w:val="00452AE0"/>
    <w:rsid w:val="00453909"/>
    <w:rsid w:val="004573BA"/>
    <w:rsid w:val="00461BEA"/>
    <w:rsid w:val="00461F03"/>
    <w:rsid w:val="0046205F"/>
    <w:rsid w:val="0046483C"/>
    <w:rsid w:val="00464893"/>
    <w:rsid w:val="00465BDE"/>
    <w:rsid w:val="004662C9"/>
    <w:rsid w:val="00466C82"/>
    <w:rsid w:val="0047062D"/>
    <w:rsid w:val="00472F21"/>
    <w:rsid w:val="00473296"/>
    <w:rsid w:val="004753EF"/>
    <w:rsid w:val="004759AA"/>
    <w:rsid w:val="00475B0B"/>
    <w:rsid w:val="004768EB"/>
    <w:rsid w:val="004773FF"/>
    <w:rsid w:val="004801FD"/>
    <w:rsid w:val="00483208"/>
    <w:rsid w:val="004838C9"/>
    <w:rsid w:val="004843E0"/>
    <w:rsid w:val="00487C27"/>
    <w:rsid w:val="004900DD"/>
    <w:rsid w:val="004908D6"/>
    <w:rsid w:val="00490C50"/>
    <w:rsid w:val="00491508"/>
    <w:rsid w:val="00493132"/>
    <w:rsid w:val="0049377E"/>
    <w:rsid w:val="00494819"/>
    <w:rsid w:val="0049518E"/>
    <w:rsid w:val="00495407"/>
    <w:rsid w:val="004964A5"/>
    <w:rsid w:val="00496E7D"/>
    <w:rsid w:val="004A0900"/>
    <w:rsid w:val="004A2210"/>
    <w:rsid w:val="004A46D7"/>
    <w:rsid w:val="004A6968"/>
    <w:rsid w:val="004A6C1E"/>
    <w:rsid w:val="004B00D4"/>
    <w:rsid w:val="004B07AE"/>
    <w:rsid w:val="004B0ADB"/>
    <w:rsid w:val="004B2554"/>
    <w:rsid w:val="004B3290"/>
    <w:rsid w:val="004B3640"/>
    <w:rsid w:val="004B3B88"/>
    <w:rsid w:val="004B3FAB"/>
    <w:rsid w:val="004B4A2A"/>
    <w:rsid w:val="004B6ABC"/>
    <w:rsid w:val="004B6EFD"/>
    <w:rsid w:val="004B7374"/>
    <w:rsid w:val="004B7C27"/>
    <w:rsid w:val="004C2138"/>
    <w:rsid w:val="004C3BAC"/>
    <w:rsid w:val="004C5596"/>
    <w:rsid w:val="004C56F8"/>
    <w:rsid w:val="004C5BC4"/>
    <w:rsid w:val="004C5F6A"/>
    <w:rsid w:val="004C6180"/>
    <w:rsid w:val="004D0B8A"/>
    <w:rsid w:val="004D2C28"/>
    <w:rsid w:val="004D3F3C"/>
    <w:rsid w:val="004D52DA"/>
    <w:rsid w:val="004D552D"/>
    <w:rsid w:val="004D701E"/>
    <w:rsid w:val="004D77D7"/>
    <w:rsid w:val="004D79C7"/>
    <w:rsid w:val="004E13E1"/>
    <w:rsid w:val="004E1A74"/>
    <w:rsid w:val="004E1DE4"/>
    <w:rsid w:val="004E22B7"/>
    <w:rsid w:val="004E4779"/>
    <w:rsid w:val="004E5BA1"/>
    <w:rsid w:val="004E7953"/>
    <w:rsid w:val="004E7E8A"/>
    <w:rsid w:val="004F0ACF"/>
    <w:rsid w:val="004F117D"/>
    <w:rsid w:val="004F121B"/>
    <w:rsid w:val="004F1E1F"/>
    <w:rsid w:val="004F2447"/>
    <w:rsid w:val="004F448F"/>
    <w:rsid w:val="004F5498"/>
    <w:rsid w:val="004F7522"/>
    <w:rsid w:val="00500438"/>
    <w:rsid w:val="0050302F"/>
    <w:rsid w:val="00503BE5"/>
    <w:rsid w:val="00506B4B"/>
    <w:rsid w:val="0050796F"/>
    <w:rsid w:val="005103AD"/>
    <w:rsid w:val="005113AC"/>
    <w:rsid w:val="00511802"/>
    <w:rsid w:val="00514575"/>
    <w:rsid w:val="00514C21"/>
    <w:rsid w:val="00514DDE"/>
    <w:rsid w:val="0051534B"/>
    <w:rsid w:val="00516451"/>
    <w:rsid w:val="005206FC"/>
    <w:rsid w:val="00524732"/>
    <w:rsid w:val="00524AEE"/>
    <w:rsid w:val="00527590"/>
    <w:rsid w:val="005300B2"/>
    <w:rsid w:val="005338B3"/>
    <w:rsid w:val="00535E16"/>
    <w:rsid w:val="005372C8"/>
    <w:rsid w:val="00537AA5"/>
    <w:rsid w:val="0054012A"/>
    <w:rsid w:val="00540EED"/>
    <w:rsid w:val="00542884"/>
    <w:rsid w:val="005434E0"/>
    <w:rsid w:val="00546398"/>
    <w:rsid w:val="00547609"/>
    <w:rsid w:val="00547AA7"/>
    <w:rsid w:val="00547E21"/>
    <w:rsid w:val="005500DA"/>
    <w:rsid w:val="00552123"/>
    <w:rsid w:val="00554ED2"/>
    <w:rsid w:val="00560936"/>
    <w:rsid w:val="005620AA"/>
    <w:rsid w:val="005645A3"/>
    <w:rsid w:val="00564962"/>
    <w:rsid w:val="00565BCF"/>
    <w:rsid w:val="00566060"/>
    <w:rsid w:val="00566762"/>
    <w:rsid w:val="0057150F"/>
    <w:rsid w:val="0057332C"/>
    <w:rsid w:val="00574DC1"/>
    <w:rsid w:val="00574E36"/>
    <w:rsid w:val="005755B6"/>
    <w:rsid w:val="0057664B"/>
    <w:rsid w:val="00576FB5"/>
    <w:rsid w:val="005772F7"/>
    <w:rsid w:val="00577B8A"/>
    <w:rsid w:val="00577D45"/>
    <w:rsid w:val="00580A93"/>
    <w:rsid w:val="00581A7C"/>
    <w:rsid w:val="00581CCA"/>
    <w:rsid w:val="00582905"/>
    <w:rsid w:val="00583899"/>
    <w:rsid w:val="00584043"/>
    <w:rsid w:val="0058688C"/>
    <w:rsid w:val="00591810"/>
    <w:rsid w:val="00592CBF"/>
    <w:rsid w:val="005959AC"/>
    <w:rsid w:val="00597288"/>
    <w:rsid w:val="005A0B32"/>
    <w:rsid w:val="005A1179"/>
    <w:rsid w:val="005A1B27"/>
    <w:rsid w:val="005A2286"/>
    <w:rsid w:val="005A2C96"/>
    <w:rsid w:val="005A6BCB"/>
    <w:rsid w:val="005A78ED"/>
    <w:rsid w:val="005B5159"/>
    <w:rsid w:val="005B6166"/>
    <w:rsid w:val="005B650E"/>
    <w:rsid w:val="005B7D01"/>
    <w:rsid w:val="005C07F6"/>
    <w:rsid w:val="005C0B35"/>
    <w:rsid w:val="005C1434"/>
    <w:rsid w:val="005C2B14"/>
    <w:rsid w:val="005C4CBD"/>
    <w:rsid w:val="005C4E2C"/>
    <w:rsid w:val="005C525E"/>
    <w:rsid w:val="005D1380"/>
    <w:rsid w:val="005D7BF4"/>
    <w:rsid w:val="005D7D29"/>
    <w:rsid w:val="005E0751"/>
    <w:rsid w:val="005E18B5"/>
    <w:rsid w:val="005E1B3D"/>
    <w:rsid w:val="005E28EE"/>
    <w:rsid w:val="005E34A5"/>
    <w:rsid w:val="005E5552"/>
    <w:rsid w:val="005E5999"/>
    <w:rsid w:val="005E7A28"/>
    <w:rsid w:val="005F0871"/>
    <w:rsid w:val="005F0AD8"/>
    <w:rsid w:val="005F11A6"/>
    <w:rsid w:val="005F290F"/>
    <w:rsid w:val="005F3891"/>
    <w:rsid w:val="005F488E"/>
    <w:rsid w:val="005F4F83"/>
    <w:rsid w:val="005F5542"/>
    <w:rsid w:val="005F6F6C"/>
    <w:rsid w:val="005F7051"/>
    <w:rsid w:val="005F7CB3"/>
    <w:rsid w:val="005F7D36"/>
    <w:rsid w:val="0060276C"/>
    <w:rsid w:val="00603917"/>
    <w:rsid w:val="00603D10"/>
    <w:rsid w:val="0060424E"/>
    <w:rsid w:val="00604DED"/>
    <w:rsid w:val="0060537D"/>
    <w:rsid w:val="0060569D"/>
    <w:rsid w:val="00605BD4"/>
    <w:rsid w:val="006069F9"/>
    <w:rsid w:val="00606D16"/>
    <w:rsid w:val="00610C67"/>
    <w:rsid w:val="00613140"/>
    <w:rsid w:val="00614AC8"/>
    <w:rsid w:val="00615851"/>
    <w:rsid w:val="00615981"/>
    <w:rsid w:val="006209C7"/>
    <w:rsid w:val="006211A5"/>
    <w:rsid w:val="00622A83"/>
    <w:rsid w:val="00624B69"/>
    <w:rsid w:val="00624DFE"/>
    <w:rsid w:val="00626433"/>
    <w:rsid w:val="00626579"/>
    <w:rsid w:val="00627D35"/>
    <w:rsid w:val="0063010D"/>
    <w:rsid w:val="00630C8C"/>
    <w:rsid w:val="0063256C"/>
    <w:rsid w:val="00633BAA"/>
    <w:rsid w:val="00635303"/>
    <w:rsid w:val="00635AB8"/>
    <w:rsid w:val="0063770E"/>
    <w:rsid w:val="00641131"/>
    <w:rsid w:val="00644B36"/>
    <w:rsid w:val="00644FE0"/>
    <w:rsid w:val="00645C56"/>
    <w:rsid w:val="00645E4B"/>
    <w:rsid w:val="00645FE3"/>
    <w:rsid w:val="006472DF"/>
    <w:rsid w:val="0065028A"/>
    <w:rsid w:val="006512F6"/>
    <w:rsid w:val="0065182D"/>
    <w:rsid w:val="00653E0F"/>
    <w:rsid w:val="0065427B"/>
    <w:rsid w:val="00656AEA"/>
    <w:rsid w:val="00656D83"/>
    <w:rsid w:val="006605F2"/>
    <w:rsid w:val="00662F2D"/>
    <w:rsid w:val="0066595C"/>
    <w:rsid w:val="0066667B"/>
    <w:rsid w:val="0067013A"/>
    <w:rsid w:val="00671829"/>
    <w:rsid w:val="00672A10"/>
    <w:rsid w:val="006738C9"/>
    <w:rsid w:val="00673DDC"/>
    <w:rsid w:val="006752D2"/>
    <w:rsid w:val="00675F90"/>
    <w:rsid w:val="0067686C"/>
    <w:rsid w:val="006775AC"/>
    <w:rsid w:val="00677D48"/>
    <w:rsid w:val="00681D08"/>
    <w:rsid w:val="00683331"/>
    <w:rsid w:val="00683D0E"/>
    <w:rsid w:val="006850B9"/>
    <w:rsid w:val="006872D0"/>
    <w:rsid w:val="00687D94"/>
    <w:rsid w:val="0069074B"/>
    <w:rsid w:val="00690EE4"/>
    <w:rsid w:val="006929B5"/>
    <w:rsid w:val="006938C7"/>
    <w:rsid w:val="00693B1F"/>
    <w:rsid w:val="006945F1"/>
    <w:rsid w:val="00695461"/>
    <w:rsid w:val="006A0CAC"/>
    <w:rsid w:val="006A2121"/>
    <w:rsid w:val="006A5784"/>
    <w:rsid w:val="006A6468"/>
    <w:rsid w:val="006B237C"/>
    <w:rsid w:val="006B489B"/>
    <w:rsid w:val="006B4DAF"/>
    <w:rsid w:val="006B527B"/>
    <w:rsid w:val="006B5F38"/>
    <w:rsid w:val="006B5FB0"/>
    <w:rsid w:val="006B69F5"/>
    <w:rsid w:val="006B6A80"/>
    <w:rsid w:val="006B6BC0"/>
    <w:rsid w:val="006B79CE"/>
    <w:rsid w:val="006C0A14"/>
    <w:rsid w:val="006C0FD6"/>
    <w:rsid w:val="006C2DDF"/>
    <w:rsid w:val="006C365F"/>
    <w:rsid w:val="006C48BD"/>
    <w:rsid w:val="006C4CCD"/>
    <w:rsid w:val="006C5B0A"/>
    <w:rsid w:val="006C636D"/>
    <w:rsid w:val="006D0B77"/>
    <w:rsid w:val="006D11CA"/>
    <w:rsid w:val="006D4769"/>
    <w:rsid w:val="006D54E8"/>
    <w:rsid w:val="006E0978"/>
    <w:rsid w:val="006E0DA0"/>
    <w:rsid w:val="006E387A"/>
    <w:rsid w:val="006E4252"/>
    <w:rsid w:val="006E4D7A"/>
    <w:rsid w:val="006E4F4F"/>
    <w:rsid w:val="006E6538"/>
    <w:rsid w:val="006E7E41"/>
    <w:rsid w:val="006F19AE"/>
    <w:rsid w:val="006F1A6D"/>
    <w:rsid w:val="006F204A"/>
    <w:rsid w:val="006F2397"/>
    <w:rsid w:val="006F3932"/>
    <w:rsid w:val="006F41DC"/>
    <w:rsid w:val="006F4309"/>
    <w:rsid w:val="006F4887"/>
    <w:rsid w:val="006F5732"/>
    <w:rsid w:val="006F624C"/>
    <w:rsid w:val="006F779A"/>
    <w:rsid w:val="007009A7"/>
    <w:rsid w:val="007016BA"/>
    <w:rsid w:val="00705F0F"/>
    <w:rsid w:val="00706125"/>
    <w:rsid w:val="00707C1B"/>
    <w:rsid w:val="00711655"/>
    <w:rsid w:val="00711B68"/>
    <w:rsid w:val="007136BC"/>
    <w:rsid w:val="0071494D"/>
    <w:rsid w:val="007154D5"/>
    <w:rsid w:val="007168BE"/>
    <w:rsid w:val="0072062E"/>
    <w:rsid w:val="00720B63"/>
    <w:rsid w:val="007220A7"/>
    <w:rsid w:val="00723BFD"/>
    <w:rsid w:val="00725895"/>
    <w:rsid w:val="007311F6"/>
    <w:rsid w:val="0073134B"/>
    <w:rsid w:val="007317A5"/>
    <w:rsid w:val="00731B2D"/>
    <w:rsid w:val="0073290D"/>
    <w:rsid w:val="0073595B"/>
    <w:rsid w:val="00737C48"/>
    <w:rsid w:val="0074037F"/>
    <w:rsid w:val="00740B60"/>
    <w:rsid w:val="00741E6D"/>
    <w:rsid w:val="00742555"/>
    <w:rsid w:val="007454CA"/>
    <w:rsid w:val="00746D97"/>
    <w:rsid w:val="007472F3"/>
    <w:rsid w:val="007504BF"/>
    <w:rsid w:val="00750D66"/>
    <w:rsid w:val="00752328"/>
    <w:rsid w:val="00756FF7"/>
    <w:rsid w:val="007570DD"/>
    <w:rsid w:val="007579A1"/>
    <w:rsid w:val="007579D1"/>
    <w:rsid w:val="00760CA1"/>
    <w:rsid w:val="0076189B"/>
    <w:rsid w:val="00761EBE"/>
    <w:rsid w:val="00762CBA"/>
    <w:rsid w:val="0076404D"/>
    <w:rsid w:val="00770E9C"/>
    <w:rsid w:val="00771EBB"/>
    <w:rsid w:val="007721AE"/>
    <w:rsid w:val="00773261"/>
    <w:rsid w:val="00773657"/>
    <w:rsid w:val="00773CC1"/>
    <w:rsid w:val="007743C1"/>
    <w:rsid w:val="00777DC4"/>
    <w:rsid w:val="00780821"/>
    <w:rsid w:val="00781578"/>
    <w:rsid w:val="00782FF8"/>
    <w:rsid w:val="0078763B"/>
    <w:rsid w:val="0078779E"/>
    <w:rsid w:val="00787A9E"/>
    <w:rsid w:val="007908D2"/>
    <w:rsid w:val="007909EB"/>
    <w:rsid w:val="00791B8E"/>
    <w:rsid w:val="00791C58"/>
    <w:rsid w:val="0079297C"/>
    <w:rsid w:val="007932C0"/>
    <w:rsid w:val="00797558"/>
    <w:rsid w:val="0079799F"/>
    <w:rsid w:val="007A0CEF"/>
    <w:rsid w:val="007A0E2B"/>
    <w:rsid w:val="007A3050"/>
    <w:rsid w:val="007A3159"/>
    <w:rsid w:val="007A3299"/>
    <w:rsid w:val="007A3A9C"/>
    <w:rsid w:val="007A3CD5"/>
    <w:rsid w:val="007A408D"/>
    <w:rsid w:val="007B13AA"/>
    <w:rsid w:val="007B2676"/>
    <w:rsid w:val="007B3256"/>
    <w:rsid w:val="007B6374"/>
    <w:rsid w:val="007B7790"/>
    <w:rsid w:val="007C1F73"/>
    <w:rsid w:val="007C444A"/>
    <w:rsid w:val="007C4E6B"/>
    <w:rsid w:val="007C6C8D"/>
    <w:rsid w:val="007C7BF5"/>
    <w:rsid w:val="007D0206"/>
    <w:rsid w:val="007D16D3"/>
    <w:rsid w:val="007D2FE6"/>
    <w:rsid w:val="007D64A8"/>
    <w:rsid w:val="007D686E"/>
    <w:rsid w:val="007D6CB5"/>
    <w:rsid w:val="007D7717"/>
    <w:rsid w:val="007E0B01"/>
    <w:rsid w:val="007E0B6C"/>
    <w:rsid w:val="007E1A6C"/>
    <w:rsid w:val="007E1B7F"/>
    <w:rsid w:val="007E4653"/>
    <w:rsid w:val="007E4E2B"/>
    <w:rsid w:val="007E5201"/>
    <w:rsid w:val="007E584F"/>
    <w:rsid w:val="007E5AE9"/>
    <w:rsid w:val="007E62CC"/>
    <w:rsid w:val="007E6DDA"/>
    <w:rsid w:val="007F0445"/>
    <w:rsid w:val="007F09E6"/>
    <w:rsid w:val="007F3A4E"/>
    <w:rsid w:val="007F42AD"/>
    <w:rsid w:val="007F644C"/>
    <w:rsid w:val="007F768A"/>
    <w:rsid w:val="007F7839"/>
    <w:rsid w:val="0080131A"/>
    <w:rsid w:val="0080233E"/>
    <w:rsid w:val="00802596"/>
    <w:rsid w:val="00802FDF"/>
    <w:rsid w:val="00803195"/>
    <w:rsid w:val="00804874"/>
    <w:rsid w:val="00807AF8"/>
    <w:rsid w:val="00810800"/>
    <w:rsid w:val="00811739"/>
    <w:rsid w:val="00811B3E"/>
    <w:rsid w:val="008122B1"/>
    <w:rsid w:val="00812A08"/>
    <w:rsid w:val="00812B2A"/>
    <w:rsid w:val="00812F6B"/>
    <w:rsid w:val="00813E41"/>
    <w:rsid w:val="008142E2"/>
    <w:rsid w:val="0081454A"/>
    <w:rsid w:val="0081535D"/>
    <w:rsid w:val="00815395"/>
    <w:rsid w:val="00815631"/>
    <w:rsid w:val="00820672"/>
    <w:rsid w:val="00822CB9"/>
    <w:rsid w:val="00823561"/>
    <w:rsid w:val="008244DE"/>
    <w:rsid w:val="00825251"/>
    <w:rsid w:val="00825ADE"/>
    <w:rsid w:val="0082625D"/>
    <w:rsid w:val="00827979"/>
    <w:rsid w:val="00827EC8"/>
    <w:rsid w:val="008303DC"/>
    <w:rsid w:val="00830DF8"/>
    <w:rsid w:val="0083191B"/>
    <w:rsid w:val="00831E24"/>
    <w:rsid w:val="0083302B"/>
    <w:rsid w:val="008349E6"/>
    <w:rsid w:val="00834BE8"/>
    <w:rsid w:val="008350E3"/>
    <w:rsid w:val="008373C6"/>
    <w:rsid w:val="00840270"/>
    <w:rsid w:val="008402C9"/>
    <w:rsid w:val="00840ABE"/>
    <w:rsid w:val="00842926"/>
    <w:rsid w:val="00843A7A"/>
    <w:rsid w:val="00844535"/>
    <w:rsid w:val="00844949"/>
    <w:rsid w:val="00846FB2"/>
    <w:rsid w:val="0085133A"/>
    <w:rsid w:val="008523D5"/>
    <w:rsid w:val="00855D04"/>
    <w:rsid w:val="008565C8"/>
    <w:rsid w:val="00856E66"/>
    <w:rsid w:val="00860689"/>
    <w:rsid w:val="00861FE0"/>
    <w:rsid w:val="00862A54"/>
    <w:rsid w:val="00862B79"/>
    <w:rsid w:val="00862C88"/>
    <w:rsid w:val="008635F7"/>
    <w:rsid w:val="008676F7"/>
    <w:rsid w:val="00871226"/>
    <w:rsid w:val="00871275"/>
    <w:rsid w:val="00872B37"/>
    <w:rsid w:val="00876517"/>
    <w:rsid w:val="00877173"/>
    <w:rsid w:val="00877BA2"/>
    <w:rsid w:val="00877F28"/>
    <w:rsid w:val="008814F4"/>
    <w:rsid w:val="00882133"/>
    <w:rsid w:val="00886E92"/>
    <w:rsid w:val="00887F08"/>
    <w:rsid w:val="0089059F"/>
    <w:rsid w:val="008921F2"/>
    <w:rsid w:val="00893596"/>
    <w:rsid w:val="008936FB"/>
    <w:rsid w:val="00894840"/>
    <w:rsid w:val="00895606"/>
    <w:rsid w:val="008963CA"/>
    <w:rsid w:val="00896AAE"/>
    <w:rsid w:val="008A146E"/>
    <w:rsid w:val="008A2529"/>
    <w:rsid w:val="008A33EA"/>
    <w:rsid w:val="008A372D"/>
    <w:rsid w:val="008A3F2A"/>
    <w:rsid w:val="008A51C0"/>
    <w:rsid w:val="008B0691"/>
    <w:rsid w:val="008B074D"/>
    <w:rsid w:val="008B4F8B"/>
    <w:rsid w:val="008B5EFF"/>
    <w:rsid w:val="008B6EE7"/>
    <w:rsid w:val="008B7B57"/>
    <w:rsid w:val="008B7FA4"/>
    <w:rsid w:val="008C0109"/>
    <w:rsid w:val="008C0597"/>
    <w:rsid w:val="008C1D8C"/>
    <w:rsid w:val="008C269B"/>
    <w:rsid w:val="008C5891"/>
    <w:rsid w:val="008C58B7"/>
    <w:rsid w:val="008C6BA7"/>
    <w:rsid w:val="008C7159"/>
    <w:rsid w:val="008C738D"/>
    <w:rsid w:val="008C7495"/>
    <w:rsid w:val="008D1EF8"/>
    <w:rsid w:val="008D5270"/>
    <w:rsid w:val="008D5822"/>
    <w:rsid w:val="008D5D1A"/>
    <w:rsid w:val="008D6DD7"/>
    <w:rsid w:val="008D7BFC"/>
    <w:rsid w:val="008E0217"/>
    <w:rsid w:val="008E0705"/>
    <w:rsid w:val="008E0EAA"/>
    <w:rsid w:val="008E268F"/>
    <w:rsid w:val="008E3455"/>
    <w:rsid w:val="008E3EA1"/>
    <w:rsid w:val="008E57FF"/>
    <w:rsid w:val="008E585C"/>
    <w:rsid w:val="008E603B"/>
    <w:rsid w:val="008F115E"/>
    <w:rsid w:val="008F2A33"/>
    <w:rsid w:val="008F2BE3"/>
    <w:rsid w:val="008F6A14"/>
    <w:rsid w:val="00900597"/>
    <w:rsid w:val="00903413"/>
    <w:rsid w:val="00904C4F"/>
    <w:rsid w:val="00905125"/>
    <w:rsid w:val="00905602"/>
    <w:rsid w:val="0090595C"/>
    <w:rsid w:val="00906CB6"/>
    <w:rsid w:val="00912CD0"/>
    <w:rsid w:val="00914D10"/>
    <w:rsid w:val="00916D05"/>
    <w:rsid w:val="0092140D"/>
    <w:rsid w:val="00921DFF"/>
    <w:rsid w:val="00922AFC"/>
    <w:rsid w:val="009247FA"/>
    <w:rsid w:val="0092534F"/>
    <w:rsid w:val="00926518"/>
    <w:rsid w:val="00927FB7"/>
    <w:rsid w:val="0093023C"/>
    <w:rsid w:val="00930B99"/>
    <w:rsid w:val="00930D7C"/>
    <w:rsid w:val="009316DC"/>
    <w:rsid w:val="00931C83"/>
    <w:rsid w:val="0093238B"/>
    <w:rsid w:val="00933E0B"/>
    <w:rsid w:val="00933ED5"/>
    <w:rsid w:val="009363C0"/>
    <w:rsid w:val="00936A95"/>
    <w:rsid w:val="009416BB"/>
    <w:rsid w:val="00944AAD"/>
    <w:rsid w:val="00944FF2"/>
    <w:rsid w:val="009457DD"/>
    <w:rsid w:val="00947BE9"/>
    <w:rsid w:val="00947E2F"/>
    <w:rsid w:val="00947EF2"/>
    <w:rsid w:val="00950EF4"/>
    <w:rsid w:val="00952F0F"/>
    <w:rsid w:val="00952FA4"/>
    <w:rsid w:val="00955FE1"/>
    <w:rsid w:val="009566FC"/>
    <w:rsid w:val="00956FF2"/>
    <w:rsid w:val="00960AD1"/>
    <w:rsid w:val="00960C95"/>
    <w:rsid w:val="00960CFC"/>
    <w:rsid w:val="00962BA0"/>
    <w:rsid w:val="009630B4"/>
    <w:rsid w:val="0096343C"/>
    <w:rsid w:val="009652AC"/>
    <w:rsid w:val="00966E66"/>
    <w:rsid w:val="009734B7"/>
    <w:rsid w:val="00973D16"/>
    <w:rsid w:val="00974915"/>
    <w:rsid w:val="009800F0"/>
    <w:rsid w:val="0098338A"/>
    <w:rsid w:val="00983D7E"/>
    <w:rsid w:val="00984241"/>
    <w:rsid w:val="009861BA"/>
    <w:rsid w:val="00986F88"/>
    <w:rsid w:val="00987A1D"/>
    <w:rsid w:val="009903D8"/>
    <w:rsid w:val="0099194D"/>
    <w:rsid w:val="0099360A"/>
    <w:rsid w:val="00994070"/>
    <w:rsid w:val="009943E9"/>
    <w:rsid w:val="00995248"/>
    <w:rsid w:val="009956C4"/>
    <w:rsid w:val="00996785"/>
    <w:rsid w:val="00997C57"/>
    <w:rsid w:val="00997FC5"/>
    <w:rsid w:val="009A19A0"/>
    <w:rsid w:val="009A4AB2"/>
    <w:rsid w:val="009A5378"/>
    <w:rsid w:val="009A56CF"/>
    <w:rsid w:val="009A6C9C"/>
    <w:rsid w:val="009B1348"/>
    <w:rsid w:val="009B16D8"/>
    <w:rsid w:val="009B313D"/>
    <w:rsid w:val="009B4DF7"/>
    <w:rsid w:val="009B5AA7"/>
    <w:rsid w:val="009C0D19"/>
    <w:rsid w:val="009C0EC3"/>
    <w:rsid w:val="009C1750"/>
    <w:rsid w:val="009C18CA"/>
    <w:rsid w:val="009C5859"/>
    <w:rsid w:val="009C5918"/>
    <w:rsid w:val="009C6ADA"/>
    <w:rsid w:val="009D0F71"/>
    <w:rsid w:val="009D1864"/>
    <w:rsid w:val="009D204D"/>
    <w:rsid w:val="009D2C7E"/>
    <w:rsid w:val="009D69BA"/>
    <w:rsid w:val="009D6FAB"/>
    <w:rsid w:val="009E162D"/>
    <w:rsid w:val="009E4DF2"/>
    <w:rsid w:val="009E6DAB"/>
    <w:rsid w:val="009E6F89"/>
    <w:rsid w:val="009E7A9F"/>
    <w:rsid w:val="009E7D75"/>
    <w:rsid w:val="009E7DB4"/>
    <w:rsid w:val="009F012C"/>
    <w:rsid w:val="009F03DC"/>
    <w:rsid w:val="009F0D9A"/>
    <w:rsid w:val="009F1834"/>
    <w:rsid w:val="009F19E1"/>
    <w:rsid w:val="009F1C01"/>
    <w:rsid w:val="009F2E9B"/>
    <w:rsid w:val="009F36EF"/>
    <w:rsid w:val="009F3EED"/>
    <w:rsid w:val="009F4256"/>
    <w:rsid w:val="009F5108"/>
    <w:rsid w:val="009F5266"/>
    <w:rsid w:val="009F6104"/>
    <w:rsid w:val="009F7761"/>
    <w:rsid w:val="00A00F40"/>
    <w:rsid w:val="00A01124"/>
    <w:rsid w:val="00A0500F"/>
    <w:rsid w:val="00A0696E"/>
    <w:rsid w:val="00A108D4"/>
    <w:rsid w:val="00A112E5"/>
    <w:rsid w:val="00A11F50"/>
    <w:rsid w:val="00A12A6B"/>
    <w:rsid w:val="00A12EAD"/>
    <w:rsid w:val="00A13A46"/>
    <w:rsid w:val="00A14A49"/>
    <w:rsid w:val="00A14F38"/>
    <w:rsid w:val="00A15674"/>
    <w:rsid w:val="00A20F34"/>
    <w:rsid w:val="00A21002"/>
    <w:rsid w:val="00A220B0"/>
    <w:rsid w:val="00A23F33"/>
    <w:rsid w:val="00A24C97"/>
    <w:rsid w:val="00A27F3A"/>
    <w:rsid w:val="00A314E6"/>
    <w:rsid w:val="00A35726"/>
    <w:rsid w:val="00A35A5F"/>
    <w:rsid w:val="00A378CB"/>
    <w:rsid w:val="00A41424"/>
    <w:rsid w:val="00A42F3B"/>
    <w:rsid w:val="00A46E15"/>
    <w:rsid w:val="00A47793"/>
    <w:rsid w:val="00A50A0D"/>
    <w:rsid w:val="00A50C9B"/>
    <w:rsid w:val="00A511EB"/>
    <w:rsid w:val="00A51911"/>
    <w:rsid w:val="00A53ABE"/>
    <w:rsid w:val="00A56024"/>
    <w:rsid w:val="00A5662B"/>
    <w:rsid w:val="00A56D90"/>
    <w:rsid w:val="00A57BC8"/>
    <w:rsid w:val="00A64363"/>
    <w:rsid w:val="00A647E3"/>
    <w:rsid w:val="00A72424"/>
    <w:rsid w:val="00A72E8E"/>
    <w:rsid w:val="00A75185"/>
    <w:rsid w:val="00A772C6"/>
    <w:rsid w:val="00A775B7"/>
    <w:rsid w:val="00A77E3B"/>
    <w:rsid w:val="00A82CA1"/>
    <w:rsid w:val="00A847C7"/>
    <w:rsid w:val="00A84DD7"/>
    <w:rsid w:val="00A86E19"/>
    <w:rsid w:val="00A91B72"/>
    <w:rsid w:val="00A93440"/>
    <w:rsid w:val="00A94782"/>
    <w:rsid w:val="00AA3071"/>
    <w:rsid w:val="00AA512F"/>
    <w:rsid w:val="00AA5FC4"/>
    <w:rsid w:val="00AA71C2"/>
    <w:rsid w:val="00AA7C08"/>
    <w:rsid w:val="00AA7E65"/>
    <w:rsid w:val="00AB02FA"/>
    <w:rsid w:val="00AB0CD5"/>
    <w:rsid w:val="00AB1C67"/>
    <w:rsid w:val="00AB2AA2"/>
    <w:rsid w:val="00AB2DB6"/>
    <w:rsid w:val="00AB4D8C"/>
    <w:rsid w:val="00AB528B"/>
    <w:rsid w:val="00AB7B53"/>
    <w:rsid w:val="00AB7D01"/>
    <w:rsid w:val="00AC06E9"/>
    <w:rsid w:val="00AC19DC"/>
    <w:rsid w:val="00AC46DC"/>
    <w:rsid w:val="00AC5191"/>
    <w:rsid w:val="00AC5341"/>
    <w:rsid w:val="00AC615F"/>
    <w:rsid w:val="00AC7783"/>
    <w:rsid w:val="00AD07FB"/>
    <w:rsid w:val="00AD0B52"/>
    <w:rsid w:val="00AD1D1E"/>
    <w:rsid w:val="00AD26C6"/>
    <w:rsid w:val="00AD28BB"/>
    <w:rsid w:val="00AD59C7"/>
    <w:rsid w:val="00AD5D5A"/>
    <w:rsid w:val="00AD6510"/>
    <w:rsid w:val="00AD726D"/>
    <w:rsid w:val="00AD7AFB"/>
    <w:rsid w:val="00AE0395"/>
    <w:rsid w:val="00AE0D03"/>
    <w:rsid w:val="00AE0D0D"/>
    <w:rsid w:val="00AE14D5"/>
    <w:rsid w:val="00AE1953"/>
    <w:rsid w:val="00AE1BC4"/>
    <w:rsid w:val="00AE1DFC"/>
    <w:rsid w:val="00AE29F7"/>
    <w:rsid w:val="00AE3E0F"/>
    <w:rsid w:val="00AE56FB"/>
    <w:rsid w:val="00AE5925"/>
    <w:rsid w:val="00AF03E3"/>
    <w:rsid w:val="00AF13CC"/>
    <w:rsid w:val="00AF1B01"/>
    <w:rsid w:val="00AF1BAE"/>
    <w:rsid w:val="00AF23A8"/>
    <w:rsid w:val="00AF2642"/>
    <w:rsid w:val="00AF2815"/>
    <w:rsid w:val="00AF2D43"/>
    <w:rsid w:val="00AF35D0"/>
    <w:rsid w:val="00AF3F19"/>
    <w:rsid w:val="00AF77BC"/>
    <w:rsid w:val="00B078DA"/>
    <w:rsid w:val="00B11228"/>
    <w:rsid w:val="00B11E00"/>
    <w:rsid w:val="00B12422"/>
    <w:rsid w:val="00B12FA9"/>
    <w:rsid w:val="00B14047"/>
    <w:rsid w:val="00B14466"/>
    <w:rsid w:val="00B177B7"/>
    <w:rsid w:val="00B17DC6"/>
    <w:rsid w:val="00B17FD8"/>
    <w:rsid w:val="00B21896"/>
    <w:rsid w:val="00B22308"/>
    <w:rsid w:val="00B26E0F"/>
    <w:rsid w:val="00B27653"/>
    <w:rsid w:val="00B31E01"/>
    <w:rsid w:val="00B34BD9"/>
    <w:rsid w:val="00B3573C"/>
    <w:rsid w:val="00B35B5A"/>
    <w:rsid w:val="00B402AB"/>
    <w:rsid w:val="00B4144B"/>
    <w:rsid w:val="00B41A08"/>
    <w:rsid w:val="00B46790"/>
    <w:rsid w:val="00B51AC4"/>
    <w:rsid w:val="00B52ABC"/>
    <w:rsid w:val="00B55BAE"/>
    <w:rsid w:val="00B55F18"/>
    <w:rsid w:val="00B5757F"/>
    <w:rsid w:val="00B57E1D"/>
    <w:rsid w:val="00B612F9"/>
    <w:rsid w:val="00B6151B"/>
    <w:rsid w:val="00B62A13"/>
    <w:rsid w:val="00B6504B"/>
    <w:rsid w:val="00B6565C"/>
    <w:rsid w:val="00B66926"/>
    <w:rsid w:val="00B67C37"/>
    <w:rsid w:val="00B7152E"/>
    <w:rsid w:val="00B732AE"/>
    <w:rsid w:val="00B73830"/>
    <w:rsid w:val="00B73ACA"/>
    <w:rsid w:val="00B76527"/>
    <w:rsid w:val="00B76E02"/>
    <w:rsid w:val="00B76F2D"/>
    <w:rsid w:val="00B7748E"/>
    <w:rsid w:val="00B80E0C"/>
    <w:rsid w:val="00B812B2"/>
    <w:rsid w:val="00B87347"/>
    <w:rsid w:val="00B8760D"/>
    <w:rsid w:val="00B878CA"/>
    <w:rsid w:val="00B911D8"/>
    <w:rsid w:val="00B91F91"/>
    <w:rsid w:val="00B93038"/>
    <w:rsid w:val="00B9695C"/>
    <w:rsid w:val="00B9704D"/>
    <w:rsid w:val="00B976EB"/>
    <w:rsid w:val="00BA2C48"/>
    <w:rsid w:val="00BA2E47"/>
    <w:rsid w:val="00BA4990"/>
    <w:rsid w:val="00BB221A"/>
    <w:rsid w:val="00BB241F"/>
    <w:rsid w:val="00BB269D"/>
    <w:rsid w:val="00BB37DB"/>
    <w:rsid w:val="00BB3D8F"/>
    <w:rsid w:val="00BB5B73"/>
    <w:rsid w:val="00BB6B78"/>
    <w:rsid w:val="00BB74D8"/>
    <w:rsid w:val="00BC1523"/>
    <w:rsid w:val="00BC16AE"/>
    <w:rsid w:val="00BC1841"/>
    <w:rsid w:val="00BC1D8B"/>
    <w:rsid w:val="00BC21BA"/>
    <w:rsid w:val="00BC27BF"/>
    <w:rsid w:val="00BC30DB"/>
    <w:rsid w:val="00BC400B"/>
    <w:rsid w:val="00BC5B9D"/>
    <w:rsid w:val="00BD160A"/>
    <w:rsid w:val="00BD1A18"/>
    <w:rsid w:val="00BD2761"/>
    <w:rsid w:val="00BD2E54"/>
    <w:rsid w:val="00BD35C9"/>
    <w:rsid w:val="00BD43F9"/>
    <w:rsid w:val="00BD50FA"/>
    <w:rsid w:val="00BD672B"/>
    <w:rsid w:val="00BD7DB3"/>
    <w:rsid w:val="00BE0B64"/>
    <w:rsid w:val="00BE12F8"/>
    <w:rsid w:val="00BE318F"/>
    <w:rsid w:val="00BE3F00"/>
    <w:rsid w:val="00BE4225"/>
    <w:rsid w:val="00BE42CF"/>
    <w:rsid w:val="00BE4C23"/>
    <w:rsid w:val="00BE6972"/>
    <w:rsid w:val="00BF0820"/>
    <w:rsid w:val="00BF0975"/>
    <w:rsid w:val="00BF1ECE"/>
    <w:rsid w:val="00BF3768"/>
    <w:rsid w:val="00BF5442"/>
    <w:rsid w:val="00BF5695"/>
    <w:rsid w:val="00BF5D55"/>
    <w:rsid w:val="00BF689C"/>
    <w:rsid w:val="00BF71FA"/>
    <w:rsid w:val="00BF7785"/>
    <w:rsid w:val="00BF7B99"/>
    <w:rsid w:val="00C009DA"/>
    <w:rsid w:val="00C02003"/>
    <w:rsid w:val="00C04EB9"/>
    <w:rsid w:val="00C05E75"/>
    <w:rsid w:val="00C05F69"/>
    <w:rsid w:val="00C06661"/>
    <w:rsid w:val="00C06B65"/>
    <w:rsid w:val="00C110B0"/>
    <w:rsid w:val="00C1264A"/>
    <w:rsid w:val="00C14DFB"/>
    <w:rsid w:val="00C150D8"/>
    <w:rsid w:val="00C16EA8"/>
    <w:rsid w:val="00C25988"/>
    <w:rsid w:val="00C27315"/>
    <w:rsid w:val="00C309F0"/>
    <w:rsid w:val="00C30CE9"/>
    <w:rsid w:val="00C31838"/>
    <w:rsid w:val="00C3600C"/>
    <w:rsid w:val="00C36522"/>
    <w:rsid w:val="00C40606"/>
    <w:rsid w:val="00C40B94"/>
    <w:rsid w:val="00C41D54"/>
    <w:rsid w:val="00C47419"/>
    <w:rsid w:val="00C5045D"/>
    <w:rsid w:val="00C50A02"/>
    <w:rsid w:val="00C54256"/>
    <w:rsid w:val="00C54E27"/>
    <w:rsid w:val="00C5515F"/>
    <w:rsid w:val="00C565C6"/>
    <w:rsid w:val="00C56E1E"/>
    <w:rsid w:val="00C56E35"/>
    <w:rsid w:val="00C6071F"/>
    <w:rsid w:val="00C612BA"/>
    <w:rsid w:val="00C63BC5"/>
    <w:rsid w:val="00C6450E"/>
    <w:rsid w:val="00C65235"/>
    <w:rsid w:val="00C70006"/>
    <w:rsid w:val="00C72E2D"/>
    <w:rsid w:val="00C7543C"/>
    <w:rsid w:val="00C77408"/>
    <w:rsid w:val="00C77A89"/>
    <w:rsid w:val="00C814F1"/>
    <w:rsid w:val="00C81B46"/>
    <w:rsid w:val="00C81DFB"/>
    <w:rsid w:val="00C82A5B"/>
    <w:rsid w:val="00C85D68"/>
    <w:rsid w:val="00C86C2F"/>
    <w:rsid w:val="00C87395"/>
    <w:rsid w:val="00C877B2"/>
    <w:rsid w:val="00C87D03"/>
    <w:rsid w:val="00C9036B"/>
    <w:rsid w:val="00C90A23"/>
    <w:rsid w:val="00C915DF"/>
    <w:rsid w:val="00C91BB3"/>
    <w:rsid w:val="00C94A8D"/>
    <w:rsid w:val="00C94FDA"/>
    <w:rsid w:val="00C953CC"/>
    <w:rsid w:val="00C96556"/>
    <w:rsid w:val="00C97350"/>
    <w:rsid w:val="00C976FA"/>
    <w:rsid w:val="00C97C8F"/>
    <w:rsid w:val="00CA065E"/>
    <w:rsid w:val="00CA2F9C"/>
    <w:rsid w:val="00CA6EE0"/>
    <w:rsid w:val="00CA7DD9"/>
    <w:rsid w:val="00CB1A01"/>
    <w:rsid w:val="00CB32E3"/>
    <w:rsid w:val="00CB3963"/>
    <w:rsid w:val="00CB3B05"/>
    <w:rsid w:val="00CB5F8C"/>
    <w:rsid w:val="00CC1F51"/>
    <w:rsid w:val="00CC23BB"/>
    <w:rsid w:val="00CC4FDE"/>
    <w:rsid w:val="00CC6BCB"/>
    <w:rsid w:val="00CC769C"/>
    <w:rsid w:val="00CD1306"/>
    <w:rsid w:val="00CD135A"/>
    <w:rsid w:val="00CD2605"/>
    <w:rsid w:val="00CD390F"/>
    <w:rsid w:val="00CD6E89"/>
    <w:rsid w:val="00CD6E8A"/>
    <w:rsid w:val="00CD7CF6"/>
    <w:rsid w:val="00CE1134"/>
    <w:rsid w:val="00CE1199"/>
    <w:rsid w:val="00CE4BAD"/>
    <w:rsid w:val="00CE4F81"/>
    <w:rsid w:val="00CE693F"/>
    <w:rsid w:val="00CF0E3F"/>
    <w:rsid w:val="00CF3882"/>
    <w:rsid w:val="00CF6F9A"/>
    <w:rsid w:val="00D00BF5"/>
    <w:rsid w:val="00D01397"/>
    <w:rsid w:val="00D032DD"/>
    <w:rsid w:val="00D07630"/>
    <w:rsid w:val="00D07B70"/>
    <w:rsid w:val="00D105D4"/>
    <w:rsid w:val="00D10983"/>
    <w:rsid w:val="00D10F93"/>
    <w:rsid w:val="00D1137E"/>
    <w:rsid w:val="00D11906"/>
    <w:rsid w:val="00D1557E"/>
    <w:rsid w:val="00D16052"/>
    <w:rsid w:val="00D17FF7"/>
    <w:rsid w:val="00D2040F"/>
    <w:rsid w:val="00D213E4"/>
    <w:rsid w:val="00D23457"/>
    <w:rsid w:val="00D23462"/>
    <w:rsid w:val="00D26680"/>
    <w:rsid w:val="00D303F6"/>
    <w:rsid w:val="00D32280"/>
    <w:rsid w:val="00D33523"/>
    <w:rsid w:val="00D33622"/>
    <w:rsid w:val="00D33692"/>
    <w:rsid w:val="00D33925"/>
    <w:rsid w:val="00D33AC4"/>
    <w:rsid w:val="00D33E56"/>
    <w:rsid w:val="00D3602F"/>
    <w:rsid w:val="00D425C5"/>
    <w:rsid w:val="00D43E70"/>
    <w:rsid w:val="00D4419A"/>
    <w:rsid w:val="00D444B5"/>
    <w:rsid w:val="00D45215"/>
    <w:rsid w:val="00D469ED"/>
    <w:rsid w:val="00D46E8A"/>
    <w:rsid w:val="00D5024D"/>
    <w:rsid w:val="00D51BF2"/>
    <w:rsid w:val="00D52CBB"/>
    <w:rsid w:val="00D5626C"/>
    <w:rsid w:val="00D565E5"/>
    <w:rsid w:val="00D56ADA"/>
    <w:rsid w:val="00D56CE5"/>
    <w:rsid w:val="00D5762C"/>
    <w:rsid w:val="00D62952"/>
    <w:rsid w:val="00D63808"/>
    <w:rsid w:val="00D63C6D"/>
    <w:rsid w:val="00D640A3"/>
    <w:rsid w:val="00D64B21"/>
    <w:rsid w:val="00D6577E"/>
    <w:rsid w:val="00D65F5F"/>
    <w:rsid w:val="00D70494"/>
    <w:rsid w:val="00D71FED"/>
    <w:rsid w:val="00D80048"/>
    <w:rsid w:val="00D80329"/>
    <w:rsid w:val="00D82CD5"/>
    <w:rsid w:val="00D82D96"/>
    <w:rsid w:val="00D834F7"/>
    <w:rsid w:val="00D83972"/>
    <w:rsid w:val="00D83EB8"/>
    <w:rsid w:val="00D85A3C"/>
    <w:rsid w:val="00D86E92"/>
    <w:rsid w:val="00D90CDD"/>
    <w:rsid w:val="00D921C3"/>
    <w:rsid w:val="00D9222C"/>
    <w:rsid w:val="00D92C33"/>
    <w:rsid w:val="00D965DE"/>
    <w:rsid w:val="00D967AF"/>
    <w:rsid w:val="00D96EF6"/>
    <w:rsid w:val="00DA09E7"/>
    <w:rsid w:val="00DA1E3F"/>
    <w:rsid w:val="00DA2A4E"/>
    <w:rsid w:val="00DA2BEC"/>
    <w:rsid w:val="00DA4FCE"/>
    <w:rsid w:val="00DA6312"/>
    <w:rsid w:val="00DA6F77"/>
    <w:rsid w:val="00DB328B"/>
    <w:rsid w:val="00DB3526"/>
    <w:rsid w:val="00DB3932"/>
    <w:rsid w:val="00DB42D3"/>
    <w:rsid w:val="00DB457F"/>
    <w:rsid w:val="00DB5788"/>
    <w:rsid w:val="00DB6192"/>
    <w:rsid w:val="00DC01F1"/>
    <w:rsid w:val="00DC0270"/>
    <w:rsid w:val="00DC09B4"/>
    <w:rsid w:val="00DC1067"/>
    <w:rsid w:val="00DC3584"/>
    <w:rsid w:val="00DC3D11"/>
    <w:rsid w:val="00DC40F6"/>
    <w:rsid w:val="00DC604B"/>
    <w:rsid w:val="00DC665A"/>
    <w:rsid w:val="00DC6740"/>
    <w:rsid w:val="00DC7917"/>
    <w:rsid w:val="00DC7E57"/>
    <w:rsid w:val="00DD08EA"/>
    <w:rsid w:val="00DD272F"/>
    <w:rsid w:val="00DD43E0"/>
    <w:rsid w:val="00DD445B"/>
    <w:rsid w:val="00DD554A"/>
    <w:rsid w:val="00DD732C"/>
    <w:rsid w:val="00DE26A7"/>
    <w:rsid w:val="00DE282A"/>
    <w:rsid w:val="00DE5F65"/>
    <w:rsid w:val="00DF0D6E"/>
    <w:rsid w:val="00DF18EE"/>
    <w:rsid w:val="00DF297F"/>
    <w:rsid w:val="00DF3B8D"/>
    <w:rsid w:val="00DF50A1"/>
    <w:rsid w:val="00E02DB3"/>
    <w:rsid w:val="00E04C9F"/>
    <w:rsid w:val="00E2045C"/>
    <w:rsid w:val="00E2789B"/>
    <w:rsid w:val="00E27B16"/>
    <w:rsid w:val="00E27EE8"/>
    <w:rsid w:val="00E3092C"/>
    <w:rsid w:val="00E30C7F"/>
    <w:rsid w:val="00E31C7A"/>
    <w:rsid w:val="00E33BF7"/>
    <w:rsid w:val="00E40745"/>
    <w:rsid w:val="00E41765"/>
    <w:rsid w:val="00E429F1"/>
    <w:rsid w:val="00E44505"/>
    <w:rsid w:val="00E45D5A"/>
    <w:rsid w:val="00E46D08"/>
    <w:rsid w:val="00E46DBA"/>
    <w:rsid w:val="00E4769C"/>
    <w:rsid w:val="00E47B25"/>
    <w:rsid w:val="00E50144"/>
    <w:rsid w:val="00E520AC"/>
    <w:rsid w:val="00E531AD"/>
    <w:rsid w:val="00E53D5B"/>
    <w:rsid w:val="00E54D93"/>
    <w:rsid w:val="00E55ADC"/>
    <w:rsid w:val="00E56178"/>
    <w:rsid w:val="00E5691A"/>
    <w:rsid w:val="00E5733B"/>
    <w:rsid w:val="00E6265B"/>
    <w:rsid w:val="00E6499D"/>
    <w:rsid w:val="00E7014D"/>
    <w:rsid w:val="00E704C0"/>
    <w:rsid w:val="00E70961"/>
    <w:rsid w:val="00E71063"/>
    <w:rsid w:val="00E71640"/>
    <w:rsid w:val="00E7164D"/>
    <w:rsid w:val="00E7164F"/>
    <w:rsid w:val="00E74275"/>
    <w:rsid w:val="00E767EE"/>
    <w:rsid w:val="00E76833"/>
    <w:rsid w:val="00E8035E"/>
    <w:rsid w:val="00E81B3C"/>
    <w:rsid w:val="00E83887"/>
    <w:rsid w:val="00E866F5"/>
    <w:rsid w:val="00E87837"/>
    <w:rsid w:val="00E87976"/>
    <w:rsid w:val="00E90F67"/>
    <w:rsid w:val="00E92C6C"/>
    <w:rsid w:val="00E93975"/>
    <w:rsid w:val="00E945B7"/>
    <w:rsid w:val="00E9696E"/>
    <w:rsid w:val="00E9701B"/>
    <w:rsid w:val="00EA1B6A"/>
    <w:rsid w:val="00EA1B78"/>
    <w:rsid w:val="00EA3FAF"/>
    <w:rsid w:val="00EA4BD4"/>
    <w:rsid w:val="00EA4D8F"/>
    <w:rsid w:val="00EA502D"/>
    <w:rsid w:val="00EA5901"/>
    <w:rsid w:val="00EB0B34"/>
    <w:rsid w:val="00EB2046"/>
    <w:rsid w:val="00EB290E"/>
    <w:rsid w:val="00EB3620"/>
    <w:rsid w:val="00EB3760"/>
    <w:rsid w:val="00EB40A7"/>
    <w:rsid w:val="00EB4D63"/>
    <w:rsid w:val="00EB5D98"/>
    <w:rsid w:val="00EB6508"/>
    <w:rsid w:val="00EB6648"/>
    <w:rsid w:val="00EC07EC"/>
    <w:rsid w:val="00EC3539"/>
    <w:rsid w:val="00EC39CF"/>
    <w:rsid w:val="00ED136C"/>
    <w:rsid w:val="00ED2677"/>
    <w:rsid w:val="00ED2D7A"/>
    <w:rsid w:val="00ED52B6"/>
    <w:rsid w:val="00ED6708"/>
    <w:rsid w:val="00ED7387"/>
    <w:rsid w:val="00ED753F"/>
    <w:rsid w:val="00EE2803"/>
    <w:rsid w:val="00EE461B"/>
    <w:rsid w:val="00EE4AB7"/>
    <w:rsid w:val="00EE560C"/>
    <w:rsid w:val="00EE56CB"/>
    <w:rsid w:val="00EE58A7"/>
    <w:rsid w:val="00EE70ED"/>
    <w:rsid w:val="00EE7571"/>
    <w:rsid w:val="00EE7B2D"/>
    <w:rsid w:val="00EE7EAB"/>
    <w:rsid w:val="00EF0C13"/>
    <w:rsid w:val="00EF2EA0"/>
    <w:rsid w:val="00EF3C5C"/>
    <w:rsid w:val="00EF3E24"/>
    <w:rsid w:val="00EF5D33"/>
    <w:rsid w:val="00EF5FB6"/>
    <w:rsid w:val="00EF64F8"/>
    <w:rsid w:val="00F03C33"/>
    <w:rsid w:val="00F05AED"/>
    <w:rsid w:val="00F05AF4"/>
    <w:rsid w:val="00F066A8"/>
    <w:rsid w:val="00F1009D"/>
    <w:rsid w:val="00F11818"/>
    <w:rsid w:val="00F119E6"/>
    <w:rsid w:val="00F127CE"/>
    <w:rsid w:val="00F132C7"/>
    <w:rsid w:val="00F14ADE"/>
    <w:rsid w:val="00F153DD"/>
    <w:rsid w:val="00F174A5"/>
    <w:rsid w:val="00F2071D"/>
    <w:rsid w:val="00F20F43"/>
    <w:rsid w:val="00F22A9D"/>
    <w:rsid w:val="00F2426C"/>
    <w:rsid w:val="00F27B6D"/>
    <w:rsid w:val="00F314FC"/>
    <w:rsid w:val="00F3275F"/>
    <w:rsid w:val="00F34574"/>
    <w:rsid w:val="00F3671B"/>
    <w:rsid w:val="00F37FFD"/>
    <w:rsid w:val="00F4103A"/>
    <w:rsid w:val="00F41718"/>
    <w:rsid w:val="00F461D8"/>
    <w:rsid w:val="00F548C8"/>
    <w:rsid w:val="00F551A6"/>
    <w:rsid w:val="00F552B6"/>
    <w:rsid w:val="00F560A3"/>
    <w:rsid w:val="00F56ECD"/>
    <w:rsid w:val="00F57D47"/>
    <w:rsid w:val="00F60DF4"/>
    <w:rsid w:val="00F60F1A"/>
    <w:rsid w:val="00F61161"/>
    <w:rsid w:val="00F618BF"/>
    <w:rsid w:val="00F61E08"/>
    <w:rsid w:val="00F63825"/>
    <w:rsid w:val="00F64283"/>
    <w:rsid w:val="00F64E06"/>
    <w:rsid w:val="00F66D45"/>
    <w:rsid w:val="00F716CE"/>
    <w:rsid w:val="00F71998"/>
    <w:rsid w:val="00F71A23"/>
    <w:rsid w:val="00F71C4D"/>
    <w:rsid w:val="00F75102"/>
    <w:rsid w:val="00F757F5"/>
    <w:rsid w:val="00F75E61"/>
    <w:rsid w:val="00F76586"/>
    <w:rsid w:val="00F77ACF"/>
    <w:rsid w:val="00F81341"/>
    <w:rsid w:val="00F82D50"/>
    <w:rsid w:val="00F83726"/>
    <w:rsid w:val="00F83A8F"/>
    <w:rsid w:val="00F86E03"/>
    <w:rsid w:val="00F90AC2"/>
    <w:rsid w:val="00F90B79"/>
    <w:rsid w:val="00F90FE5"/>
    <w:rsid w:val="00F92C08"/>
    <w:rsid w:val="00F946DB"/>
    <w:rsid w:val="00F94813"/>
    <w:rsid w:val="00F9672D"/>
    <w:rsid w:val="00FA268C"/>
    <w:rsid w:val="00FA34EF"/>
    <w:rsid w:val="00FA4119"/>
    <w:rsid w:val="00FA5BD5"/>
    <w:rsid w:val="00FB165F"/>
    <w:rsid w:val="00FB2632"/>
    <w:rsid w:val="00FB3DB8"/>
    <w:rsid w:val="00FB41CA"/>
    <w:rsid w:val="00FB4940"/>
    <w:rsid w:val="00FB6027"/>
    <w:rsid w:val="00FB632D"/>
    <w:rsid w:val="00FC0FB8"/>
    <w:rsid w:val="00FC1D76"/>
    <w:rsid w:val="00FC4503"/>
    <w:rsid w:val="00FC5F2F"/>
    <w:rsid w:val="00FC7EF9"/>
    <w:rsid w:val="00FD0499"/>
    <w:rsid w:val="00FD117A"/>
    <w:rsid w:val="00FD2351"/>
    <w:rsid w:val="00FD2BEC"/>
    <w:rsid w:val="00FD305E"/>
    <w:rsid w:val="00FD62F0"/>
    <w:rsid w:val="00FE090E"/>
    <w:rsid w:val="00FE0DF7"/>
    <w:rsid w:val="00FE1488"/>
    <w:rsid w:val="00FE65E5"/>
    <w:rsid w:val="00FE66F7"/>
    <w:rsid w:val="00FF0947"/>
    <w:rsid w:val="00FF11B5"/>
    <w:rsid w:val="00FF1864"/>
    <w:rsid w:val="00FF644C"/>
    <w:rsid w:val="00FF654B"/>
    <w:rsid w:val="00FF7F6C"/>
    <w:rsid w:val="0B33000D"/>
    <w:rsid w:val="0BCF377A"/>
    <w:rsid w:val="0D6B07DB"/>
    <w:rsid w:val="11BEB3CA"/>
    <w:rsid w:val="14EC2BE2"/>
    <w:rsid w:val="186F2FC9"/>
    <w:rsid w:val="190FA211"/>
    <w:rsid w:val="1C4BADE2"/>
    <w:rsid w:val="20BEDCE4"/>
    <w:rsid w:val="22F62171"/>
    <w:rsid w:val="242D11EB"/>
    <w:rsid w:val="26236D84"/>
    <w:rsid w:val="2AC983C2"/>
    <w:rsid w:val="2DD4F670"/>
    <w:rsid w:val="33DB17BE"/>
    <w:rsid w:val="35F08E8B"/>
    <w:rsid w:val="35F2037A"/>
    <w:rsid w:val="38D77260"/>
    <w:rsid w:val="487F9CCD"/>
    <w:rsid w:val="4AD35A1F"/>
    <w:rsid w:val="4DF1FE67"/>
    <w:rsid w:val="4EF87CDF"/>
    <w:rsid w:val="585FDA6B"/>
    <w:rsid w:val="59CA4A97"/>
    <w:rsid w:val="5CF6793C"/>
    <w:rsid w:val="5F0CEFA1"/>
    <w:rsid w:val="62449063"/>
    <w:rsid w:val="635D0FA0"/>
    <w:rsid w:val="64869726"/>
    <w:rsid w:val="660A771B"/>
    <w:rsid w:val="69DC959C"/>
    <w:rsid w:val="6E50E2D8"/>
    <w:rsid w:val="73354EC3"/>
    <w:rsid w:val="74161077"/>
    <w:rsid w:val="79A49047"/>
    <w:rsid w:val="7E780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5F1"/>
    <w:pPr>
      <w:spacing w:after="120" w:line="259" w:lineRule="auto"/>
      <w:jc w:val="both"/>
    </w:pPr>
    <w:rPr>
      <w:rFonts w:ascii="Times New Roman" w:hAnsi="Times New Roman"/>
      <w:sz w:val="24"/>
    </w:rPr>
  </w:style>
  <w:style w:type="paragraph" w:styleId="Heading1">
    <w:name w:val="heading 1"/>
    <w:basedOn w:val="Normal"/>
    <w:next w:val="Normal"/>
    <w:link w:val="Heading1Char"/>
    <w:uiPriority w:val="9"/>
    <w:qFormat/>
    <w:rsid w:val="00DE5F65"/>
    <w:pPr>
      <w:keepNext/>
      <w:keepLines/>
      <w:numPr>
        <w:numId w:val="28"/>
      </w:numPr>
      <w:spacing w:before="40"/>
      <w:ind w:left="431" w:hanging="431"/>
      <w:outlineLvl w:val="0"/>
    </w:pPr>
    <w:rPr>
      <w:rFonts w:eastAsiaTheme="majorEastAsia" w:cstheme="majorBidi"/>
      <w:b/>
      <w:sz w:val="26"/>
      <w:szCs w:val="26"/>
    </w:rPr>
  </w:style>
  <w:style w:type="paragraph" w:styleId="Heading2">
    <w:name w:val="heading 2"/>
    <w:basedOn w:val="Normal"/>
    <w:next w:val="Normal"/>
    <w:link w:val="Heading2Char"/>
    <w:uiPriority w:val="9"/>
    <w:unhideWhenUsed/>
    <w:qFormat/>
    <w:rsid w:val="00A72424"/>
    <w:pPr>
      <w:keepNext/>
      <w:keepLines/>
      <w:numPr>
        <w:ilvl w:val="1"/>
        <w:numId w:val="28"/>
      </w:numPr>
      <w:ind w:left="851"/>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DD445B"/>
    <w:pPr>
      <w:keepNext/>
      <w:keepLines/>
      <w:numPr>
        <w:ilvl w:val="2"/>
        <w:numId w:val="28"/>
      </w:numPr>
      <w:spacing w:before="40"/>
      <w:outlineLvl w:val="2"/>
    </w:pPr>
    <w:rPr>
      <w:rFonts w:eastAsiaTheme="majorEastAsia" w:cstheme="majorBidi"/>
      <w:i/>
      <w:szCs w:val="24"/>
      <w:u w:val="single"/>
    </w:rPr>
  </w:style>
  <w:style w:type="paragraph" w:styleId="Heading4">
    <w:name w:val="heading 4"/>
    <w:basedOn w:val="Normal"/>
    <w:next w:val="Normal"/>
    <w:link w:val="Heading4Char"/>
    <w:uiPriority w:val="9"/>
    <w:semiHidden/>
    <w:unhideWhenUsed/>
    <w:qFormat/>
    <w:rsid w:val="002E772D"/>
    <w:pPr>
      <w:keepNext/>
      <w:keepLines/>
      <w:numPr>
        <w:ilvl w:val="3"/>
        <w:numId w:val="28"/>
      </w:numPr>
      <w:spacing w:before="40" w:after="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link w:val="Heading5Char"/>
    <w:uiPriority w:val="9"/>
    <w:semiHidden/>
    <w:unhideWhenUsed/>
    <w:qFormat/>
    <w:rsid w:val="002E772D"/>
    <w:pPr>
      <w:keepNext/>
      <w:keepLines/>
      <w:numPr>
        <w:ilvl w:val="4"/>
        <w:numId w:val="28"/>
      </w:numPr>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semiHidden/>
    <w:unhideWhenUsed/>
    <w:qFormat/>
    <w:rsid w:val="002E772D"/>
    <w:pPr>
      <w:keepNext/>
      <w:keepLines/>
      <w:numPr>
        <w:ilvl w:val="5"/>
        <w:numId w:val="28"/>
      </w:numPr>
      <w:spacing w:before="40" w:after="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2E772D"/>
    <w:pPr>
      <w:keepNext/>
      <w:keepLines/>
      <w:numPr>
        <w:ilvl w:val="6"/>
        <w:numId w:val="28"/>
      </w:numPr>
      <w:spacing w:before="40" w:after="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2E772D"/>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772D"/>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F65"/>
    <w:rPr>
      <w:rFonts w:ascii="Times New Roman" w:eastAsiaTheme="majorEastAsia" w:hAnsi="Times New Roman" w:cstheme="majorBidi"/>
      <w:b/>
      <w:sz w:val="26"/>
      <w:szCs w:val="26"/>
    </w:rPr>
  </w:style>
  <w:style w:type="character" w:customStyle="1" w:styleId="Heading2Char">
    <w:name w:val="Heading 2 Char"/>
    <w:basedOn w:val="DefaultParagraphFont"/>
    <w:link w:val="Heading2"/>
    <w:uiPriority w:val="9"/>
    <w:rsid w:val="00A72424"/>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D445B"/>
    <w:rPr>
      <w:rFonts w:ascii="Times New Roman" w:eastAsiaTheme="majorEastAsia" w:hAnsi="Times New Roman" w:cstheme="majorBidi"/>
      <w:i/>
      <w:sz w:val="24"/>
      <w:szCs w:val="24"/>
      <w:u w:val="single"/>
    </w:rPr>
  </w:style>
  <w:style w:type="paragraph" w:styleId="Header">
    <w:name w:val="header"/>
    <w:basedOn w:val="Normal"/>
    <w:link w:val="HeaderChar"/>
    <w:uiPriority w:val="99"/>
    <w:unhideWhenUsed/>
    <w:rsid w:val="00927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FB7"/>
    <w:rPr>
      <w:rFonts w:ascii="Times New Roman" w:hAnsi="Times New Roman"/>
      <w:sz w:val="24"/>
    </w:rPr>
  </w:style>
  <w:style w:type="paragraph" w:styleId="Footer">
    <w:name w:val="footer"/>
    <w:basedOn w:val="Normal"/>
    <w:link w:val="FooterChar"/>
    <w:uiPriority w:val="99"/>
    <w:unhideWhenUsed/>
    <w:rsid w:val="00927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FB7"/>
    <w:rPr>
      <w:rFonts w:ascii="Times New Roman" w:hAnsi="Times New Roman"/>
      <w:sz w:val="24"/>
    </w:rPr>
  </w:style>
  <w:style w:type="paragraph" w:styleId="TOCHeading">
    <w:name w:val="TOC Heading"/>
    <w:basedOn w:val="Heading1"/>
    <w:next w:val="Normal"/>
    <w:uiPriority w:val="39"/>
    <w:unhideWhenUsed/>
    <w:qFormat/>
    <w:rsid w:val="00927FB7"/>
    <w:pPr>
      <w:jc w:val="left"/>
      <w:outlineLvl w:val="9"/>
    </w:pPr>
    <w:rPr>
      <w:rFonts w:asciiTheme="majorHAnsi" w:hAnsiTheme="majorHAnsi"/>
      <w:b w:val="0"/>
      <w:caps/>
      <w:color w:val="A5A5A5" w:themeColor="accent1" w:themeShade="BF"/>
      <w:sz w:val="32"/>
    </w:rPr>
  </w:style>
  <w:style w:type="paragraph" w:styleId="TOC1">
    <w:name w:val="toc 1"/>
    <w:basedOn w:val="Normal"/>
    <w:next w:val="Normal"/>
    <w:autoRedefine/>
    <w:uiPriority w:val="39"/>
    <w:unhideWhenUsed/>
    <w:rsid w:val="00F77ACF"/>
    <w:pPr>
      <w:tabs>
        <w:tab w:val="left" w:pos="480"/>
        <w:tab w:val="right" w:leader="dot" w:pos="9062"/>
      </w:tabs>
      <w:spacing w:after="100"/>
    </w:pPr>
  </w:style>
  <w:style w:type="paragraph" w:styleId="TOC2">
    <w:name w:val="toc 2"/>
    <w:basedOn w:val="Normal"/>
    <w:next w:val="Normal"/>
    <w:autoRedefine/>
    <w:uiPriority w:val="39"/>
    <w:unhideWhenUsed/>
    <w:rsid w:val="008E0217"/>
    <w:pPr>
      <w:tabs>
        <w:tab w:val="left" w:pos="880"/>
        <w:tab w:val="right" w:leader="dot" w:pos="9062"/>
      </w:tabs>
      <w:spacing w:after="100"/>
      <w:ind w:left="240"/>
    </w:pPr>
  </w:style>
  <w:style w:type="paragraph" w:styleId="TOC3">
    <w:name w:val="toc 3"/>
    <w:basedOn w:val="Normal"/>
    <w:next w:val="Normal"/>
    <w:autoRedefine/>
    <w:uiPriority w:val="39"/>
    <w:unhideWhenUsed/>
    <w:rsid w:val="00927FB7"/>
    <w:pPr>
      <w:spacing w:after="100"/>
      <w:ind w:left="480"/>
    </w:pPr>
  </w:style>
  <w:style w:type="character" w:styleId="Hyperlink">
    <w:name w:val="Hyperlink"/>
    <w:basedOn w:val="DefaultParagraphFont"/>
    <w:uiPriority w:val="99"/>
    <w:unhideWhenUsed/>
    <w:rsid w:val="00927FB7"/>
    <w:rPr>
      <w:color w:val="5F5F5F" w:themeColor="hyperlink"/>
      <w:u w:val="single"/>
    </w:rPr>
  </w:style>
  <w:style w:type="paragraph" w:styleId="FootnoteText">
    <w:name w:val="footnote text"/>
    <w:aliases w:val="Footnote Text Char1,Schriftart: 9 pt,Schriftart: 10 pt,Schriftart: 8 pt,WB-Fußnotentext,Reference,Fußnote,fn,Footnote Text Char2,Footnote Text Char Char1,Footnote Text Char1 Char Char,Footnote Text Char Char Char Char,Ch,stile 1,o,footnote"/>
    <w:basedOn w:val="Normal"/>
    <w:link w:val="FootnoteTextChar"/>
    <w:uiPriority w:val="99"/>
    <w:unhideWhenUsed/>
    <w:qFormat/>
    <w:rsid w:val="00C54E27"/>
    <w:pPr>
      <w:spacing w:after="0" w:line="240" w:lineRule="auto"/>
    </w:pPr>
    <w:rPr>
      <w:sz w:val="20"/>
      <w:szCs w:val="20"/>
    </w:rPr>
  </w:style>
  <w:style w:type="character" w:customStyle="1" w:styleId="FootnoteTextChar">
    <w:name w:val="Footnote Text Char"/>
    <w:aliases w:val="Footnote Text Char1 Char,Schriftart: 9 pt Char,Schriftart: 10 pt Char,Schriftart: 8 pt Char,WB-Fußnotentext Char,Reference Char,Fußnote Char,fn Char,Footnote Text Char2 Char,Footnote Text Char Char1 Char,Ch Char,stile 1 Char,o Char"/>
    <w:basedOn w:val="DefaultParagraphFont"/>
    <w:link w:val="FootnoteText"/>
    <w:uiPriority w:val="99"/>
    <w:qFormat/>
    <w:rsid w:val="00C54E27"/>
    <w:rPr>
      <w:rFonts w:ascii="Times New Roman" w:hAnsi="Times New Roman"/>
      <w:sz w:val="20"/>
      <w:szCs w:val="20"/>
    </w:rPr>
  </w:style>
  <w:style w:type="character" w:styleId="FootnoteReference">
    <w:name w:val="footnote reference"/>
    <w:aliases w:val="Footnote symbol,Voetnootverwijzing,Times 10 Point,Exposant 3 Point,Footnote reference number,Ref,de nota al pie,note TESI,SUPERS,EN Footnote Reference,Footnote sign,Footnote Reference Superscript,stylish,fr,FR,Foo,No, Exposant 3 Point"/>
    <w:basedOn w:val="DefaultParagraphFont"/>
    <w:link w:val="FootnotesymbolCharCharCharChar"/>
    <w:uiPriority w:val="99"/>
    <w:unhideWhenUsed/>
    <w:qFormat/>
    <w:rsid w:val="00C54E27"/>
    <w:rPr>
      <w:vertAlign w:val="superscript"/>
    </w:rPr>
  </w:style>
  <w:style w:type="paragraph" w:styleId="BalloonText">
    <w:name w:val="Balloon Text"/>
    <w:basedOn w:val="Normal"/>
    <w:link w:val="BalloonTextChar"/>
    <w:uiPriority w:val="99"/>
    <w:semiHidden/>
    <w:unhideWhenUsed/>
    <w:rsid w:val="00237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6DF"/>
    <w:rPr>
      <w:rFonts w:ascii="Segoe UI" w:hAnsi="Segoe UI" w:cs="Segoe UI"/>
      <w:sz w:val="18"/>
      <w:szCs w:val="18"/>
    </w:rPr>
  </w:style>
  <w:style w:type="table" w:styleId="TableGrid">
    <w:name w:val="Table Grid"/>
    <w:basedOn w:val="TableNormal"/>
    <w:uiPriority w:val="59"/>
    <w:rsid w:val="00047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0B8"/>
    <w:rPr>
      <w:sz w:val="16"/>
      <w:szCs w:val="16"/>
    </w:rPr>
  </w:style>
  <w:style w:type="paragraph" w:styleId="CommentText">
    <w:name w:val="annotation text"/>
    <w:basedOn w:val="Normal"/>
    <w:link w:val="CommentTextChar"/>
    <w:uiPriority w:val="99"/>
    <w:unhideWhenUsed/>
    <w:rsid w:val="000630B8"/>
    <w:pPr>
      <w:spacing w:line="240" w:lineRule="auto"/>
    </w:pPr>
    <w:rPr>
      <w:sz w:val="20"/>
      <w:szCs w:val="20"/>
    </w:rPr>
  </w:style>
  <w:style w:type="character" w:customStyle="1" w:styleId="CommentTextChar">
    <w:name w:val="Comment Text Char"/>
    <w:basedOn w:val="DefaultParagraphFont"/>
    <w:link w:val="CommentText"/>
    <w:uiPriority w:val="99"/>
    <w:rsid w:val="000630B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630B8"/>
    <w:rPr>
      <w:b/>
      <w:bCs/>
    </w:rPr>
  </w:style>
  <w:style w:type="character" w:customStyle="1" w:styleId="CommentSubjectChar">
    <w:name w:val="Comment Subject Char"/>
    <w:basedOn w:val="CommentTextChar"/>
    <w:link w:val="CommentSubject"/>
    <w:uiPriority w:val="99"/>
    <w:semiHidden/>
    <w:rsid w:val="000630B8"/>
    <w:rPr>
      <w:rFonts w:ascii="Times New Roman" w:hAnsi="Times New Roman"/>
      <w:b/>
      <w:bCs/>
      <w:sz w:val="20"/>
      <w:szCs w:val="20"/>
    </w:rPr>
  </w:style>
  <w:style w:type="paragraph" w:styleId="ListParagraph">
    <w:name w:val="List Paragraph"/>
    <w:aliases w:val="List1,List11,List111,List1111,1st level - Bullet List Paragraph,List Paragraph1,Lettre d'introduction,Paragrafo elenco,Normal bullet 2,Medium Grid 1 - Accent 21,List Paragraph11,FooterText,Paragraphe de liste1,Bullet list,List11111"/>
    <w:basedOn w:val="Normal"/>
    <w:link w:val="ListParagraphChar"/>
    <w:uiPriority w:val="34"/>
    <w:qFormat/>
    <w:rsid w:val="00B80E0C"/>
    <w:pPr>
      <w:spacing w:after="160"/>
      <w:ind w:left="720"/>
      <w:contextualSpacing/>
      <w:jc w:val="left"/>
    </w:pPr>
    <w:rPr>
      <w:rFonts w:asciiTheme="minorHAnsi" w:hAnsiTheme="minorHAnsi"/>
      <w:sz w:val="22"/>
    </w:rPr>
  </w:style>
  <w:style w:type="character" w:customStyle="1" w:styleId="ListParagraphChar">
    <w:name w:val="List Paragraph Char"/>
    <w:aliases w:val="List1 Char,List11 Char,List111 Char,List1111 Char,1st level - Bullet List Paragraph Char,List Paragraph1 Char,Lettre d'introduction Char,Paragrafo elenco Char,Normal bullet 2 Char,Medium Grid 1 - Accent 21 Char,List Paragraph11 Char"/>
    <w:basedOn w:val="DefaultParagraphFont"/>
    <w:link w:val="ListParagraph"/>
    <w:uiPriority w:val="34"/>
    <w:qFormat/>
    <w:rsid w:val="00B80E0C"/>
    <w:rPr>
      <w:lang w:val="pl-PL"/>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qFormat/>
    <w:rsid w:val="00B80E0C"/>
    <w:pPr>
      <w:spacing w:after="160" w:line="240" w:lineRule="exact"/>
      <w:jc w:val="left"/>
    </w:pPr>
    <w:rPr>
      <w:rFonts w:asciiTheme="minorHAnsi" w:hAnsiTheme="minorHAnsi"/>
      <w:sz w:val="22"/>
      <w:vertAlign w:val="superscript"/>
    </w:rPr>
  </w:style>
  <w:style w:type="character" w:customStyle="1" w:styleId="Heading4Char">
    <w:name w:val="Heading 4 Char"/>
    <w:basedOn w:val="DefaultParagraphFont"/>
    <w:link w:val="Heading4"/>
    <w:uiPriority w:val="9"/>
    <w:semiHidden/>
    <w:rsid w:val="002E772D"/>
    <w:rPr>
      <w:rFonts w:asciiTheme="majorHAnsi" w:eastAsiaTheme="majorEastAsia" w:hAnsiTheme="majorHAnsi" w:cstheme="majorBidi"/>
      <w:i/>
      <w:iCs/>
      <w:color w:val="A5A5A5" w:themeColor="accent1" w:themeShade="BF"/>
      <w:sz w:val="24"/>
    </w:rPr>
  </w:style>
  <w:style w:type="character" w:customStyle="1" w:styleId="Heading5Char">
    <w:name w:val="Heading 5 Char"/>
    <w:basedOn w:val="DefaultParagraphFont"/>
    <w:link w:val="Heading5"/>
    <w:uiPriority w:val="9"/>
    <w:semiHidden/>
    <w:rsid w:val="002E772D"/>
    <w:rPr>
      <w:rFonts w:asciiTheme="majorHAnsi" w:eastAsiaTheme="majorEastAsia" w:hAnsiTheme="majorHAnsi" w:cstheme="majorBidi"/>
      <w:color w:val="A5A5A5" w:themeColor="accent1" w:themeShade="BF"/>
      <w:sz w:val="24"/>
    </w:rPr>
  </w:style>
  <w:style w:type="character" w:customStyle="1" w:styleId="Heading6Char">
    <w:name w:val="Heading 6 Char"/>
    <w:basedOn w:val="DefaultParagraphFont"/>
    <w:link w:val="Heading6"/>
    <w:uiPriority w:val="9"/>
    <w:semiHidden/>
    <w:rsid w:val="002E772D"/>
    <w:rPr>
      <w:rFonts w:asciiTheme="majorHAnsi" w:eastAsiaTheme="majorEastAsia" w:hAnsiTheme="majorHAnsi" w:cstheme="majorBidi"/>
      <w:color w:val="6E6E6E" w:themeColor="accent1" w:themeShade="7F"/>
      <w:sz w:val="24"/>
    </w:rPr>
  </w:style>
  <w:style w:type="character" w:customStyle="1" w:styleId="Heading7Char">
    <w:name w:val="Heading 7 Char"/>
    <w:basedOn w:val="DefaultParagraphFont"/>
    <w:link w:val="Heading7"/>
    <w:uiPriority w:val="9"/>
    <w:semiHidden/>
    <w:rsid w:val="002E772D"/>
    <w:rPr>
      <w:rFonts w:asciiTheme="majorHAnsi" w:eastAsiaTheme="majorEastAsia" w:hAnsiTheme="majorHAnsi" w:cstheme="majorBidi"/>
      <w:i/>
      <w:iCs/>
      <w:color w:val="6E6E6E" w:themeColor="accent1" w:themeShade="7F"/>
      <w:sz w:val="24"/>
    </w:rPr>
  </w:style>
  <w:style w:type="character" w:customStyle="1" w:styleId="Heading8Char">
    <w:name w:val="Heading 8 Char"/>
    <w:basedOn w:val="DefaultParagraphFont"/>
    <w:link w:val="Heading8"/>
    <w:uiPriority w:val="9"/>
    <w:semiHidden/>
    <w:rsid w:val="002E77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772D"/>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2E772D"/>
    <w:pPr>
      <w:spacing w:after="0" w:line="240" w:lineRule="auto"/>
    </w:pPr>
    <w:rPr>
      <w:rFonts w:ascii="Times New Roman" w:hAnsi="Times New Roman"/>
      <w:sz w:val="24"/>
    </w:rPr>
  </w:style>
  <w:style w:type="paragraph" w:customStyle="1" w:styleId="Action">
    <w:name w:val="Action"/>
    <w:basedOn w:val="Normal"/>
    <w:link w:val="ActionChar"/>
    <w:autoRedefine/>
    <w:qFormat/>
    <w:rsid w:val="0037628B"/>
    <w:pPr>
      <w:pBdr>
        <w:top w:val="single" w:sz="4" w:space="0" w:color="auto"/>
        <w:left w:val="single" w:sz="4" w:space="4" w:color="auto"/>
        <w:bottom w:val="single" w:sz="4" w:space="1" w:color="auto"/>
        <w:right w:val="single" w:sz="4" w:space="4" w:color="auto"/>
      </w:pBdr>
      <w:tabs>
        <w:tab w:val="left" w:pos="284"/>
        <w:tab w:val="left" w:pos="1134"/>
        <w:tab w:val="left" w:pos="1418"/>
      </w:tabs>
      <w:spacing w:before="240" w:line="240" w:lineRule="auto"/>
    </w:pPr>
    <w:rPr>
      <w:rFonts w:eastAsia="Calibri"/>
      <w:b/>
      <w:szCs w:val="24"/>
      <w:u w:val="single"/>
    </w:rPr>
  </w:style>
  <w:style w:type="paragraph" w:customStyle="1" w:styleId="Listactions">
    <w:name w:val="List actions"/>
    <w:basedOn w:val="Action"/>
    <w:link w:val="ListactionsChar"/>
    <w:autoRedefine/>
    <w:qFormat/>
    <w:rsid w:val="00B93038"/>
    <w:pPr>
      <w:numPr>
        <w:numId w:val="22"/>
      </w:numPr>
      <w:spacing w:before="0"/>
      <w:ind w:left="425" w:hanging="425"/>
    </w:pPr>
  </w:style>
  <w:style w:type="character" w:customStyle="1" w:styleId="ActionChar">
    <w:name w:val="Action Char"/>
    <w:basedOn w:val="DefaultParagraphFont"/>
    <w:link w:val="Action"/>
    <w:rsid w:val="0037628B"/>
    <w:rPr>
      <w:rFonts w:ascii="Times New Roman" w:eastAsia="Calibri" w:hAnsi="Times New Roman"/>
      <w:b/>
      <w:sz w:val="24"/>
      <w:szCs w:val="24"/>
      <w:u w:val="single"/>
      <w:lang w:val="pl-PL"/>
    </w:rPr>
  </w:style>
  <w:style w:type="paragraph" w:customStyle="1" w:styleId="Table">
    <w:name w:val="Table"/>
    <w:basedOn w:val="Normal"/>
    <w:link w:val="TableChar"/>
    <w:qFormat/>
    <w:rsid w:val="002E772D"/>
    <w:pPr>
      <w:jc w:val="center"/>
    </w:pPr>
    <w:rPr>
      <w:rFonts w:cs="Times New Roman"/>
      <w:b/>
      <w:bCs/>
      <w:i/>
      <w:iCs/>
      <w:sz w:val="20"/>
      <w:szCs w:val="20"/>
    </w:rPr>
  </w:style>
  <w:style w:type="character" w:customStyle="1" w:styleId="ListactionsChar">
    <w:name w:val="List actions Char"/>
    <w:basedOn w:val="ActionChar"/>
    <w:link w:val="Listactions"/>
    <w:rsid w:val="00B93038"/>
    <w:rPr>
      <w:rFonts w:ascii="Times New Roman" w:eastAsia="Calibri" w:hAnsi="Times New Roman"/>
      <w:b/>
      <w:sz w:val="24"/>
      <w:szCs w:val="24"/>
      <w:u w:val="single"/>
      <w:lang w:val="pl-PL"/>
    </w:rPr>
  </w:style>
  <w:style w:type="character" w:customStyle="1" w:styleId="TableChar">
    <w:name w:val="Table Char"/>
    <w:basedOn w:val="DefaultParagraphFont"/>
    <w:link w:val="Table"/>
    <w:rsid w:val="002E772D"/>
    <w:rPr>
      <w:rFonts w:ascii="Times New Roman" w:hAnsi="Times New Roman" w:cs="Times New Roman"/>
      <w:b/>
      <w:bCs/>
      <w:i/>
      <w:iCs/>
      <w:sz w:val="20"/>
      <w:szCs w:val="20"/>
      <w:lang w:val="pl-PL"/>
    </w:rPr>
  </w:style>
  <w:style w:type="character" w:styleId="FollowedHyperlink">
    <w:name w:val="FollowedHyperlink"/>
    <w:basedOn w:val="DefaultParagraphFont"/>
    <w:uiPriority w:val="99"/>
    <w:semiHidden/>
    <w:unhideWhenUsed/>
    <w:rsid w:val="00B66926"/>
    <w:rPr>
      <w:color w:val="919191" w:themeColor="followedHyperlink"/>
      <w:u w:val="single"/>
    </w:rPr>
  </w:style>
  <w:style w:type="paragraph" w:customStyle="1" w:styleId="LegalNumPar">
    <w:name w:val="LegalNumPar"/>
    <w:basedOn w:val="Normal"/>
    <w:rsid w:val="00F41718"/>
    <w:pPr>
      <w:numPr>
        <w:numId w:val="43"/>
      </w:numPr>
    </w:pPr>
  </w:style>
  <w:style w:type="paragraph" w:customStyle="1" w:styleId="LegalNumPar2">
    <w:name w:val="LegalNumPar2"/>
    <w:basedOn w:val="Normal"/>
    <w:rsid w:val="00F41718"/>
    <w:pPr>
      <w:numPr>
        <w:ilvl w:val="1"/>
        <w:numId w:val="43"/>
      </w:numPr>
    </w:pPr>
  </w:style>
  <w:style w:type="paragraph" w:customStyle="1" w:styleId="LegalNumPar3">
    <w:name w:val="LegalNumPar3"/>
    <w:basedOn w:val="Normal"/>
    <w:rsid w:val="00F41718"/>
    <w:pPr>
      <w:numPr>
        <w:ilvl w:val="2"/>
        <w:numId w:val="43"/>
      </w:numPr>
    </w:pPr>
  </w:style>
  <w:style w:type="character" w:styleId="Strong">
    <w:name w:val="Strong"/>
    <w:basedOn w:val="DefaultParagraphFont"/>
    <w:uiPriority w:val="22"/>
    <w:qFormat/>
    <w:rsid w:val="001322DD"/>
    <w:rPr>
      <w:b/>
      <w:bCs/>
    </w:rPr>
  </w:style>
  <w:style w:type="paragraph" w:customStyle="1" w:styleId="Pagedecouverture">
    <w:name w:val="Page de couverture"/>
    <w:basedOn w:val="Normal"/>
    <w:next w:val="Normal"/>
    <w:rsid w:val="00773261"/>
    <w:pPr>
      <w:spacing w:after="0" w:line="240" w:lineRule="auto"/>
    </w:pPr>
    <w:rPr>
      <w:rFonts w:cs="Times New Roman"/>
    </w:rPr>
  </w:style>
  <w:style w:type="paragraph" w:customStyle="1" w:styleId="FooterCoverPage">
    <w:name w:val="Footer Cover Page"/>
    <w:basedOn w:val="Normal"/>
    <w:link w:val="FooterCoverPageChar"/>
    <w:rsid w:val="00773261"/>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sid w:val="00773261"/>
    <w:rPr>
      <w:rFonts w:ascii="Times New Roman" w:hAnsi="Times New Roman"/>
      <w:sz w:val="24"/>
    </w:rPr>
  </w:style>
  <w:style w:type="paragraph" w:customStyle="1" w:styleId="HeaderCoverPage">
    <w:name w:val="Header Cover Page"/>
    <w:basedOn w:val="Normal"/>
    <w:link w:val="HeaderCoverPageChar"/>
    <w:rsid w:val="00773261"/>
    <w:pPr>
      <w:tabs>
        <w:tab w:val="center" w:pos="4535"/>
        <w:tab w:val="right" w:pos="9071"/>
      </w:tabs>
      <w:spacing w:line="240" w:lineRule="auto"/>
    </w:pPr>
  </w:style>
  <w:style w:type="character" w:customStyle="1" w:styleId="HeaderCoverPageChar">
    <w:name w:val="Header Cover Page Char"/>
    <w:basedOn w:val="DefaultParagraphFont"/>
    <w:link w:val="HeaderCoverPage"/>
    <w:rsid w:val="00773261"/>
    <w:rPr>
      <w:rFonts w:ascii="Times New Roman" w:hAnsi="Times New Roman"/>
      <w:sz w:val="24"/>
    </w:rPr>
  </w:style>
  <w:style w:type="character" w:customStyle="1" w:styleId="Marker">
    <w:name w:val="Marker"/>
    <w:basedOn w:val="DefaultParagraphFont"/>
    <w:rsid w:val="00DE282A"/>
    <w:rPr>
      <w:color w:val="0000FF"/>
      <w:shd w:val="clear" w:color="auto" w:fill="auto"/>
    </w:rPr>
  </w:style>
  <w:style w:type="paragraph" w:customStyle="1" w:styleId="FooterSensitivity">
    <w:name w:val="Footer Sensitivity"/>
    <w:basedOn w:val="Normal"/>
    <w:link w:val="FooterSensitivityChar"/>
    <w:rsid w:val="00DE282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Heading1Char"/>
    <w:link w:val="FooterSensitivity"/>
    <w:rsid w:val="00DE282A"/>
    <w:rPr>
      <w:rFonts w:ascii="Times New Roman" w:eastAsiaTheme="majorEastAsia" w:hAnsi="Times New Roman" w:cstheme="majorBidi"/>
      <w:b/>
      <w:sz w:val="32"/>
      <w:szCs w:val="26"/>
    </w:rPr>
  </w:style>
  <w:style w:type="paragraph" w:customStyle="1" w:styleId="HeaderSensitivity">
    <w:name w:val="Header Sensitivity"/>
    <w:basedOn w:val="Normal"/>
    <w:link w:val="HeaderSensitivityChar"/>
    <w:rsid w:val="00DE282A"/>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Heading1Char"/>
    <w:link w:val="HeaderSensitivity"/>
    <w:rsid w:val="00DE282A"/>
    <w:rPr>
      <w:rFonts w:ascii="Times New Roman" w:eastAsiaTheme="majorEastAsia" w:hAnsi="Times New Roman" w:cstheme="majorBidi"/>
      <w:b/>
      <w:sz w:val="32"/>
      <w:szCs w:val="26"/>
    </w:rPr>
  </w:style>
  <w:style w:type="paragraph" w:customStyle="1" w:styleId="HeaderSensitivityRight">
    <w:name w:val="Header Sensitivity Right"/>
    <w:basedOn w:val="Normal"/>
    <w:link w:val="HeaderSensitivityRightChar"/>
    <w:rsid w:val="00DE282A"/>
    <w:pPr>
      <w:spacing w:line="240" w:lineRule="auto"/>
      <w:jc w:val="right"/>
    </w:pPr>
    <w:rPr>
      <w:sz w:val="28"/>
    </w:rPr>
  </w:style>
  <w:style w:type="character" w:customStyle="1" w:styleId="HeaderSensitivityRightChar">
    <w:name w:val="Header Sensitivity Right Char"/>
    <w:basedOn w:val="Heading1Char"/>
    <w:link w:val="HeaderSensitivityRight"/>
    <w:rsid w:val="00DE282A"/>
    <w:rPr>
      <w:rFonts w:ascii="Times New Roman" w:eastAsiaTheme="majorEastAsia" w:hAnsi="Times New Roman" w:cstheme="majorBidi"/>
      <w:b w:val="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955898">
      <w:bodyDiv w:val="1"/>
      <w:marLeft w:val="0"/>
      <w:marRight w:val="0"/>
      <w:marTop w:val="0"/>
      <w:marBottom w:val="0"/>
      <w:divBdr>
        <w:top w:val="none" w:sz="0" w:space="0" w:color="auto"/>
        <w:left w:val="none" w:sz="0" w:space="0" w:color="auto"/>
        <w:bottom w:val="none" w:sz="0" w:space="0" w:color="auto"/>
        <w:right w:val="none" w:sz="0" w:space="0" w:color="auto"/>
      </w:divBdr>
    </w:div>
    <w:div w:id="1603368993">
      <w:bodyDiv w:val="1"/>
      <w:marLeft w:val="0"/>
      <w:marRight w:val="0"/>
      <w:marTop w:val="0"/>
      <w:marBottom w:val="0"/>
      <w:divBdr>
        <w:top w:val="none" w:sz="0" w:space="0" w:color="auto"/>
        <w:left w:val="none" w:sz="0" w:space="0" w:color="auto"/>
        <w:bottom w:val="none" w:sz="0" w:space="0" w:color="auto"/>
        <w:right w:val="none" w:sz="0" w:space="0" w:color="auto"/>
      </w:divBdr>
    </w:div>
    <w:div w:id="1881504575">
      <w:bodyDiv w:val="1"/>
      <w:marLeft w:val="0"/>
      <w:marRight w:val="0"/>
      <w:marTop w:val="0"/>
      <w:marBottom w:val="0"/>
      <w:divBdr>
        <w:top w:val="none" w:sz="0" w:space="0" w:color="auto"/>
        <w:left w:val="none" w:sz="0" w:space="0" w:color="auto"/>
        <w:bottom w:val="none" w:sz="0" w:space="0" w:color="auto"/>
        <w:right w:val="none" w:sz="0" w:space="0" w:color="auto"/>
      </w:divBdr>
    </w:div>
    <w:div w:id="1987586234">
      <w:bodyDiv w:val="1"/>
      <w:marLeft w:val="0"/>
      <w:marRight w:val="0"/>
      <w:marTop w:val="0"/>
      <w:marBottom w:val="0"/>
      <w:divBdr>
        <w:top w:val="none" w:sz="0" w:space="0" w:color="auto"/>
        <w:left w:val="none" w:sz="0" w:space="0" w:color="auto"/>
        <w:bottom w:val="none" w:sz="0" w:space="0" w:color="auto"/>
        <w:right w:val="none" w:sz="0" w:space="0" w:color="auto"/>
      </w:divBdr>
    </w:div>
    <w:div w:id="20432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defence-industry-space/eu-space-policy/space-research-and-innovation/cassini-space-entrepreneurship-initiative_en"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7482E-29BE-46DB-8230-616B4EB2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6789</Words>
  <Characters>46710</Characters>
  <Application>Microsoft Office Word</Application>
  <DocSecurity>0</DocSecurity>
  <Lines>718</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2022-02-12T09:52:00Z</dcterms:created>
  <dcterms:modified xsi:type="dcterms:W3CDTF">2022-02-21T09:38:00Z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CP-015</vt:lpwstr>
  </property>
  <property fmtid="{D5CDD505-2E9C-101B-9397-08002B2CF9AE}" pid="7" name="Last edited using">
    <vt:lpwstr>LW 7.0.1, Build 20200226</vt:lpwstr>
  </property>
  <property fmtid="{D5CDD505-2E9C-101B-9397-08002B2CF9AE}" pid="8" name="Created using">
    <vt:lpwstr>LW 7.0.1, Build 20200226</vt:lpwstr>
  </property>
</Properties>
</file>