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BEF8" w14:textId="7A7625E4" w:rsidR="00BA15A0" w:rsidRPr="00F97E98" w:rsidRDefault="00191A0B" w:rsidP="00191A0B">
      <w:pPr>
        <w:pStyle w:val="Pagedecouverture"/>
        <w:rPr>
          <w:noProof/>
          <w:lang w:val="pl-PL"/>
        </w:rPr>
      </w:pPr>
      <w:bookmarkStart w:id="0" w:name="LW_BM_COVERPAGE"/>
      <w:r>
        <w:rPr>
          <w:noProof/>
          <w:lang w:val="pl-PL"/>
        </w:rPr>
        <w:pict w14:anchorId="7F9A4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BB7BDD50-1B7E-4995-A408-0D3CF6A7C4E6" style="width:455.25pt;height:310.5pt">
            <v:imagedata r:id="rId11" o:title=""/>
          </v:shape>
        </w:pict>
      </w:r>
    </w:p>
    <w:bookmarkEnd w:id="0"/>
    <w:p w14:paraId="23CEFC26" w14:textId="77777777" w:rsidR="008E2430" w:rsidRPr="00F97E98" w:rsidRDefault="008E2430" w:rsidP="008E2430">
      <w:pPr>
        <w:pStyle w:val="Pagedecouverture"/>
        <w:rPr>
          <w:noProof/>
          <w:lang w:val="pl-PL"/>
        </w:rPr>
        <w:sectPr w:rsidR="008E2430" w:rsidRPr="00F97E98" w:rsidSect="00191A0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DF30D7C" w14:textId="388EE0A2" w:rsidR="008B563B" w:rsidRPr="008B563B" w:rsidRDefault="008B563B" w:rsidP="008B563B">
      <w:pPr>
        <w:pStyle w:val="Typedudocument"/>
        <w:rPr>
          <w:noProof/>
          <w:lang w:val="pl-PL"/>
        </w:rPr>
      </w:pPr>
      <w:bookmarkStart w:id="1" w:name="_GoBack"/>
      <w:bookmarkEnd w:id="1"/>
      <w:r w:rsidRPr="008B563B">
        <w:rPr>
          <w:noProof/>
          <w:lang w:val="pl-PL"/>
        </w:rPr>
        <w:lastRenderedPageBreak/>
        <w:t>SPRAWOZDANIE KOMISJI DLA PARLAMENTU EUROPEJSKIEGO I RADY</w:t>
      </w:r>
    </w:p>
    <w:p w14:paraId="113926B0" w14:textId="56C0ADFE" w:rsidR="008B563B" w:rsidRPr="008B563B" w:rsidRDefault="008B563B" w:rsidP="008B563B">
      <w:pPr>
        <w:pStyle w:val="Titreobjet"/>
        <w:rPr>
          <w:noProof/>
          <w:lang w:val="pl-PL"/>
        </w:rPr>
      </w:pPr>
      <w:r w:rsidRPr="008B563B">
        <w:rPr>
          <w:noProof/>
          <w:lang w:val="pl-PL"/>
        </w:rPr>
        <w:t>w sprawie przeglądu interwencji w sytuacji nadzwyczajnej w celu rozwiązania problemu wysokich cen energii zgodnie z rozporządzeniem Rady (UE) 2022/1854</w:t>
      </w:r>
    </w:p>
    <w:p w14:paraId="4E1E7FF5" w14:textId="412A5CDB" w:rsidR="00BA4BBF" w:rsidRPr="00F97E98" w:rsidRDefault="00BA4BBF" w:rsidP="2B9E9F58">
      <w:pPr>
        <w:pStyle w:val="TOC1"/>
        <w:tabs>
          <w:tab w:val="left" w:pos="440"/>
          <w:tab w:val="right" w:leader="dot" w:pos="9062"/>
        </w:tabs>
        <w:spacing w:before="120" w:after="120" w:line="360" w:lineRule="auto"/>
        <w:rPr>
          <w:rFonts w:ascii="Times New Roman" w:hAnsi="Times New Roman" w:cs="Times New Roman"/>
          <w:noProof/>
          <w:lang w:val="pl-PL"/>
        </w:rPr>
      </w:pPr>
    </w:p>
    <w:sdt>
      <w:sdtPr>
        <w:rPr>
          <w:rFonts w:ascii="Times New Roman" w:hAnsi="Times New Roman" w:cs="Times New Roman"/>
          <w:noProof/>
          <w:color w:val="2B579A"/>
          <w:shd w:val="clear" w:color="auto" w:fill="E6E6E6"/>
          <w:lang w:val="pl-PL"/>
        </w:rPr>
        <w:id w:val="501614747"/>
        <w:docPartObj>
          <w:docPartGallery w:val="Table of Contents"/>
          <w:docPartUnique/>
        </w:docPartObj>
      </w:sdtPr>
      <w:sdtEndPr/>
      <w:sdtContent>
        <w:p w14:paraId="031FC7EE" w14:textId="77777777" w:rsidR="006444B9" w:rsidRPr="00F97E98" w:rsidRDefault="36C471E7" w:rsidP="2B9E9F58">
          <w:pPr>
            <w:pStyle w:val="TOC1"/>
            <w:tabs>
              <w:tab w:val="left" w:pos="440"/>
              <w:tab w:val="right" w:leader="dot" w:pos="9062"/>
            </w:tabs>
            <w:spacing w:before="120" w:after="120" w:line="360" w:lineRule="auto"/>
            <w:rPr>
              <w:rFonts w:ascii="Times New Roman" w:eastAsia="Times New Roman" w:hAnsi="Times New Roman" w:cs="Times New Roman"/>
              <w:noProof/>
              <w:sz w:val="24"/>
              <w:lang w:val="pl-PL"/>
            </w:rPr>
          </w:pPr>
          <w:r w:rsidRPr="00F97E98">
            <w:rPr>
              <w:rFonts w:ascii="Times New Roman" w:hAnsi="Times New Roman"/>
              <w:noProof/>
              <w:sz w:val="24"/>
              <w:lang w:val="pl-PL"/>
            </w:rPr>
            <w:t>Spis treści</w:t>
          </w:r>
        </w:p>
        <w:p w14:paraId="09E3B49B" w14:textId="79361DF0" w:rsidR="00F97E98" w:rsidRDefault="2B9E9F58">
          <w:pPr>
            <w:pStyle w:val="TOC1"/>
            <w:tabs>
              <w:tab w:val="left" w:pos="440"/>
              <w:tab w:val="right" w:leader="dot" w:pos="9062"/>
            </w:tabs>
            <w:rPr>
              <w:rFonts w:eastAsiaTheme="minorEastAsia"/>
              <w:noProof/>
              <w:szCs w:val="22"/>
            </w:rPr>
          </w:pPr>
          <w:r w:rsidRPr="00F97E98">
            <w:rPr>
              <w:rFonts w:ascii="Times New Roman" w:hAnsi="Times New Roman" w:cs="Times New Roman"/>
              <w:noProof/>
              <w:color w:val="2B579A"/>
              <w:sz w:val="24"/>
              <w:shd w:val="clear" w:color="auto" w:fill="E6E6E6"/>
              <w:lang w:val="pl-PL"/>
            </w:rPr>
            <w:fldChar w:fldCharType="begin"/>
          </w:r>
          <w:r w:rsidRPr="00F97E98">
            <w:rPr>
              <w:rFonts w:ascii="Times New Roman" w:hAnsi="Times New Roman" w:cs="Times New Roman"/>
              <w:noProof/>
              <w:sz w:val="24"/>
              <w:lang w:val="pl-PL"/>
            </w:rPr>
            <w:instrText>TOC \o "1-3" \h \z \u</w:instrText>
          </w:r>
          <w:r w:rsidRPr="00F97E98">
            <w:rPr>
              <w:rFonts w:ascii="Times New Roman" w:hAnsi="Times New Roman" w:cs="Times New Roman"/>
              <w:noProof/>
              <w:color w:val="2B579A"/>
              <w:sz w:val="24"/>
              <w:shd w:val="clear" w:color="auto" w:fill="E6E6E6"/>
              <w:lang w:val="pl-PL"/>
            </w:rPr>
            <w:fldChar w:fldCharType="separate"/>
          </w:r>
          <w:hyperlink w:anchor="_Toc137741647" w:history="1">
            <w:r w:rsidR="00F97E98" w:rsidRPr="00774E12">
              <w:rPr>
                <w:rStyle w:val="Hyperlink"/>
                <w:rFonts w:ascii="Times New Roman" w:eastAsia="Times New Roman" w:hAnsi="Times New Roman" w:cs="Times New Roman"/>
                <w:noProof/>
                <w:lang w:val="pl-PL"/>
              </w:rPr>
              <w:t>I.</w:t>
            </w:r>
            <w:r w:rsidR="00F97E98">
              <w:rPr>
                <w:rFonts w:eastAsiaTheme="minorEastAsia"/>
                <w:noProof/>
                <w:szCs w:val="22"/>
              </w:rPr>
              <w:tab/>
            </w:r>
            <w:r w:rsidR="00F97E98" w:rsidRPr="00774E12">
              <w:rPr>
                <w:rStyle w:val="Hyperlink"/>
                <w:rFonts w:ascii="Times New Roman" w:hAnsi="Times New Roman"/>
                <w:noProof/>
                <w:lang w:val="pl-PL"/>
              </w:rPr>
              <w:t>Wprowadzenie</w:t>
            </w:r>
            <w:r w:rsidR="00F97E98">
              <w:rPr>
                <w:noProof/>
                <w:webHidden/>
              </w:rPr>
              <w:tab/>
            </w:r>
            <w:r w:rsidR="00F97E98">
              <w:rPr>
                <w:noProof/>
                <w:webHidden/>
              </w:rPr>
              <w:fldChar w:fldCharType="begin"/>
            </w:r>
            <w:r w:rsidR="00F97E98">
              <w:rPr>
                <w:noProof/>
                <w:webHidden/>
              </w:rPr>
              <w:instrText xml:space="preserve"> PAGEREF _Toc137741647 \h </w:instrText>
            </w:r>
            <w:r w:rsidR="00F97E98">
              <w:rPr>
                <w:noProof/>
                <w:webHidden/>
              </w:rPr>
            </w:r>
            <w:r w:rsidR="00F97E98">
              <w:rPr>
                <w:noProof/>
                <w:webHidden/>
              </w:rPr>
              <w:fldChar w:fldCharType="separate"/>
            </w:r>
            <w:r w:rsidR="00E27365">
              <w:rPr>
                <w:noProof/>
                <w:webHidden/>
              </w:rPr>
              <w:t>2</w:t>
            </w:r>
            <w:r w:rsidR="00F97E98">
              <w:rPr>
                <w:noProof/>
                <w:webHidden/>
              </w:rPr>
              <w:fldChar w:fldCharType="end"/>
            </w:r>
          </w:hyperlink>
        </w:p>
        <w:p w14:paraId="7F944F88" w14:textId="3FFCF99D" w:rsidR="00F97E98" w:rsidRDefault="00191A0B">
          <w:pPr>
            <w:pStyle w:val="TOC1"/>
            <w:tabs>
              <w:tab w:val="left" w:pos="440"/>
              <w:tab w:val="right" w:leader="dot" w:pos="9062"/>
            </w:tabs>
            <w:rPr>
              <w:rFonts w:eastAsiaTheme="minorEastAsia"/>
              <w:noProof/>
              <w:szCs w:val="22"/>
            </w:rPr>
          </w:pPr>
          <w:hyperlink w:anchor="_Toc137741648" w:history="1">
            <w:r w:rsidR="00F97E98" w:rsidRPr="00774E12">
              <w:rPr>
                <w:rStyle w:val="Hyperlink"/>
                <w:rFonts w:ascii="Times New Roman" w:eastAsia="Times New Roman" w:hAnsi="Times New Roman" w:cs="Times New Roman"/>
                <w:noProof/>
                <w:lang w:val="pl-PL"/>
              </w:rPr>
              <w:t>II.</w:t>
            </w:r>
            <w:r w:rsidR="00F97E98">
              <w:rPr>
                <w:rFonts w:eastAsiaTheme="minorEastAsia"/>
                <w:noProof/>
                <w:szCs w:val="22"/>
              </w:rPr>
              <w:tab/>
            </w:r>
            <w:r w:rsidR="00F97E98" w:rsidRPr="00774E12">
              <w:rPr>
                <w:rStyle w:val="Hyperlink"/>
                <w:rFonts w:ascii="Times New Roman" w:hAnsi="Times New Roman"/>
                <w:noProof/>
                <w:lang w:val="pl-PL"/>
              </w:rPr>
              <w:t>Wymóg zawarty</w:t>
            </w:r>
            <w:r w:rsidR="00534316" w:rsidRPr="00774E12">
              <w:rPr>
                <w:rStyle w:val="Hyperlink"/>
                <w:rFonts w:ascii="Times New Roman" w:hAnsi="Times New Roman"/>
                <w:noProof/>
                <w:lang w:val="pl-PL"/>
              </w:rPr>
              <w:t xml:space="preserve"> w</w:t>
            </w:r>
            <w:r w:rsidR="00534316">
              <w:rPr>
                <w:rStyle w:val="Hyperlink"/>
                <w:rFonts w:ascii="Times New Roman" w:hAnsi="Times New Roman"/>
                <w:noProof/>
                <w:lang w:val="pl-PL"/>
              </w:rPr>
              <w:t> </w:t>
            </w:r>
            <w:r w:rsidR="00534316" w:rsidRPr="00534316">
              <w:rPr>
                <w:rStyle w:val="Hyperlink"/>
                <w:rFonts w:ascii="Times New Roman" w:hAnsi="Times New Roman"/>
                <w:noProof/>
                <w:lang w:val="pl-PL"/>
              </w:rPr>
              <w:t>art</w:t>
            </w:r>
            <w:r w:rsidR="00F97E98" w:rsidRPr="00534316">
              <w:rPr>
                <w:rStyle w:val="Hyperlink"/>
                <w:rFonts w:ascii="Times New Roman" w:hAnsi="Times New Roman"/>
                <w:noProof/>
                <w:lang w:val="pl-PL"/>
              </w:rPr>
              <w:t>.</w:t>
            </w:r>
            <w:r w:rsidR="00534316" w:rsidRPr="00534316">
              <w:rPr>
                <w:rStyle w:val="Hyperlink"/>
                <w:rFonts w:ascii="Times New Roman" w:hAnsi="Times New Roman"/>
                <w:noProof/>
                <w:lang w:val="pl-PL"/>
              </w:rPr>
              <w:t> </w:t>
            </w:r>
            <w:r w:rsidR="00F97E98" w:rsidRPr="00534316">
              <w:rPr>
                <w:rStyle w:val="Hyperlink"/>
                <w:rFonts w:ascii="Times New Roman" w:hAnsi="Times New Roman"/>
                <w:noProof/>
                <w:lang w:val="pl-PL"/>
              </w:rPr>
              <w:t>2</w:t>
            </w:r>
            <w:r w:rsidR="00F97E98" w:rsidRPr="00774E12">
              <w:rPr>
                <w:rStyle w:val="Hyperlink"/>
                <w:rFonts w:ascii="Times New Roman" w:hAnsi="Times New Roman"/>
                <w:noProof/>
                <w:lang w:val="pl-PL"/>
              </w:rPr>
              <w:t>0 rozporządzenia Rady</w:t>
            </w:r>
            <w:r w:rsidR="00F97E98">
              <w:rPr>
                <w:noProof/>
                <w:webHidden/>
              </w:rPr>
              <w:tab/>
            </w:r>
            <w:r w:rsidR="00F97E98">
              <w:rPr>
                <w:noProof/>
                <w:webHidden/>
              </w:rPr>
              <w:fldChar w:fldCharType="begin"/>
            </w:r>
            <w:r w:rsidR="00F97E98">
              <w:rPr>
                <w:noProof/>
                <w:webHidden/>
              </w:rPr>
              <w:instrText xml:space="preserve"> PAGEREF _Toc137741648 \h </w:instrText>
            </w:r>
            <w:r w:rsidR="00F97E98">
              <w:rPr>
                <w:noProof/>
                <w:webHidden/>
              </w:rPr>
            </w:r>
            <w:r w:rsidR="00F97E98">
              <w:rPr>
                <w:noProof/>
                <w:webHidden/>
              </w:rPr>
              <w:fldChar w:fldCharType="separate"/>
            </w:r>
            <w:r w:rsidR="00E27365">
              <w:rPr>
                <w:noProof/>
                <w:webHidden/>
              </w:rPr>
              <w:t>5</w:t>
            </w:r>
            <w:r w:rsidR="00F97E98">
              <w:rPr>
                <w:noProof/>
                <w:webHidden/>
              </w:rPr>
              <w:fldChar w:fldCharType="end"/>
            </w:r>
          </w:hyperlink>
        </w:p>
        <w:p w14:paraId="77BC2191" w14:textId="00C626CB" w:rsidR="00F97E98" w:rsidRDefault="00191A0B">
          <w:pPr>
            <w:pStyle w:val="TOC1"/>
            <w:tabs>
              <w:tab w:val="left" w:pos="660"/>
              <w:tab w:val="right" w:leader="dot" w:pos="9062"/>
            </w:tabs>
            <w:rPr>
              <w:rFonts w:eastAsiaTheme="minorEastAsia"/>
              <w:noProof/>
              <w:szCs w:val="22"/>
            </w:rPr>
          </w:pPr>
          <w:hyperlink w:anchor="_Toc137741649" w:history="1">
            <w:r w:rsidR="00F97E98" w:rsidRPr="00774E12">
              <w:rPr>
                <w:rStyle w:val="Hyperlink"/>
                <w:rFonts w:ascii="Times New Roman" w:eastAsia="Times New Roman" w:hAnsi="Times New Roman" w:cs="Times New Roman"/>
                <w:noProof/>
                <w:lang w:val="pl-PL"/>
              </w:rPr>
              <w:t>III.</w:t>
            </w:r>
            <w:r w:rsidR="00EB2F05">
              <w:rPr>
                <w:rFonts w:eastAsiaTheme="minorEastAsia"/>
                <w:noProof/>
                <w:szCs w:val="22"/>
              </w:rPr>
              <w:t xml:space="preserve">   </w:t>
            </w:r>
            <w:r w:rsidR="00F97E98" w:rsidRPr="00774E12">
              <w:rPr>
                <w:rStyle w:val="Hyperlink"/>
                <w:rFonts w:ascii="Times New Roman" w:hAnsi="Times New Roman"/>
                <w:noProof/>
                <w:lang w:val="pl-PL"/>
              </w:rPr>
              <w:t>Obecne warunki na rynku energii elektrycznej</w:t>
            </w:r>
            <w:r w:rsidR="00F97E98">
              <w:rPr>
                <w:noProof/>
                <w:webHidden/>
              </w:rPr>
              <w:tab/>
            </w:r>
            <w:r w:rsidR="00F97E98">
              <w:rPr>
                <w:noProof/>
                <w:webHidden/>
              </w:rPr>
              <w:fldChar w:fldCharType="begin"/>
            </w:r>
            <w:r w:rsidR="00F97E98">
              <w:rPr>
                <w:noProof/>
                <w:webHidden/>
              </w:rPr>
              <w:instrText xml:space="preserve"> PAGEREF _Toc137741649 \h </w:instrText>
            </w:r>
            <w:r w:rsidR="00F97E98">
              <w:rPr>
                <w:noProof/>
                <w:webHidden/>
              </w:rPr>
            </w:r>
            <w:r w:rsidR="00F97E98">
              <w:rPr>
                <w:noProof/>
                <w:webHidden/>
              </w:rPr>
              <w:fldChar w:fldCharType="separate"/>
            </w:r>
            <w:r w:rsidR="00E27365">
              <w:rPr>
                <w:noProof/>
                <w:webHidden/>
              </w:rPr>
              <w:t>6</w:t>
            </w:r>
            <w:r w:rsidR="00F97E98">
              <w:rPr>
                <w:noProof/>
                <w:webHidden/>
              </w:rPr>
              <w:fldChar w:fldCharType="end"/>
            </w:r>
          </w:hyperlink>
        </w:p>
        <w:p w14:paraId="0760BFF9" w14:textId="0EF89E5D" w:rsidR="00F97E98" w:rsidRDefault="00191A0B">
          <w:pPr>
            <w:pStyle w:val="TOC1"/>
            <w:tabs>
              <w:tab w:val="left" w:pos="660"/>
              <w:tab w:val="right" w:leader="dot" w:pos="9062"/>
            </w:tabs>
            <w:rPr>
              <w:rFonts w:eastAsiaTheme="minorEastAsia"/>
              <w:noProof/>
              <w:szCs w:val="22"/>
            </w:rPr>
          </w:pPr>
          <w:hyperlink w:anchor="_Toc137741650" w:history="1">
            <w:r w:rsidR="00F97E98" w:rsidRPr="00774E12">
              <w:rPr>
                <w:rStyle w:val="Hyperlink"/>
                <w:rFonts w:ascii="Times New Roman" w:eastAsia="Times New Roman" w:hAnsi="Times New Roman" w:cs="Times New Roman"/>
                <w:noProof/>
                <w:lang w:val="pl-PL"/>
              </w:rPr>
              <w:t>IV.</w:t>
            </w:r>
            <w:r w:rsidR="00EB2F05">
              <w:rPr>
                <w:rFonts w:eastAsiaTheme="minorEastAsia"/>
                <w:noProof/>
                <w:szCs w:val="22"/>
              </w:rPr>
              <w:t xml:space="preserve">   </w:t>
            </w:r>
            <w:r w:rsidR="00F97E98" w:rsidRPr="00774E12">
              <w:rPr>
                <w:rStyle w:val="Hyperlink"/>
                <w:rFonts w:ascii="Times New Roman" w:hAnsi="Times New Roman"/>
                <w:noProof/>
                <w:lang w:val="pl-PL"/>
              </w:rPr>
              <w:t>Zmniejszenie zapotrzebowania na energię elektryczną</w:t>
            </w:r>
            <w:r w:rsidR="00F97E98">
              <w:rPr>
                <w:noProof/>
                <w:webHidden/>
              </w:rPr>
              <w:tab/>
            </w:r>
            <w:r w:rsidR="00F97E98">
              <w:rPr>
                <w:noProof/>
                <w:webHidden/>
              </w:rPr>
              <w:fldChar w:fldCharType="begin"/>
            </w:r>
            <w:r w:rsidR="00F97E98">
              <w:rPr>
                <w:noProof/>
                <w:webHidden/>
              </w:rPr>
              <w:instrText xml:space="preserve"> PAGEREF _Toc137741650 \h </w:instrText>
            </w:r>
            <w:r w:rsidR="00F97E98">
              <w:rPr>
                <w:noProof/>
                <w:webHidden/>
              </w:rPr>
            </w:r>
            <w:r w:rsidR="00F97E98">
              <w:rPr>
                <w:noProof/>
                <w:webHidden/>
              </w:rPr>
              <w:fldChar w:fldCharType="separate"/>
            </w:r>
            <w:r w:rsidR="00E27365">
              <w:rPr>
                <w:noProof/>
                <w:webHidden/>
              </w:rPr>
              <w:t>8</w:t>
            </w:r>
            <w:r w:rsidR="00F97E98">
              <w:rPr>
                <w:noProof/>
                <w:webHidden/>
              </w:rPr>
              <w:fldChar w:fldCharType="end"/>
            </w:r>
          </w:hyperlink>
        </w:p>
        <w:p w14:paraId="25B17685" w14:textId="67F05933" w:rsidR="00F97E98" w:rsidRDefault="00191A0B">
          <w:pPr>
            <w:pStyle w:val="TOC1"/>
            <w:tabs>
              <w:tab w:val="left" w:pos="440"/>
              <w:tab w:val="right" w:leader="dot" w:pos="9062"/>
            </w:tabs>
            <w:rPr>
              <w:rFonts w:eastAsiaTheme="minorEastAsia"/>
              <w:noProof/>
              <w:szCs w:val="22"/>
            </w:rPr>
          </w:pPr>
          <w:hyperlink w:anchor="_Toc137741651" w:history="1">
            <w:r w:rsidR="00F97E98" w:rsidRPr="00774E12">
              <w:rPr>
                <w:rStyle w:val="Hyperlink"/>
                <w:rFonts w:ascii="Times New Roman" w:eastAsia="Times New Roman" w:hAnsi="Times New Roman" w:cs="Times New Roman"/>
                <w:noProof/>
                <w:lang w:val="pl-PL"/>
              </w:rPr>
              <w:t>V.</w:t>
            </w:r>
            <w:r w:rsidR="00F97E98">
              <w:rPr>
                <w:rFonts w:eastAsiaTheme="minorEastAsia"/>
                <w:noProof/>
                <w:szCs w:val="22"/>
              </w:rPr>
              <w:tab/>
            </w:r>
            <w:r w:rsidR="00F97E98" w:rsidRPr="00774E12">
              <w:rPr>
                <w:rStyle w:val="Hyperlink"/>
                <w:rFonts w:ascii="Times New Roman" w:hAnsi="Times New Roman"/>
                <w:noProof/>
                <w:lang w:val="pl-PL"/>
              </w:rPr>
              <w:t>Pułap dochodów inframarginalnych</w:t>
            </w:r>
            <w:r w:rsidR="00F97E98">
              <w:rPr>
                <w:noProof/>
                <w:webHidden/>
              </w:rPr>
              <w:tab/>
            </w:r>
            <w:r w:rsidR="00F97E98">
              <w:rPr>
                <w:noProof/>
                <w:webHidden/>
              </w:rPr>
              <w:fldChar w:fldCharType="begin"/>
            </w:r>
            <w:r w:rsidR="00F97E98">
              <w:rPr>
                <w:noProof/>
                <w:webHidden/>
              </w:rPr>
              <w:instrText xml:space="preserve"> PAGEREF _Toc137741651 \h </w:instrText>
            </w:r>
            <w:r w:rsidR="00F97E98">
              <w:rPr>
                <w:noProof/>
                <w:webHidden/>
              </w:rPr>
            </w:r>
            <w:r w:rsidR="00F97E98">
              <w:rPr>
                <w:noProof/>
                <w:webHidden/>
              </w:rPr>
              <w:fldChar w:fldCharType="separate"/>
            </w:r>
            <w:r w:rsidR="00E27365">
              <w:rPr>
                <w:noProof/>
                <w:webHidden/>
              </w:rPr>
              <w:t>12</w:t>
            </w:r>
            <w:r w:rsidR="00F97E98">
              <w:rPr>
                <w:noProof/>
                <w:webHidden/>
              </w:rPr>
              <w:fldChar w:fldCharType="end"/>
            </w:r>
          </w:hyperlink>
        </w:p>
        <w:p w14:paraId="241C9599" w14:textId="69258B07" w:rsidR="00F97E98" w:rsidRDefault="00191A0B">
          <w:pPr>
            <w:pStyle w:val="TOC1"/>
            <w:tabs>
              <w:tab w:val="left" w:pos="660"/>
              <w:tab w:val="right" w:leader="dot" w:pos="9062"/>
            </w:tabs>
            <w:rPr>
              <w:rFonts w:eastAsiaTheme="minorEastAsia"/>
              <w:noProof/>
              <w:szCs w:val="22"/>
            </w:rPr>
          </w:pPr>
          <w:hyperlink w:anchor="_Toc137741652" w:history="1">
            <w:r w:rsidR="00F97E98" w:rsidRPr="00774E12">
              <w:rPr>
                <w:rStyle w:val="Hyperlink"/>
                <w:rFonts w:ascii="Times New Roman" w:eastAsia="Times New Roman" w:hAnsi="Times New Roman" w:cs="Times New Roman"/>
                <w:noProof/>
                <w:lang w:val="pl-PL"/>
              </w:rPr>
              <w:t>VI.</w:t>
            </w:r>
            <w:r w:rsidR="00EB2F05">
              <w:rPr>
                <w:rFonts w:eastAsiaTheme="minorEastAsia"/>
                <w:noProof/>
                <w:szCs w:val="22"/>
              </w:rPr>
              <w:t xml:space="preserve">   </w:t>
            </w:r>
            <w:r w:rsidR="00F97E98" w:rsidRPr="00774E12">
              <w:rPr>
                <w:rStyle w:val="Hyperlink"/>
                <w:rFonts w:ascii="Times New Roman" w:hAnsi="Times New Roman"/>
                <w:noProof/>
                <w:lang w:val="pl-PL"/>
              </w:rPr>
              <w:t>Wsparcie konsumentów końcowych</w:t>
            </w:r>
            <w:r w:rsidR="00F97E98">
              <w:rPr>
                <w:noProof/>
                <w:webHidden/>
              </w:rPr>
              <w:tab/>
            </w:r>
            <w:r w:rsidR="00F97E98">
              <w:rPr>
                <w:noProof/>
                <w:webHidden/>
              </w:rPr>
              <w:fldChar w:fldCharType="begin"/>
            </w:r>
            <w:r w:rsidR="00F97E98">
              <w:rPr>
                <w:noProof/>
                <w:webHidden/>
              </w:rPr>
              <w:instrText xml:space="preserve"> PAGEREF _Toc137741652 \h </w:instrText>
            </w:r>
            <w:r w:rsidR="00F97E98">
              <w:rPr>
                <w:noProof/>
                <w:webHidden/>
              </w:rPr>
            </w:r>
            <w:r w:rsidR="00F97E98">
              <w:rPr>
                <w:noProof/>
                <w:webHidden/>
              </w:rPr>
              <w:fldChar w:fldCharType="separate"/>
            </w:r>
            <w:r w:rsidR="00E27365">
              <w:rPr>
                <w:noProof/>
                <w:webHidden/>
              </w:rPr>
              <w:t>16</w:t>
            </w:r>
            <w:r w:rsidR="00F97E98">
              <w:rPr>
                <w:noProof/>
                <w:webHidden/>
              </w:rPr>
              <w:fldChar w:fldCharType="end"/>
            </w:r>
          </w:hyperlink>
        </w:p>
        <w:p w14:paraId="77A3DAC8" w14:textId="4DD04E1C" w:rsidR="00F97E98" w:rsidRDefault="00191A0B">
          <w:pPr>
            <w:pStyle w:val="TOC1"/>
            <w:tabs>
              <w:tab w:val="left" w:pos="660"/>
              <w:tab w:val="right" w:leader="dot" w:pos="9062"/>
            </w:tabs>
            <w:rPr>
              <w:rFonts w:eastAsiaTheme="minorEastAsia"/>
              <w:noProof/>
              <w:szCs w:val="22"/>
            </w:rPr>
          </w:pPr>
          <w:hyperlink w:anchor="_Toc137741653" w:history="1">
            <w:r w:rsidR="00F97E98" w:rsidRPr="00774E12">
              <w:rPr>
                <w:rStyle w:val="Hyperlink"/>
                <w:rFonts w:ascii="Times New Roman" w:eastAsia="Times New Roman" w:hAnsi="Times New Roman" w:cs="Times New Roman"/>
                <w:noProof/>
                <w:lang w:val="pl-PL"/>
              </w:rPr>
              <w:t>VII.</w:t>
            </w:r>
            <w:r w:rsidR="00EB2F05">
              <w:rPr>
                <w:rFonts w:eastAsiaTheme="minorEastAsia"/>
                <w:noProof/>
                <w:szCs w:val="22"/>
              </w:rPr>
              <w:t xml:space="preserve">  </w:t>
            </w:r>
            <w:r w:rsidR="00F97E98" w:rsidRPr="00774E12">
              <w:rPr>
                <w:rStyle w:val="Hyperlink"/>
                <w:rFonts w:ascii="Times New Roman" w:hAnsi="Times New Roman"/>
                <w:noProof/>
                <w:lang w:val="pl-PL"/>
              </w:rPr>
              <w:t>Wstępne wnioski</w:t>
            </w:r>
            <w:r w:rsidR="00F97E98">
              <w:rPr>
                <w:noProof/>
                <w:webHidden/>
              </w:rPr>
              <w:tab/>
            </w:r>
            <w:r w:rsidR="00F97E98">
              <w:rPr>
                <w:noProof/>
                <w:webHidden/>
              </w:rPr>
              <w:fldChar w:fldCharType="begin"/>
            </w:r>
            <w:r w:rsidR="00F97E98">
              <w:rPr>
                <w:noProof/>
                <w:webHidden/>
              </w:rPr>
              <w:instrText xml:space="preserve"> PAGEREF _Toc137741653 \h </w:instrText>
            </w:r>
            <w:r w:rsidR="00F97E98">
              <w:rPr>
                <w:noProof/>
                <w:webHidden/>
              </w:rPr>
            </w:r>
            <w:r w:rsidR="00F97E98">
              <w:rPr>
                <w:noProof/>
                <w:webHidden/>
              </w:rPr>
              <w:fldChar w:fldCharType="separate"/>
            </w:r>
            <w:r w:rsidR="00E27365">
              <w:rPr>
                <w:noProof/>
                <w:webHidden/>
              </w:rPr>
              <w:t>19</w:t>
            </w:r>
            <w:r w:rsidR="00F97E98">
              <w:rPr>
                <w:noProof/>
                <w:webHidden/>
              </w:rPr>
              <w:fldChar w:fldCharType="end"/>
            </w:r>
          </w:hyperlink>
        </w:p>
        <w:p w14:paraId="2D4C8DC5" w14:textId="640D2071" w:rsidR="2B9E9F58" w:rsidRPr="00F97E98" w:rsidRDefault="2B9E9F58" w:rsidP="0055297A">
          <w:pPr>
            <w:pStyle w:val="TOC1"/>
            <w:tabs>
              <w:tab w:val="left" w:pos="435"/>
              <w:tab w:val="right" w:leader="dot" w:pos="9060"/>
            </w:tabs>
            <w:rPr>
              <w:rStyle w:val="Hyperlink"/>
              <w:rFonts w:ascii="Times New Roman" w:eastAsia="Times New Roman" w:hAnsi="Times New Roman" w:cs="Times New Roman"/>
              <w:noProof/>
              <w:sz w:val="20"/>
              <w:lang w:val="pl-PL"/>
            </w:rPr>
          </w:pPr>
          <w:r w:rsidRPr="00F97E98">
            <w:rPr>
              <w:rFonts w:ascii="Times New Roman" w:hAnsi="Times New Roman" w:cs="Times New Roman"/>
              <w:noProof/>
              <w:color w:val="2B579A"/>
              <w:sz w:val="24"/>
              <w:shd w:val="clear" w:color="auto" w:fill="E6E6E6"/>
              <w:lang w:val="pl-PL"/>
            </w:rPr>
            <w:fldChar w:fldCharType="end"/>
          </w:r>
        </w:p>
      </w:sdtContent>
    </w:sdt>
    <w:p w14:paraId="6CE792B5" w14:textId="77777777" w:rsidR="00FE13A9" w:rsidRPr="00F97E98" w:rsidRDefault="00FE13A9" w:rsidP="2B9E9F58">
      <w:pPr>
        <w:spacing w:before="120" w:after="120" w:line="360" w:lineRule="auto"/>
        <w:rPr>
          <w:rFonts w:ascii="Times New Roman" w:eastAsia="Times New Roman" w:hAnsi="Times New Roman" w:cs="Times New Roman"/>
          <w:noProof/>
          <w:sz w:val="24"/>
          <w:lang w:val="pl-PL"/>
        </w:rPr>
      </w:pPr>
    </w:p>
    <w:p w14:paraId="0AF42949" w14:textId="77777777" w:rsidR="003477AB" w:rsidRPr="00F97E98" w:rsidRDefault="003477AB" w:rsidP="2B9E9F58">
      <w:pPr>
        <w:spacing w:before="120" w:after="120" w:line="360" w:lineRule="auto"/>
        <w:rPr>
          <w:rFonts w:ascii="Times New Roman" w:eastAsia="Times New Roman" w:hAnsi="Times New Roman" w:cs="Times New Roman"/>
          <w:b/>
          <w:noProof/>
          <w:sz w:val="28"/>
          <w:lang w:val="pl-PL"/>
        </w:rPr>
      </w:pPr>
      <w:r w:rsidRPr="00F97E98">
        <w:rPr>
          <w:noProof/>
          <w:lang w:val="pl-PL"/>
        </w:rPr>
        <w:br w:type="page"/>
      </w:r>
    </w:p>
    <w:p w14:paraId="27A6252A" w14:textId="1DAB1325" w:rsidR="004A5F4E" w:rsidRPr="00534316" w:rsidRDefault="50C8EFDC" w:rsidP="004A5F4E">
      <w:pPr>
        <w:pStyle w:val="Heading1"/>
        <w:keepNext w:val="0"/>
        <w:keepLines w:val="0"/>
        <w:spacing w:before="120" w:after="120" w:line="360" w:lineRule="auto"/>
        <w:rPr>
          <w:rFonts w:ascii="Times New Roman" w:eastAsia="Times New Roman" w:hAnsi="Times New Roman" w:cs="Times New Roman"/>
          <w:noProof/>
          <w:color w:val="auto"/>
          <w:lang w:val="pl-PL"/>
        </w:rPr>
      </w:pPr>
      <w:bookmarkStart w:id="2" w:name="_Toc635327308"/>
      <w:bookmarkStart w:id="3" w:name="_Toc1519658753"/>
      <w:bookmarkStart w:id="4" w:name="_Toc137741647"/>
      <w:r w:rsidRPr="004A5F4E">
        <w:rPr>
          <w:rFonts w:ascii="Times New Roman" w:hAnsi="Times New Roman"/>
          <w:noProof/>
          <w:color w:val="auto"/>
          <w:lang w:val="pl-PL"/>
        </w:rPr>
        <w:t>Wprowadzenie</w:t>
      </w:r>
      <w:bookmarkEnd w:id="2"/>
      <w:bookmarkEnd w:id="3"/>
      <w:bookmarkEnd w:id="4"/>
    </w:p>
    <w:p w14:paraId="68DA65F6" w14:textId="4FE92BAD" w:rsidR="00302342" w:rsidRPr="00F97E98" w:rsidRDefault="53553B70" w:rsidP="00033E4E">
      <w:pPr>
        <w:spacing w:before="120" w:after="120" w:line="360" w:lineRule="auto"/>
        <w:jc w:val="both"/>
        <w:rPr>
          <w:rFonts w:ascii="Times New Roman" w:eastAsia="Times New Roman" w:hAnsi="Times New Roman" w:cs="Times New Roman"/>
          <w:noProof/>
          <w:sz w:val="24"/>
          <w:lang w:val="pl-PL"/>
        </w:rPr>
      </w:pPr>
      <w:r w:rsidRPr="00534316">
        <w:rPr>
          <w:rFonts w:ascii="Times New Roman" w:hAnsi="Times New Roman"/>
          <w:noProof/>
          <w:sz w:val="24"/>
          <w:lang w:val="pl-PL"/>
        </w:rPr>
        <w:t>W</w:t>
      </w:r>
      <w:r w:rsidRPr="00F97E98">
        <w:rPr>
          <w:rFonts w:ascii="Times New Roman" w:hAnsi="Times New Roman"/>
          <w:noProof/>
          <w:sz w:val="24"/>
          <w:lang w:val="pl-PL"/>
        </w:rPr>
        <w:t xml:space="preserve"> niniejszym sprawozdaniu dokonuje się przeglądu przepisów zawartych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 xml:space="preserve">dziale II rozporządzenia 2022/1854 na podstawie </w:t>
      </w:r>
      <w:r w:rsidRPr="00534316">
        <w:rPr>
          <w:rFonts w:ascii="Times New Roman" w:hAnsi="Times New Roman"/>
          <w:noProof/>
          <w:sz w:val="24"/>
          <w:lang w:val="pl-PL"/>
        </w:rPr>
        <w:t>art.</w:t>
      </w:r>
      <w:r w:rsidR="00534316" w:rsidRPr="00534316">
        <w:rPr>
          <w:rFonts w:ascii="Times New Roman" w:hAnsi="Times New Roman"/>
          <w:noProof/>
          <w:sz w:val="24"/>
          <w:lang w:val="pl-PL"/>
        </w:rPr>
        <w:t> </w:t>
      </w:r>
      <w:r w:rsidRPr="00534316">
        <w:rPr>
          <w:rFonts w:ascii="Times New Roman" w:hAnsi="Times New Roman"/>
          <w:noProof/>
          <w:sz w:val="24"/>
          <w:lang w:val="pl-PL"/>
        </w:rPr>
        <w:t>2</w:t>
      </w:r>
      <w:r w:rsidRPr="00F97E98">
        <w:rPr>
          <w:rFonts w:ascii="Times New Roman" w:hAnsi="Times New Roman"/>
          <w:noProof/>
          <w:sz w:val="24"/>
          <w:lang w:val="pl-PL"/>
        </w:rPr>
        <w:t xml:space="preserve">0 </w:t>
      </w:r>
      <w:r w:rsidRPr="00534316">
        <w:rPr>
          <w:rFonts w:ascii="Times New Roman" w:hAnsi="Times New Roman"/>
          <w:noProof/>
          <w:sz w:val="24"/>
          <w:lang w:val="pl-PL"/>
        </w:rPr>
        <w:t>ust.</w:t>
      </w:r>
      <w:r w:rsidR="00534316" w:rsidRPr="00534316">
        <w:rPr>
          <w:rFonts w:ascii="Times New Roman" w:hAnsi="Times New Roman"/>
          <w:noProof/>
          <w:sz w:val="24"/>
          <w:lang w:val="pl-PL"/>
        </w:rPr>
        <w:t> </w:t>
      </w:r>
      <w:r w:rsidRPr="00534316">
        <w:rPr>
          <w:rFonts w:ascii="Times New Roman" w:hAnsi="Times New Roman"/>
          <w:noProof/>
          <w:sz w:val="24"/>
          <w:lang w:val="pl-PL"/>
        </w:rPr>
        <w:t>1</w:t>
      </w:r>
      <w:r w:rsidRPr="00F97E98">
        <w:rPr>
          <w:rFonts w:ascii="Times New Roman" w:hAnsi="Times New Roman"/>
          <w:noProof/>
          <w:sz w:val="24"/>
          <w:lang w:val="pl-PL"/>
        </w:rPr>
        <w:t xml:space="preserve"> tego rozporządzenia (</w:t>
      </w:r>
      <w:r w:rsidRPr="00F97E98">
        <w:rPr>
          <w:rFonts w:ascii="Times New Roman" w:hAnsi="Times New Roman"/>
          <w:b/>
          <w:i/>
          <w:noProof/>
          <w:sz w:val="24"/>
          <w:lang w:val="pl-PL"/>
        </w:rPr>
        <w:t>rozporządzenie Rady</w:t>
      </w:r>
      <w:r w:rsidRPr="00F97E98">
        <w:rPr>
          <w:rFonts w:ascii="Times New Roman" w:hAnsi="Times New Roman"/>
          <w:noProof/>
          <w:sz w:val="24"/>
          <w:lang w:val="pl-PL"/>
        </w:rPr>
        <w:t>)</w:t>
      </w:r>
      <w:r w:rsidRPr="00F97E98">
        <w:rPr>
          <w:rStyle w:val="FootnoteReference"/>
          <w:rFonts w:ascii="Times New Roman" w:eastAsia="Times New Roman" w:hAnsi="Times New Roman" w:cs="Times New Roman"/>
          <w:noProof/>
          <w:sz w:val="24"/>
          <w:lang w:val="pl-PL"/>
        </w:rPr>
        <w:footnoteReference w:id="2"/>
      </w:r>
      <w:r w:rsidRPr="00F97E98">
        <w:rPr>
          <w:noProof/>
          <w:lang w:val="pl-PL"/>
        </w:rPr>
        <w:t>.</w:t>
      </w:r>
      <w:r w:rsidRPr="00F97E98">
        <w:rPr>
          <w:rFonts w:ascii="Times New Roman" w:hAnsi="Times New Roman"/>
          <w:noProof/>
          <w:sz w:val="24"/>
          <w:lang w:val="pl-PL"/>
        </w:rPr>
        <w:t xml:space="preserve"> Sprawozdanie opiera się na informacjach przekazanych przez 25 państw członkowskich zgodnie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534316">
        <w:rPr>
          <w:rFonts w:ascii="Times New Roman" w:hAnsi="Times New Roman"/>
          <w:noProof/>
          <w:sz w:val="24"/>
          <w:lang w:val="pl-PL"/>
        </w:rPr>
        <w:t>art</w:t>
      </w:r>
      <w:r w:rsidRPr="00534316">
        <w:rPr>
          <w:rFonts w:ascii="Times New Roman" w:hAnsi="Times New Roman"/>
          <w:noProof/>
          <w:sz w:val="24"/>
          <w:lang w:val="pl-PL"/>
        </w:rPr>
        <w:t>.</w:t>
      </w:r>
      <w:r w:rsidR="00534316" w:rsidRPr="00534316">
        <w:rPr>
          <w:rFonts w:ascii="Times New Roman" w:hAnsi="Times New Roman"/>
          <w:noProof/>
          <w:sz w:val="24"/>
          <w:lang w:val="pl-PL"/>
        </w:rPr>
        <w:t> </w:t>
      </w:r>
      <w:r w:rsidRPr="00534316">
        <w:rPr>
          <w:rFonts w:ascii="Times New Roman" w:hAnsi="Times New Roman"/>
          <w:noProof/>
          <w:sz w:val="24"/>
          <w:lang w:val="pl-PL"/>
        </w:rPr>
        <w:t>1</w:t>
      </w:r>
      <w:r w:rsidRPr="00F97E98">
        <w:rPr>
          <w:rFonts w:ascii="Times New Roman" w:hAnsi="Times New Roman"/>
          <w:noProof/>
          <w:sz w:val="24"/>
          <w:lang w:val="pl-PL"/>
        </w:rPr>
        <w:t>9 rozporządzenia Rady. Opracowano je również</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uwz</w:t>
      </w:r>
      <w:r w:rsidRPr="00F97E98">
        <w:rPr>
          <w:rFonts w:ascii="Times New Roman" w:hAnsi="Times New Roman"/>
          <w:noProof/>
          <w:sz w:val="24"/>
          <w:lang w:val="pl-PL"/>
        </w:rPr>
        <w:t>ględnieniem odpowiedzi na niektóre pytania, które Komisja Europejska (</w:t>
      </w:r>
      <w:r w:rsidRPr="00F97E98">
        <w:rPr>
          <w:rFonts w:ascii="Times New Roman" w:hAnsi="Times New Roman"/>
          <w:b/>
          <w:i/>
          <w:noProof/>
          <w:sz w:val="24"/>
          <w:lang w:val="pl-PL"/>
        </w:rPr>
        <w:t>Komisja</w:t>
      </w:r>
      <w:r w:rsidRPr="00F97E98">
        <w:rPr>
          <w:rFonts w:ascii="Times New Roman" w:hAnsi="Times New Roman"/>
          <w:noProof/>
          <w:sz w:val="24"/>
          <w:lang w:val="pl-PL"/>
        </w:rPr>
        <w:t>) zadała podczas konsultacji publicznych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spr</w:t>
      </w:r>
      <w:r w:rsidRPr="00F97E98">
        <w:rPr>
          <w:rFonts w:ascii="Times New Roman" w:hAnsi="Times New Roman"/>
          <w:noProof/>
          <w:sz w:val="24"/>
          <w:lang w:val="pl-PL"/>
        </w:rPr>
        <w:t>awie wniosku Komisji dotyczącego reformy struktury rynku energii elektrycznej.</w:t>
      </w:r>
    </w:p>
    <w:p w14:paraId="1D867758" w14:textId="2FA48328" w:rsidR="00302342" w:rsidRPr="00F97E98" w:rsidRDefault="48938A0F" w:rsidP="00033E4E">
      <w:pPr>
        <w:spacing w:before="120" w:after="120" w:line="360" w:lineRule="auto"/>
        <w:jc w:val="both"/>
        <w:rPr>
          <w:rStyle w:val="normaltextrun"/>
          <w:rFonts w:ascii="Times New Roman" w:eastAsia="Times New Roman" w:hAnsi="Times New Roman" w:cs="Times New Roman"/>
          <w:noProof/>
          <w:sz w:val="24"/>
          <w:shd w:val="clear" w:color="auto" w:fill="FFFFFF"/>
          <w:lang w:val="pl-PL"/>
        </w:rPr>
      </w:pPr>
      <w:r w:rsidRPr="00F97E98">
        <w:rPr>
          <w:rFonts w:ascii="Times New Roman" w:hAnsi="Times New Roman"/>
          <w:noProof/>
          <w:sz w:val="24"/>
          <w:lang w:val="pl-PL"/>
        </w:rPr>
        <w:t xml:space="preserve">Rozporządzenie Rady było jednym ze środków, za pomocą których Unia odpowiedziała na kryzys energetyczny, który rozwinął się </w:t>
      </w:r>
      <w:r w:rsidRPr="00F97E98">
        <w:rPr>
          <w:rStyle w:val="normaltextrun"/>
          <w:rFonts w:ascii="Times New Roman" w:hAnsi="Times New Roman"/>
          <w:noProof/>
          <w:sz w:val="24"/>
          <w:shd w:val="clear" w:color="auto" w:fill="FFFFFF"/>
          <w:lang w:val="pl-PL"/>
        </w:rPr>
        <w:t>na przestrzeni dwóch ostatnich lat, powodując znacznie wyższe ceny energii elektrycznej niż</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ost</w:t>
      </w:r>
      <w:r w:rsidRPr="00F97E98">
        <w:rPr>
          <w:rStyle w:val="normaltextrun"/>
          <w:rFonts w:ascii="Times New Roman" w:hAnsi="Times New Roman"/>
          <w:noProof/>
          <w:sz w:val="24"/>
          <w:shd w:val="clear" w:color="auto" w:fill="FFFFFF"/>
          <w:lang w:val="pl-PL"/>
        </w:rPr>
        <w:t>atnich dziesięcioleciach.</w:t>
      </w:r>
      <w:r w:rsidR="00F97E98">
        <w:rPr>
          <w:rStyle w:val="normaltextrun"/>
          <w:rFonts w:ascii="Times New Roman" w:hAnsi="Times New Roman"/>
          <w:noProof/>
          <w:sz w:val="24"/>
          <w:shd w:val="clear" w:color="auto" w:fill="FFFFFF"/>
          <w:lang w:val="pl-PL"/>
        </w:rPr>
        <w:t xml:space="preserve"> </w:t>
      </w:r>
      <w:r w:rsidRPr="00F97E98">
        <w:rPr>
          <w:rStyle w:val="normaltextrun"/>
          <w:rFonts w:ascii="Times New Roman" w:hAnsi="Times New Roman"/>
          <w:noProof/>
          <w:sz w:val="24"/>
          <w:shd w:val="clear" w:color="auto" w:fill="FFFFFF"/>
          <w:lang w:val="pl-PL"/>
        </w:rPr>
        <w:t>Ceny zaczęły gwałtownie rosnąć latem 20</w:t>
      </w:r>
      <w:r w:rsidRPr="00534316">
        <w:rPr>
          <w:rStyle w:val="normaltextrun"/>
          <w:rFonts w:ascii="Times New Roman" w:hAnsi="Times New Roman"/>
          <w:noProof/>
          <w:sz w:val="24"/>
          <w:shd w:val="clear" w:color="auto" w:fill="FFFFFF"/>
          <w:lang w:val="pl-PL"/>
        </w:rPr>
        <w:t>21</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r w:rsidRPr="00F97E98">
        <w:rPr>
          <w:rStyle w:val="normaltextrun"/>
          <w:rFonts w:ascii="Times New Roman" w:hAnsi="Times New Roman"/>
          <w:noProof/>
          <w:sz w:val="24"/>
          <w:shd w:val="clear" w:color="auto" w:fill="FFFFFF"/>
          <w:lang w:val="pl-PL"/>
        </w:rPr>
        <w:t>, kiedy po złagodzeniu ograniczeń związanych z COVID-19 gospodarka światowa przyspieszyła. Następnie wykorzystanie przez Rosję źródeł energii jako broni na rynkach kasowych oraz inwazja Rosji na Ukrainę doprowadziły do znacznego obniżenia poziomów dostaw gazu</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zwi</w:t>
      </w:r>
      <w:r w:rsidRPr="00F97E98">
        <w:rPr>
          <w:rStyle w:val="normaltextrun"/>
          <w:rFonts w:ascii="Times New Roman" w:hAnsi="Times New Roman"/>
          <w:noProof/>
          <w:sz w:val="24"/>
          <w:shd w:val="clear" w:color="auto" w:fill="FFFFFF"/>
          <w:lang w:val="pl-PL"/>
        </w:rPr>
        <w:t>ększenia zakłóceń</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dos</w:t>
      </w:r>
      <w:r w:rsidRPr="00F97E98">
        <w:rPr>
          <w:rStyle w:val="normaltextrun"/>
          <w:rFonts w:ascii="Times New Roman" w:hAnsi="Times New Roman"/>
          <w:noProof/>
          <w:sz w:val="24"/>
          <w:shd w:val="clear" w:color="auto" w:fill="FFFFFF"/>
          <w:lang w:val="pl-PL"/>
        </w:rPr>
        <w:t>tawach tego surowca, co spowodowało wzrost cen gazu. Wysokie ceny gazu mają znaczący wpływ na cenę energii elektrycznej, ponieważ elektrownie gazowe są często potrzebne, aby zaspokoić zapotrzebowanie na energię elektryczną.</w:t>
      </w:r>
    </w:p>
    <w:p w14:paraId="4A9D30CD" w14:textId="124E711D" w:rsidR="00302342" w:rsidRPr="00F97E98" w:rsidRDefault="7F335913"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Od początku kryzysu energetycznego Komisja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peł</w:t>
      </w:r>
      <w:r w:rsidRPr="00F97E98">
        <w:rPr>
          <w:rFonts w:ascii="Times New Roman" w:hAnsi="Times New Roman"/>
          <w:noProof/>
          <w:sz w:val="24"/>
          <w:lang w:val="pl-PL"/>
        </w:rPr>
        <w:t>ni zaangażowała się</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łag</w:t>
      </w:r>
      <w:r w:rsidRPr="00F97E98">
        <w:rPr>
          <w:rFonts w:ascii="Times New Roman" w:hAnsi="Times New Roman"/>
          <w:noProof/>
          <w:sz w:val="24"/>
          <w:lang w:val="pl-PL"/>
        </w:rPr>
        <w:t>odzenie skutków wysokich cen energii dla obywateli</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edsiębiorstw w UE</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szy</w:t>
      </w:r>
      <w:r w:rsidRPr="00F97E98">
        <w:rPr>
          <w:rFonts w:ascii="Times New Roman" w:hAnsi="Times New Roman"/>
          <w:noProof/>
          <w:sz w:val="24"/>
          <w:lang w:val="pl-PL"/>
        </w:rPr>
        <w:t>bko opracowała,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ści</w:t>
      </w:r>
      <w:r w:rsidRPr="00F97E98">
        <w:rPr>
          <w:rFonts w:ascii="Times New Roman" w:hAnsi="Times New Roman"/>
          <w:noProof/>
          <w:sz w:val="24"/>
          <w:lang w:val="pl-PL"/>
        </w:rPr>
        <w:t>słej współpracy</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pań</w:t>
      </w:r>
      <w:r w:rsidRPr="00F97E98">
        <w:rPr>
          <w:rFonts w:ascii="Times New Roman" w:hAnsi="Times New Roman"/>
          <w:noProof/>
          <w:sz w:val="24"/>
          <w:lang w:val="pl-PL"/>
        </w:rPr>
        <w:t xml:space="preserve">stwami członkowskimi, zestaw rozwiązań politycznych. </w:t>
      </w:r>
    </w:p>
    <w:p w14:paraId="0B660D68" w14:textId="104B441F" w:rsidR="001222FB" w:rsidRPr="00F97E98" w:rsidRDefault="43A42099" w:rsidP="2B9E9F58">
      <w:pPr>
        <w:spacing w:before="120" w:after="120" w:line="360" w:lineRule="auto"/>
        <w:jc w:val="both"/>
        <w:rPr>
          <w:rStyle w:val="normaltextrun"/>
          <w:rFonts w:ascii="Times New Roman" w:eastAsia="Times New Roman" w:hAnsi="Times New Roman" w:cs="Times New Roman"/>
          <w:noProof/>
          <w:sz w:val="24"/>
          <w:shd w:val="clear" w:color="auto" w:fill="FFFFFF"/>
          <w:lang w:val="pl-PL"/>
        </w:rPr>
      </w:pPr>
      <w:r w:rsidRPr="00F97E98">
        <w:rPr>
          <w:rStyle w:val="normaltextrun"/>
          <w:rFonts w:ascii="Times New Roman" w:hAnsi="Times New Roman"/>
          <w:noProof/>
          <w:sz w:val="24"/>
          <w:shd w:val="clear" w:color="auto" w:fill="FFFFFF"/>
          <w:lang w:val="pl-PL"/>
        </w:rPr>
        <w:t>W październiku 20</w:t>
      </w:r>
      <w:r w:rsidRPr="00534316">
        <w:rPr>
          <w:rStyle w:val="normaltextrun"/>
          <w:rFonts w:ascii="Times New Roman" w:hAnsi="Times New Roman"/>
          <w:noProof/>
          <w:sz w:val="24"/>
          <w:shd w:val="clear" w:color="auto" w:fill="FFFFFF"/>
          <w:lang w:val="pl-PL"/>
        </w:rPr>
        <w:t>21</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r w:rsidRPr="00F97E98">
        <w:rPr>
          <w:rStyle w:val="normaltextrun"/>
          <w:rFonts w:ascii="Times New Roman" w:hAnsi="Times New Roman"/>
          <w:noProof/>
          <w:sz w:val="24"/>
          <w:shd w:val="clear" w:color="auto" w:fill="FFFFFF"/>
          <w:lang w:val="pl-PL"/>
        </w:rPr>
        <w:t xml:space="preserve"> UE przedstawiła zestaw narzędzi dotyczących cen energii obejmujący środki służące rozwiązaniu problemu wysokich cen</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ich</w:t>
      </w:r>
      <w:r w:rsidRPr="00F97E98">
        <w:rPr>
          <w:rStyle w:val="normaltextrun"/>
          <w:rFonts w:ascii="Times New Roman" w:hAnsi="Times New Roman"/>
          <w:noProof/>
          <w:sz w:val="24"/>
          <w:shd w:val="clear" w:color="auto" w:fill="FFFFFF"/>
          <w:lang w:val="pl-PL"/>
        </w:rPr>
        <w:t xml:space="preserve"> skutków dla konsumentów (w tym wsparcie dochodu, ulgi podatkowe, środki</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zak</w:t>
      </w:r>
      <w:r w:rsidRPr="00F97E98">
        <w:rPr>
          <w:rStyle w:val="normaltextrun"/>
          <w:rFonts w:ascii="Times New Roman" w:hAnsi="Times New Roman"/>
          <w:noProof/>
          <w:sz w:val="24"/>
          <w:shd w:val="clear" w:color="auto" w:fill="FFFFFF"/>
          <w:lang w:val="pl-PL"/>
        </w:rPr>
        <w:t>resie oszczędności gazu</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mag</w:t>
      </w:r>
      <w:r w:rsidRPr="00F97E98">
        <w:rPr>
          <w:rStyle w:val="normaltextrun"/>
          <w:rFonts w:ascii="Times New Roman" w:hAnsi="Times New Roman"/>
          <w:noProof/>
          <w:sz w:val="24"/>
          <w:shd w:val="clear" w:color="auto" w:fill="FFFFFF"/>
          <w:lang w:val="pl-PL"/>
        </w:rPr>
        <w:t>azynowania)</w:t>
      </w:r>
      <w:r w:rsidRPr="00F97E98">
        <w:rPr>
          <w:rStyle w:val="FootnoteReference"/>
          <w:rFonts w:ascii="Times New Roman" w:eastAsia="Times New Roman" w:hAnsi="Times New Roman" w:cs="Times New Roman"/>
          <w:noProof/>
          <w:sz w:val="24"/>
          <w:shd w:val="clear" w:color="auto" w:fill="FFFFFF"/>
          <w:lang w:val="pl-PL"/>
        </w:rPr>
        <w:footnoteReference w:id="3"/>
      </w:r>
      <w:r w:rsidRPr="00F97E98">
        <w:rPr>
          <w:noProof/>
          <w:lang w:val="pl-PL"/>
        </w:rPr>
        <w:t>.</w:t>
      </w:r>
      <w:r w:rsidRPr="00F97E98">
        <w:rPr>
          <w:rStyle w:val="normaltextrun"/>
          <w:rFonts w:ascii="Times New Roman" w:hAnsi="Times New Roman"/>
          <w:noProof/>
          <w:sz w:val="24"/>
          <w:shd w:val="clear" w:color="auto" w:fill="FFFFFF"/>
          <w:lang w:val="pl-PL"/>
        </w:rPr>
        <w:t>Działo się to</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kon</w:t>
      </w:r>
      <w:r w:rsidRPr="00F97E98">
        <w:rPr>
          <w:rStyle w:val="normaltextrun"/>
          <w:rFonts w:ascii="Times New Roman" w:hAnsi="Times New Roman"/>
          <w:noProof/>
          <w:sz w:val="24"/>
          <w:shd w:val="clear" w:color="auto" w:fill="FFFFFF"/>
          <w:lang w:val="pl-PL"/>
        </w:rPr>
        <w:t>tekście wykorzystania dostaw gazu jako broni</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man</w:t>
      </w:r>
      <w:r w:rsidRPr="00F97E98">
        <w:rPr>
          <w:rStyle w:val="normaltextrun"/>
          <w:rFonts w:ascii="Times New Roman" w:hAnsi="Times New Roman"/>
          <w:noProof/>
          <w:sz w:val="24"/>
          <w:shd w:val="clear" w:color="auto" w:fill="FFFFFF"/>
          <w:lang w:val="pl-PL"/>
        </w:rPr>
        <w:t xml:space="preserve">ipulowania przez Rosję rynkami energii poprzez celowe zakłócenia przepływów gazu, co wywołało większe obawy dotyczące możliwych niedoborów, których skutkiem jest bezprecedensowy wzrost cen energii. </w:t>
      </w:r>
    </w:p>
    <w:p w14:paraId="651CF598" w14:textId="0A1FCDCF" w:rsidR="00302342" w:rsidRPr="00F97E98" w:rsidRDefault="68C42193" w:rsidP="6E35EF87">
      <w:pPr>
        <w:spacing w:before="120" w:after="120" w:line="360" w:lineRule="auto"/>
        <w:jc w:val="both"/>
        <w:rPr>
          <w:rStyle w:val="eop"/>
          <w:rFonts w:ascii="Times New Roman" w:eastAsia="Times New Roman" w:hAnsi="Times New Roman" w:cs="Times New Roman"/>
          <w:noProof/>
          <w:color w:val="000000" w:themeColor="text1"/>
          <w:sz w:val="24"/>
          <w:lang w:val="pl-PL"/>
        </w:rPr>
      </w:pPr>
      <w:r w:rsidRPr="00F97E98">
        <w:rPr>
          <w:rStyle w:val="normaltextrun"/>
          <w:rFonts w:ascii="Times New Roman" w:hAnsi="Times New Roman"/>
          <w:noProof/>
          <w:sz w:val="24"/>
          <w:shd w:val="clear" w:color="auto" w:fill="FFFFFF"/>
          <w:lang w:val="pl-PL"/>
        </w:rPr>
        <w:t>W następstwie rosyjskiej inwazji na Ukrainę</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lut</w:t>
      </w:r>
      <w:r w:rsidRPr="00F97E98">
        <w:rPr>
          <w:rStyle w:val="normaltextrun"/>
          <w:rFonts w:ascii="Times New Roman" w:hAnsi="Times New Roman"/>
          <w:noProof/>
          <w:sz w:val="24"/>
          <w:shd w:val="clear" w:color="auto" w:fill="FFFFFF"/>
          <w:lang w:val="pl-PL"/>
        </w:rPr>
        <w:t>ym 20</w:t>
      </w:r>
      <w:r w:rsidRPr="00534316">
        <w:rPr>
          <w:rStyle w:val="normaltextrun"/>
          <w:rFonts w:ascii="Times New Roman" w:hAnsi="Times New Roman"/>
          <w:noProof/>
          <w:sz w:val="24"/>
          <w:shd w:val="clear" w:color="auto" w:fill="FFFFFF"/>
          <w:lang w:val="pl-PL"/>
        </w:rPr>
        <w:t>22</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r w:rsidRPr="00F97E98">
        <w:rPr>
          <w:rStyle w:val="normaltextrun"/>
          <w:rFonts w:ascii="Times New Roman" w:hAnsi="Times New Roman"/>
          <w:noProof/>
          <w:sz w:val="24"/>
          <w:shd w:val="clear" w:color="auto" w:fill="FFFFFF"/>
          <w:lang w:val="pl-PL"/>
        </w:rPr>
        <w:t xml:space="preserve"> UE zareagowała, wydając</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mar</w:t>
      </w:r>
      <w:r w:rsidRPr="00F97E98">
        <w:rPr>
          <w:rStyle w:val="normaltextrun"/>
          <w:rFonts w:ascii="Times New Roman" w:hAnsi="Times New Roman"/>
          <w:noProof/>
          <w:sz w:val="24"/>
          <w:shd w:val="clear" w:color="auto" w:fill="FFFFFF"/>
          <w:lang w:val="pl-PL"/>
        </w:rPr>
        <w:t>cu komunikat,</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któ</w:t>
      </w:r>
      <w:r w:rsidRPr="00F97E98">
        <w:rPr>
          <w:rStyle w:val="normaltextrun"/>
          <w:rFonts w:ascii="Times New Roman" w:hAnsi="Times New Roman"/>
          <w:noProof/>
          <w:sz w:val="24"/>
          <w:shd w:val="clear" w:color="auto" w:fill="FFFFFF"/>
          <w:lang w:val="pl-PL"/>
        </w:rPr>
        <w:t>rym przedstawiła zasady planu REPowerEU</w:t>
      </w:r>
      <w:r w:rsidRPr="00F97E98">
        <w:rPr>
          <w:rStyle w:val="FootnoteReference"/>
          <w:rFonts w:ascii="Times New Roman" w:eastAsia="Times New Roman" w:hAnsi="Times New Roman" w:cs="Times New Roman"/>
          <w:noProof/>
          <w:sz w:val="24"/>
          <w:lang w:val="pl-PL"/>
        </w:rPr>
        <w:footnoteReference w:id="4"/>
      </w:r>
      <w:r w:rsidRPr="00F97E98">
        <w:rPr>
          <w:rFonts w:ascii="Times New Roman" w:hAnsi="Times New Roman"/>
          <w:noProof/>
          <w:shd w:val="clear" w:color="auto" w:fill="FFFFFF"/>
          <w:lang w:val="pl-PL"/>
        </w:rPr>
        <w:t xml:space="preserve">, </w:t>
      </w:r>
      <w:r w:rsidRPr="00F97E98">
        <w:rPr>
          <w:rStyle w:val="normaltextrun"/>
          <w:rFonts w:ascii="Times New Roman" w:hAnsi="Times New Roman"/>
          <w:noProof/>
          <w:sz w:val="24"/>
          <w:shd w:val="clear" w:color="auto" w:fill="FFFFFF"/>
          <w:lang w:val="pl-PL"/>
        </w:rPr>
        <w:t>następnie opracowane bardziej szczegółowo 18 maja 20</w:t>
      </w:r>
      <w:r w:rsidRPr="00534316">
        <w:rPr>
          <w:rStyle w:val="normaltextrun"/>
          <w:rFonts w:ascii="Times New Roman" w:hAnsi="Times New Roman"/>
          <w:noProof/>
          <w:sz w:val="24"/>
          <w:shd w:val="clear" w:color="auto" w:fill="FFFFFF"/>
          <w:lang w:val="pl-PL"/>
        </w:rPr>
        <w:t>22</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r w:rsidRPr="00F97E98">
        <w:rPr>
          <w:rStyle w:val="FootnoteReference"/>
          <w:rFonts w:ascii="Times New Roman" w:hAnsi="Times New Roman" w:cs="Times New Roman"/>
          <w:noProof/>
          <w:sz w:val="24"/>
          <w:shd w:val="clear" w:color="auto" w:fill="FFFFFF"/>
          <w:lang w:val="pl-PL"/>
        </w:rPr>
        <w:footnoteReference w:id="5"/>
      </w:r>
      <w:r w:rsidRPr="00F97E98">
        <w:rPr>
          <w:rStyle w:val="normaltextrun"/>
          <w:rFonts w:ascii="Times New Roman" w:hAnsi="Times New Roman"/>
          <w:noProof/>
          <w:sz w:val="24"/>
          <w:shd w:val="clear" w:color="auto" w:fill="FFFFFF"/>
          <w:lang w:val="pl-PL"/>
        </w:rPr>
        <w:t xml:space="preserve"> jako plan zerwania wszelkich zależności UE</w:t>
      </w:r>
      <w:r w:rsidRPr="00F97E98">
        <w:rPr>
          <w:rStyle w:val="normaltextrun"/>
          <w:rFonts w:ascii="Times New Roman" w:hAnsi="Times New Roman"/>
          <w:noProof/>
          <w:color w:val="000000" w:themeColor="text1"/>
          <w:sz w:val="24"/>
          <w:lang w:val="pl-PL"/>
        </w:rPr>
        <w:t xml:space="preserve"> od </w:t>
      </w:r>
      <w:r w:rsidRPr="00F97E98">
        <w:rPr>
          <w:rStyle w:val="normaltextrun"/>
          <w:rFonts w:ascii="Times New Roman" w:hAnsi="Times New Roman"/>
          <w:noProof/>
          <w:sz w:val="24"/>
          <w:shd w:val="clear" w:color="auto" w:fill="FFFFFF"/>
          <w:lang w:val="pl-PL"/>
        </w:rPr>
        <w:t xml:space="preserve">rosyjskich paliw kopalnych najpóźniej </w:t>
      </w:r>
      <w:r w:rsidRPr="00534316">
        <w:rPr>
          <w:rStyle w:val="normaltextrun"/>
          <w:rFonts w:ascii="Times New Roman" w:hAnsi="Times New Roman"/>
          <w:noProof/>
          <w:sz w:val="24"/>
          <w:shd w:val="clear" w:color="auto" w:fill="FFFFFF"/>
          <w:lang w:val="pl-PL"/>
        </w:rPr>
        <w:t>do</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2</w:t>
      </w:r>
      <w:r w:rsidRPr="00F97E98">
        <w:rPr>
          <w:rStyle w:val="normaltextrun"/>
          <w:rFonts w:ascii="Times New Roman" w:hAnsi="Times New Roman"/>
          <w:noProof/>
          <w:sz w:val="24"/>
          <w:shd w:val="clear" w:color="auto" w:fill="FFFFFF"/>
          <w:lang w:val="pl-PL"/>
        </w:rPr>
        <w:t>0</w:t>
      </w:r>
      <w:r w:rsidRPr="00534316">
        <w:rPr>
          <w:rStyle w:val="normaltextrun"/>
          <w:rFonts w:ascii="Times New Roman" w:hAnsi="Times New Roman"/>
          <w:noProof/>
          <w:sz w:val="24"/>
          <w:shd w:val="clear" w:color="auto" w:fill="FFFFFF"/>
          <w:lang w:val="pl-PL"/>
        </w:rPr>
        <w:t>27</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r w:rsidRPr="00F97E98">
        <w:rPr>
          <w:rStyle w:val="normaltextrun"/>
          <w:rFonts w:ascii="Times New Roman" w:hAnsi="Times New Roman"/>
          <w:noProof/>
          <w:sz w:val="24"/>
          <w:shd w:val="clear" w:color="auto" w:fill="FFFFFF"/>
          <w:lang w:val="pl-PL"/>
        </w:rPr>
        <w:t xml:space="preserve"> dzięki trzem</w:t>
      </w:r>
      <w:r w:rsidRPr="00F97E98">
        <w:rPr>
          <w:rStyle w:val="normaltextrun"/>
          <w:rFonts w:ascii="Times New Roman" w:hAnsi="Times New Roman"/>
          <w:noProof/>
          <w:sz w:val="24"/>
          <w:lang w:val="pl-PL"/>
        </w:rPr>
        <w:t xml:space="preserve"> filarom: dywersyfikacji źródeł energii niezależnie od rosyjskich paliw kopalnych</w:t>
      </w:r>
      <w:r w:rsidRPr="00F97E98">
        <w:rPr>
          <w:rStyle w:val="normaltextrun"/>
          <w:rFonts w:ascii="Times New Roman" w:hAnsi="Times New Roman"/>
          <w:noProof/>
          <w:sz w:val="24"/>
          <w:shd w:val="clear" w:color="auto" w:fill="FFFFFF"/>
          <w:lang w:val="pl-PL"/>
        </w:rPr>
        <w:t>, oszczędności energii</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prz</w:t>
      </w:r>
      <w:r w:rsidRPr="00F97E98">
        <w:rPr>
          <w:rStyle w:val="normaltextrun"/>
          <w:rFonts w:ascii="Times New Roman" w:hAnsi="Times New Roman"/>
          <w:noProof/>
          <w:sz w:val="24"/>
          <w:shd w:val="clear" w:color="auto" w:fill="FFFFFF"/>
          <w:lang w:val="pl-PL"/>
        </w:rPr>
        <w:t>yspieszeniu transformacji energetycznej</w:t>
      </w:r>
      <w:r w:rsidR="00534316" w:rsidRPr="00F97E98">
        <w:rPr>
          <w:rStyle w:val="normaltextrun"/>
          <w:rFonts w:ascii="Times New Roman" w:hAnsi="Times New Roman"/>
          <w:noProof/>
          <w:sz w:val="24"/>
          <w:shd w:val="clear" w:color="auto" w:fill="FFFFFF"/>
          <w:lang w:val="pl-PL"/>
        </w:rPr>
        <w:t>.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odn</w:t>
      </w:r>
      <w:r w:rsidRPr="00F97E98">
        <w:rPr>
          <w:rStyle w:val="normaltextrun"/>
          <w:rFonts w:ascii="Times New Roman" w:hAnsi="Times New Roman"/>
          <w:noProof/>
          <w:sz w:val="24"/>
          <w:shd w:val="clear" w:color="auto" w:fill="FFFFFF"/>
          <w:lang w:val="pl-PL"/>
        </w:rPr>
        <w:t>iesieniu do ostatniego</w:t>
      </w:r>
      <w:r w:rsidR="00534316" w:rsidRPr="00F97E98">
        <w:rPr>
          <w:rStyle w:val="normaltextrun"/>
          <w:rFonts w:ascii="Times New Roman" w:hAnsi="Times New Roman"/>
          <w:noProof/>
          <w:sz w:val="24"/>
          <w:shd w:val="clear" w:color="auto" w:fill="FFFFFF"/>
          <w:lang w:val="pl-PL"/>
        </w:rPr>
        <w:t xml:space="preserve"> z</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wym</w:t>
      </w:r>
      <w:r w:rsidRPr="00F97E98">
        <w:rPr>
          <w:rStyle w:val="normaltextrun"/>
          <w:rFonts w:ascii="Times New Roman" w:hAnsi="Times New Roman"/>
          <w:noProof/>
          <w:sz w:val="24"/>
          <w:shd w:val="clear" w:color="auto" w:fill="FFFFFF"/>
          <w:lang w:val="pl-PL"/>
        </w:rPr>
        <w:t xml:space="preserve">ienionych filarów Komisja zaproponowała podwyższenie głównego celu </w:t>
      </w:r>
      <w:r w:rsidRPr="00534316">
        <w:rPr>
          <w:rStyle w:val="normaltextrun"/>
          <w:rFonts w:ascii="Times New Roman" w:hAnsi="Times New Roman"/>
          <w:noProof/>
          <w:sz w:val="24"/>
          <w:shd w:val="clear" w:color="auto" w:fill="FFFFFF"/>
          <w:lang w:val="pl-PL"/>
        </w:rPr>
        <w:t>na</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2</w:t>
      </w:r>
      <w:r w:rsidRPr="00F97E98">
        <w:rPr>
          <w:rStyle w:val="normaltextrun"/>
          <w:rFonts w:ascii="Times New Roman" w:hAnsi="Times New Roman"/>
          <w:noProof/>
          <w:sz w:val="24"/>
          <w:shd w:val="clear" w:color="auto" w:fill="FFFFFF"/>
          <w:lang w:val="pl-PL"/>
        </w:rPr>
        <w:t>0</w:t>
      </w:r>
      <w:r w:rsidRPr="00534316">
        <w:rPr>
          <w:rStyle w:val="normaltextrun"/>
          <w:rFonts w:ascii="Times New Roman" w:hAnsi="Times New Roman"/>
          <w:noProof/>
          <w:sz w:val="24"/>
          <w:shd w:val="clear" w:color="auto" w:fill="FFFFFF"/>
          <w:lang w:val="pl-PL"/>
        </w:rPr>
        <w:t>30</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r w:rsidRPr="00F97E98">
        <w:rPr>
          <w:rStyle w:val="normaltextrun"/>
          <w:rFonts w:ascii="Times New Roman" w:hAnsi="Times New Roman"/>
          <w:noProof/>
          <w:sz w:val="24"/>
          <w:shd w:val="clear" w:color="auto" w:fill="FFFFFF"/>
          <w:lang w:val="pl-PL"/>
        </w:rPr>
        <w:t xml:space="preserve"> dotyczącego udziału odnawialnych źródeł energii</w:t>
      </w:r>
      <w:r w:rsidR="00534316" w:rsidRPr="00F97E98">
        <w:rPr>
          <w:rStyle w:val="normaltextrun"/>
          <w:rFonts w:ascii="Times New Roman" w:hAnsi="Times New Roman"/>
          <w:noProof/>
          <w:sz w:val="24"/>
          <w:shd w:val="clear" w:color="auto" w:fill="FFFFFF"/>
          <w:lang w:val="pl-PL"/>
        </w:rPr>
        <w:t xml:space="preserve"> z</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4</w:t>
      </w:r>
      <w:r w:rsidRPr="00534316">
        <w:rPr>
          <w:rStyle w:val="normaltextrun"/>
          <w:rFonts w:ascii="Times New Roman" w:hAnsi="Times New Roman"/>
          <w:noProof/>
          <w:sz w:val="24"/>
          <w:shd w:val="clear" w:color="auto" w:fill="FFFFFF"/>
          <w:lang w:val="pl-PL"/>
        </w:rPr>
        <w:t>0</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w:t>
      </w:r>
      <w:r w:rsidRPr="00F97E98">
        <w:rPr>
          <w:rStyle w:val="normaltextrun"/>
          <w:rFonts w:ascii="Times New Roman" w:hAnsi="Times New Roman"/>
          <w:noProof/>
          <w:sz w:val="24"/>
          <w:shd w:val="clear" w:color="auto" w:fill="FFFFFF"/>
          <w:lang w:val="pl-PL"/>
        </w:rPr>
        <w:t xml:space="preserve"> </w:t>
      </w:r>
      <w:r w:rsidRPr="00534316">
        <w:rPr>
          <w:rStyle w:val="normaltextrun"/>
          <w:rFonts w:ascii="Times New Roman" w:hAnsi="Times New Roman"/>
          <w:noProof/>
          <w:sz w:val="24"/>
          <w:shd w:val="clear" w:color="auto" w:fill="FFFFFF"/>
          <w:lang w:val="pl-PL"/>
        </w:rPr>
        <w:t>do</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45</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w:t>
      </w:r>
      <w:r w:rsidRPr="00F97E98">
        <w:rPr>
          <w:rStyle w:val="normaltextrun"/>
          <w:rFonts w:ascii="Times New Roman" w:hAnsi="Times New Roman"/>
          <w:noProof/>
          <w:sz w:val="24"/>
          <w:shd w:val="clear" w:color="auto" w:fill="FFFFFF"/>
          <w:lang w:val="pl-PL"/>
        </w:rPr>
        <w:t xml:space="preserve"> </w:t>
      </w:r>
      <w:r w:rsidRPr="00F97E98">
        <w:rPr>
          <w:rFonts w:ascii="Times New Roman" w:hAnsi="Times New Roman"/>
          <w:noProof/>
          <w:sz w:val="24"/>
          <w:lang w:val="pl-PL"/>
        </w:rPr>
        <w:t>oraz efektywności energetycznej</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534316">
        <w:rPr>
          <w:rFonts w:ascii="Times New Roman" w:hAnsi="Times New Roman"/>
          <w:noProof/>
          <w:sz w:val="24"/>
          <w:lang w:val="pl-PL"/>
        </w:rPr>
        <w:t>9 </w:t>
      </w:r>
      <w:r w:rsidRPr="00534316">
        <w:rPr>
          <w:rFonts w:ascii="Times New Roman" w:hAnsi="Times New Roman"/>
          <w:noProof/>
          <w:sz w:val="24"/>
          <w:lang w:val="pl-PL"/>
        </w:rPr>
        <w:t>%</w:t>
      </w:r>
      <w:r w:rsidRPr="00F97E98">
        <w:rPr>
          <w:rFonts w:ascii="Times New Roman" w:hAnsi="Times New Roman"/>
          <w:noProof/>
          <w:sz w:val="24"/>
          <w:lang w:val="pl-PL"/>
        </w:rPr>
        <w:t xml:space="preserve"> </w:t>
      </w:r>
      <w:r w:rsidRPr="00534316">
        <w:rPr>
          <w:rFonts w:ascii="Times New Roman" w:hAnsi="Times New Roman"/>
          <w:noProof/>
          <w:sz w:val="24"/>
          <w:lang w:val="pl-PL"/>
        </w:rPr>
        <w:t>do</w:t>
      </w:r>
      <w:r w:rsidR="00534316" w:rsidRPr="00534316">
        <w:rPr>
          <w:rFonts w:ascii="Times New Roman" w:hAnsi="Times New Roman"/>
          <w:noProof/>
          <w:sz w:val="24"/>
          <w:lang w:val="pl-PL"/>
        </w:rPr>
        <w:t> </w:t>
      </w:r>
      <w:r w:rsidRPr="00534316">
        <w:rPr>
          <w:rFonts w:ascii="Times New Roman" w:hAnsi="Times New Roman"/>
          <w:noProof/>
          <w:sz w:val="24"/>
          <w:lang w:val="pl-PL"/>
        </w:rPr>
        <w:t>13</w:t>
      </w:r>
      <w:r w:rsidR="00534316" w:rsidRPr="00534316">
        <w:rPr>
          <w:rFonts w:ascii="Times New Roman" w:hAnsi="Times New Roman"/>
          <w:noProof/>
          <w:sz w:val="24"/>
          <w:lang w:val="pl-PL"/>
        </w:rPr>
        <w:t> </w:t>
      </w:r>
      <w:r w:rsidRPr="00534316">
        <w:rPr>
          <w:rFonts w:ascii="Times New Roman" w:hAnsi="Times New Roman"/>
          <w:noProof/>
          <w:sz w:val="24"/>
          <w:lang w:val="pl-PL"/>
        </w:rPr>
        <w:t>%</w:t>
      </w:r>
      <w:r w:rsidRPr="00F97E98">
        <w:rPr>
          <w:rStyle w:val="normaltextrun"/>
          <w:rFonts w:ascii="Times New Roman" w:hAnsi="Times New Roman"/>
          <w:noProof/>
          <w:sz w:val="24"/>
          <w:shd w:val="clear" w:color="auto" w:fill="FFFFFF"/>
          <w:lang w:val="pl-PL"/>
        </w:rPr>
        <w:t xml:space="preserve">w ramach pakietu „Gotowi </w:t>
      </w:r>
      <w:r w:rsidRPr="00534316">
        <w:rPr>
          <w:rStyle w:val="normaltextrun"/>
          <w:rFonts w:ascii="Times New Roman" w:hAnsi="Times New Roman"/>
          <w:noProof/>
          <w:sz w:val="24"/>
          <w:shd w:val="clear" w:color="auto" w:fill="FFFFFF"/>
          <w:lang w:val="pl-PL"/>
        </w:rPr>
        <w:t>na</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5</w:t>
      </w:r>
      <w:r w:rsidRPr="00F97E98">
        <w:rPr>
          <w:rStyle w:val="normaltextrun"/>
          <w:rFonts w:ascii="Times New Roman" w:hAnsi="Times New Roman"/>
          <w:noProof/>
          <w:sz w:val="24"/>
          <w:shd w:val="clear" w:color="auto" w:fill="FFFFFF"/>
          <w:lang w:val="pl-PL"/>
        </w:rPr>
        <w:t xml:space="preserve">5”. Szybsze wdrażanie odnawialnych źródeł energii, większa efektywność energetyczna oraz dalsza elektryfikacja zapotrzebowania są niezbędne, </w:t>
      </w:r>
      <w:r w:rsidRPr="00F97E98">
        <w:rPr>
          <w:rStyle w:val="normaltextrun"/>
          <w:rFonts w:ascii="Times New Roman" w:hAnsi="Times New Roman"/>
          <w:noProof/>
          <w:sz w:val="24"/>
          <w:lang w:val="pl-PL"/>
        </w:rPr>
        <w:t>aby chronić obywateli Unii przed kryzysami związanymi</w:t>
      </w:r>
      <w:r w:rsidR="00534316" w:rsidRPr="00F97E98">
        <w:rPr>
          <w:rStyle w:val="normaltextrun"/>
          <w:rFonts w:ascii="Times New Roman" w:hAnsi="Times New Roman"/>
          <w:noProof/>
          <w:sz w:val="24"/>
          <w:lang w:val="pl-PL"/>
        </w:rPr>
        <w:t xml:space="preserve"> z</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pal</w:t>
      </w:r>
      <w:r w:rsidRPr="00F97E98">
        <w:rPr>
          <w:rStyle w:val="normaltextrun"/>
          <w:rFonts w:ascii="Times New Roman" w:hAnsi="Times New Roman"/>
          <w:noProof/>
          <w:sz w:val="24"/>
          <w:lang w:val="pl-PL"/>
        </w:rPr>
        <w:t>iwami kopalnymi,</w:t>
      </w:r>
      <w:r w:rsidRPr="00F97E98">
        <w:rPr>
          <w:rStyle w:val="normaltextrun"/>
          <w:rFonts w:ascii="Times New Roman" w:hAnsi="Times New Roman"/>
          <w:noProof/>
          <w:sz w:val="24"/>
          <w:shd w:val="clear" w:color="auto" w:fill="FFFFFF"/>
          <w:lang w:val="pl-PL"/>
        </w:rPr>
        <w:t xml:space="preserve"> ponieważ przyniosą one niezwłoczne</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str</w:t>
      </w:r>
      <w:r w:rsidRPr="00F97E98">
        <w:rPr>
          <w:rStyle w:val="normaltextrun"/>
          <w:rFonts w:ascii="Times New Roman" w:hAnsi="Times New Roman"/>
          <w:noProof/>
          <w:sz w:val="24"/>
          <w:shd w:val="clear" w:color="auto" w:fill="FFFFFF"/>
          <w:lang w:val="pl-PL"/>
        </w:rPr>
        <w:t>ukturalne zmniejszenie zapotrzebowania na paliwa kopalne</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prz</w:t>
      </w:r>
      <w:r w:rsidRPr="00F97E98">
        <w:rPr>
          <w:rStyle w:val="normaltextrun"/>
          <w:rFonts w:ascii="Times New Roman" w:hAnsi="Times New Roman"/>
          <w:noProof/>
          <w:sz w:val="24"/>
          <w:shd w:val="clear" w:color="auto" w:fill="FFFFFF"/>
          <w:lang w:val="pl-PL"/>
        </w:rPr>
        <w:t>yczynią się do osiągnięcia celów</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zak</w:t>
      </w:r>
      <w:r w:rsidRPr="00F97E98">
        <w:rPr>
          <w:rStyle w:val="normaltextrun"/>
          <w:rFonts w:ascii="Times New Roman" w:hAnsi="Times New Roman"/>
          <w:noProof/>
          <w:sz w:val="24"/>
          <w:shd w:val="clear" w:color="auto" w:fill="FFFFFF"/>
          <w:lang w:val="pl-PL"/>
        </w:rPr>
        <w:t>resie dekarbonizacji</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sek</w:t>
      </w:r>
      <w:r w:rsidRPr="00F97E98">
        <w:rPr>
          <w:rStyle w:val="normaltextrun"/>
          <w:rFonts w:ascii="Times New Roman" w:hAnsi="Times New Roman"/>
          <w:noProof/>
          <w:sz w:val="24"/>
          <w:shd w:val="clear" w:color="auto" w:fill="FFFFFF"/>
          <w:lang w:val="pl-PL"/>
        </w:rPr>
        <w:t>torach energetycznym, przemysłu grzewczego</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chł</w:t>
      </w:r>
      <w:r w:rsidRPr="00F97E98">
        <w:rPr>
          <w:rStyle w:val="normaltextrun"/>
          <w:rFonts w:ascii="Times New Roman" w:hAnsi="Times New Roman"/>
          <w:noProof/>
          <w:sz w:val="24"/>
          <w:shd w:val="clear" w:color="auto" w:fill="FFFFFF"/>
          <w:lang w:val="pl-PL"/>
        </w:rPr>
        <w:t>odniczego</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tra</w:t>
      </w:r>
      <w:r w:rsidRPr="00F97E98">
        <w:rPr>
          <w:rStyle w:val="normaltextrun"/>
          <w:rFonts w:ascii="Times New Roman" w:hAnsi="Times New Roman"/>
          <w:noProof/>
          <w:sz w:val="24"/>
          <w:shd w:val="clear" w:color="auto" w:fill="FFFFFF"/>
          <w:lang w:val="pl-PL"/>
        </w:rPr>
        <w:t>nsportowym. Dzięki niskim kosztom operacyjnym odnawialne źródła energii powinny mieć pozytywny wpływ na ceny energii</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cał</w:t>
      </w:r>
      <w:r w:rsidRPr="00F97E98">
        <w:rPr>
          <w:rStyle w:val="normaltextrun"/>
          <w:rFonts w:ascii="Times New Roman" w:hAnsi="Times New Roman"/>
          <w:noProof/>
          <w:sz w:val="24"/>
          <w:shd w:val="clear" w:color="auto" w:fill="FFFFFF"/>
          <w:lang w:val="pl-PL"/>
        </w:rPr>
        <w:t>ej UE. Ponadto szybsze wdrażanie energii odnawialnej</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poł</w:t>
      </w:r>
      <w:r w:rsidRPr="00F97E98">
        <w:rPr>
          <w:rStyle w:val="normaltextrun"/>
          <w:rFonts w:ascii="Times New Roman" w:hAnsi="Times New Roman"/>
          <w:noProof/>
          <w:sz w:val="24"/>
          <w:shd w:val="clear" w:color="auto" w:fill="FFFFFF"/>
          <w:lang w:val="pl-PL"/>
        </w:rPr>
        <w:t>ączeniu</w:t>
      </w:r>
      <w:r w:rsidR="00534316" w:rsidRPr="00F97E98">
        <w:rPr>
          <w:rStyle w:val="normaltextrun"/>
          <w:rFonts w:ascii="Times New Roman" w:hAnsi="Times New Roman"/>
          <w:noProof/>
          <w:sz w:val="24"/>
          <w:shd w:val="clear" w:color="auto" w:fill="FFFFFF"/>
          <w:lang w:val="pl-PL"/>
        </w:rPr>
        <w:t xml:space="preserve"> z</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wię</w:t>
      </w:r>
      <w:r w:rsidRPr="00F97E98">
        <w:rPr>
          <w:rStyle w:val="normaltextrun"/>
          <w:rFonts w:ascii="Times New Roman" w:hAnsi="Times New Roman"/>
          <w:noProof/>
          <w:sz w:val="24"/>
          <w:shd w:val="clear" w:color="auto" w:fill="FFFFFF"/>
          <w:lang w:val="pl-PL"/>
        </w:rPr>
        <w:t xml:space="preserve">kszą efektywnością energetyczną zwiększy </w:t>
      </w:r>
      <w:r w:rsidRPr="00F97E98">
        <w:rPr>
          <w:rStyle w:val="normaltextrun"/>
          <w:rFonts w:ascii="Times New Roman" w:hAnsi="Times New Roman"/>
          <w:noProof/>
          <w:sz w:val="24"/>
          <w:lang w:val="pl-PL"/>
        </w:rPr>
        <w:t xml:space="preserve">bezpieczeństwo dostaw energii dzięki </w:t>
      </w:r>
      <w:r w:rsidRPr="00F97E98">
        <w:rPr>
          <w:rStyle w:val="normaltextrun"/>
          <w:rFonts w:ascii="Times New Roman" w:hAnsi="Times New Roman"/>
          <w:noProof/>
          <w:sz w:val="24"/>
          <w:shd w:val="clear" w:color="auto" w:fill="FFFFFF"/>
          <w:lang w:val="pl-PL"/>
        </w:rPr>
        <w:t xml:space="preserve">stopniowemu wycofywaniu </w:t>
      </w:r>
      <w:r w:rsidRPr="00F97E98">
        <w:rPr>
          <w:rStyle w:val="normaltextrun"/>
          <w:rFonts w:ascii="Times New Roman" w:hAnsi="Times New Roman"/>
          <w:noProof/>
          <w:color w:val="000000" w:themeColor="text1"/>
          <w:sz w:val="24"/>
          <w:lang w:val="pl-PL"/>
        </w:rPr>
        <w:t xml:space="preserve">paliw kopalnych, </w:t>
      </w:r>
      <w:r w:rsidRPr="00F97E98">
        <w:rPr>
          <w:rStyle w:val="normaltextrun"/>
          <w:rFonts w:ascii="Times New Roman" w:hAnsi="Times New Roman"/>
          <w:noProof/>
          <w:sz w:val="24"/>
          <w:shd w:val="clear" w:color="auto" w:fill="FFFFFF"/>
          <w:lang w:val="pl-PL"/>
        </w:rPr>
        <w:t>od których UE jest silnie uzależniona</w:t>
      </w:r>
      <w:r w:rsidRPr="00F97E98">
        <w:rPr>
          <w:rStyle w:val="normaltextrun"/>
          <w:rFonts w:ascii="Times New Roman" w:hAnsi="Times New Roman"/>
          <w:noProof/>
          <w:sz w:val="24"/>
          <w:lang w:val="pl-PL"/>
        </w:rPr>
        <w:t>.</w:t>
      </w:r>
      <w:r w:rsidRPr="00F97E98">
        <w:rPr>
          <w:rStyle w:val="eop"/>
          <w:rFonts w:ascii="Times New Roman" w:hAnsi="Times New Roman"/>
          <w:noProof/>
          <w:color w:val="000000" w:themeColor="text1"/>
          <w:sz w:val="24"/>
          <w:lang w:val="pl-PL"/>
        </w:rPr>
        <w:t xml:space="preserve"> Obok planu REPowerEU,</w:t>
      </w:r>
      <w:r w:rsidR="00534316" w:rsidRPr="00F97E98">
        <w:rPr>
          <w:rStyle w:val="eop"/>
          <w:rFonts w:ascii="Times New Roman" w:hAnsi="Times New Roman"/>
          <w:noProof/>
          <w:color w:val="000000" w:themeColor="text1"/>
          <w:sz w:val="24"/>
          <w:lang w:val="pl-PL"/>
        </w:rPr>
        <w:t xml:space="preserve"> w</w:t>
      </w:r>
      <w:r w:rsidR="00534316">
        <w:rPr>
          <w:rStyle w:val="eop"/>
          <w:rFonts w:ascii="Times New Roman" w:hAnsi="Times New Roman"/>
          <w:noProof/>
          <w:color w:val="000000" w:themeColor="text1"/>
          <w:sz w:val="24"/>
          <w:lang w:val="pl-PL"/>
        </w:rPr>
        <w:t> </w:t>
      </w:r>
      <w:r w:rsidR="00534316" w:rsidRPr="00F97E98">
        <w:rPr>
          <w:rStyle w:val="eop"/>
          <w:rFonts w:ascii="Times New Roman" w:hAnsi="Times New Roman"/>
          <w:noProof/>
          <w:color w:val="000000" w:themeColor="text1"/>
          <w:sz w:val="24"/>
          <w:lang w:val="pl-PL"/>
        </w:rPr>
        <w:t>kom</w:t>
      </w:r>
      <w:r w:rsidRPr="00F97E98">
        <w:rPr>
          <w:rStyle w:val="eop"/>
          <w:rFonts w:ascii="Times New Roman" w:hAnsi="Times New Roman"/>
          <w:noProof/>
          <w:color w:val="000000" w:themeColor="text1"/>
          <w:sz w:val="24"/>
          <w:lang w:val="pl-PL"/>
        </w:rPr>
        <w:t>unikacie</w:t>
      </w:r>
      <w:r w:rsidR="00534316" w:rsidRPr="00F97E98">
        <w:rPr>
          <w:rStyle w:val="eop"/>
          <w:rFonts w:ascii="Times New Roman" w:hAnsi="Times New Roman"/>
          <w:noProof/>
          <w:color w:val="000000" w:themeColor="text1"/>
          <w:sz w:val="24"/>
          <w:lang w:val="pl-PL"/>
        </w:rPr>
        <w:t xml:space="preserve"> w</w:t>
      </w:r>
      <w:r w:rsidR="00534316">
        <w:rPr>
          <w:rStyle w:val="eop"/>
          <w:rFonts w:ascii="Times New Roman" w:hAnsi="Times New Roman"/>
          <w:noProof/>
          <w:color w:val="000000" w:themeColor="text1"/>
          <w:sz w:val="24"/>
          <w:lang w:val="pl-PL"/>
        </w:rPr>
        <w:t> </w:t>
      </w:r>
      <w:r w:rsidR="00534316" w:rsidRPr="00F97E98">
        <w:rPr>
          <w:rStyle w:val="eop"/>
          <w:rFonts w:ascii="Times New Roman" w:hAnsi="Times New Roman"/>
          <w:noProof/>
          <w:color w:val="000000" w:themeColor="text1"/>
          <w:sz w:val="24"/>
          <w:lang w:val="pl-PL"/>
        </w:rPr>
        <w:t>spr</w:t>
      </w:r>
      <w:r w:rsidRPr="00F97E98">
        <w:rPr>
          <w:rStyle w:val="eop"/>
          <w:rFonts w:ascii="Times New Roman" w:hAnsi="Times New Roman"/>
          <w:noProof/>
          <w:color w:val="000000" w:themeColor="text1"/>
          <w:sz w:val="24"/>
          <w:lang w:val="pl-PL"/>
        </w:rPr>
        <w:t>awie krótkoterminowych interwencji na rynku energii</w:t>
      </w:r>
      <w:r w:rsidRPr="00F97E98">
        <w:rPr>
          <w:rStyle w:val="FootnoteReference"/>
          <w:rFonts w:ascii="Times New Roman" w:hAnsi="Times New Roman" w:cs="Times New Roman"/>
          <w:noProof/>
          <w:color w:val="000000" w:themeColor="text1"/>
          <w:sz w:val="24"/>
          <w:lang w:val="pl-PL"/>
        </w:rPr>
        <w:footnoteReference w:id="6"/>
      </w:r>
      <w:r w:rsidRPr="00F97E98">
        <w:rPr>
          <w:rStyle w:val="eop"/>
          <w:rFonts w:ascii="Times New Roman" w:hAnsi="Times New Roman"/>
          <w:noProof/>
          <w:color w:val="000000" w:themeColor="text1"/>
          <w:sz w:val="24"/>
          <w:lang w:val="pl-PL"/>
        </w:rPr>
        <w:t>,</w:t>
      </w:r>
      <w:r w:rsidRPr="00F97E98">
        <w:rPr>
          <w:rFonts w:ascii="Times New Roman" w:hAnsi="Times New Roman"/>
          <w:noProof/>
          <w:lang w:val="pl-PL"/>
        </w:rPr>
        <w:t xml:space="preserve"> </w:t>
      </w:r>
      <w:r w:rsidRPr="00F97E98">
        <w:rPr>
          <w:rStyle w:val="eop"/>
          <w:rFonts w:ascii="Times New Roman" w:hAnsi="Times New Roman"/>
          <w:noProof/>
          <w:color w:val="000000" w:themeColor="text1"/>
          <w:sz w:val="24"/>
          <w:lang w:val="pl-PL"/>
        </w:rPr>
        <w:t xml:space="preserve">Komisja – poza określeniem dalszych </w:t>
      </w:r>
      <w:r w:rsidRPr="00F97E98">
        <w:rPr>
          <w:rStyle w:val="eop"/>
          <w:rFonts w:ascii="Times New Roman" w:hAnsi="Times New Roman"/>
          <w:noProof/>
          <w:sz w:val="24"/>
          <w:lang w:val="pl-PL"/>
        </w:rPr>
        <w:t>środków krótkoterminowych mających na celu rozwiązanie problemu wysokich cen energii – zidentyfikowała potencjalne aspekty umożliwiające udoskonalenie struktury rynku energii elektrycznej</w:t>
      </w:r>
      <w:r w:rsidR="00534316" w:rsidRPr="00F97E98">
        <w:rPr>
          <w:rStyle w:val="eop"/>
          <w:rFonts w:ascii="Times New Roman" w:hAnsi="Times New Roman"/>
          <w:noProof/>
          <w:sz w:val="24"/>
          <w:lang w:val="pl-PL"/>
        </w:rPr>
        <w:t xml:space="preserve"> i</w:t>
      </w:r>
      <w:r w:rsidR="00534316">
        <w:rPr>
          <w:rStyle w:val="eop"/>
          <w:rFonts w:ascii="Times New Roman" w:hAnsi="Times New Roman"/>
          <w:noProof/>
          <w:sz w:val="24"/>
          <w:lang w:val="pl-PL"/>
        </w:rPr>
        <w:t> </w:t>
      </w:r>
      <w:r w:rsidR="00534316" w:rsidRPr="00F97E98">
        <w:rPr>
          <w:rStyle w:val="eop"/>
          <w:rFonts w:ascii="Times New Roman" w:hAnsi="Times New Roman"/>
          <w:noProof/>
          <w:sz w:val="24"/>
          <w:lang w:val="pl-PL"/>
        </w:rPr>
        <w:t>ogł</w:t>
      </w:r>
      <w:r w:rsidRPr="00F97E98">
        <w:rPr>
          <w:rStyle w:val="eop"/>
          <w:rFonts w:ascii="Times New Roman" w:hAnsi="Times New Roman"/>
          <w:noProof/>
          <w:sz w:val="24"/>
          <w:lang w:val="pl-PL"/>
        </w:rPr>
        <w:t>osiła zamiar przeprowadzenia oceny tych aspektów</w:t>
      </w:r>
      <w:r w:rsidR="00534316" w:rsidRPr="00F97E98">
        <w:rPr>
          <w:rStyle w:val="eop"/>
          <w:rFonts w:ascii="Times New Roman" w:hAnsi="Times New Roman"/>
          <w:noProof/>
          <w:sz w:val="24"/>
          <w:lang w:val="pl-PL"/>
        </w:rPr>
        <w:t xml:space="preserve"> w</w:t>
      </w:r>
      <w:r w:rsidR="00534316">
        <w:rPr>
          <w:rStyle w:val="eop"/>
          <w:rFonts w:ascii="Times New Roman" w:hAnsi="Times New Roman"/>
          <w:noProof/>
          <w:sz w:val="24"/>
          <w:lang w:val="pl-PL"/>
        </w:rPr>
        <w:t> </w:t>
      </w:r>
      <w:r w:rsidR="00534316" w:rsidRPr="00F97E98">
        <w:rPr>
          <w:rStyle w:val="eop"/>
          <w:rFonts w:ascii="Times New Roman" w:hAnsi="Times New Roman"/>
          <w:noProof/>
          <w:sz w:val="24"/>
          <w:lang w:val="pl-PL"/>
        </w:rPr>
        <w:t>cel</w:t>
      </w:r>
      <w:r w:rsidRPr="00F97E98">
        <w:rPr>
          <w:rStyle w:val="eop"/>
          <w:rFonts w:ascii="Times New Roman" w:hAnsi="Times New Roman"/>
          <w:noProof/>
          <w:sz w:val="24"/>
          <w:lang w:val="pl-PL"/>
        </w:rPr>
        <w:t xml:space="preserve">u dokonania zmiany odpowiednich ram legislacyjnych. </w:t>
      </w:r>
    </w:p>
    <w:p w14:paraId="2306A582" w14:textId="1DAD7853" w:rsidR="00302342" w:rsidRPr="00F97E98" w:rsidRDefault="599EF2EB" w:rsidP="2B9E9F58">
      <w:pPr>
        <w:spacing w:before="120" w:after="120" w:line="360" w:lineRule="auto"/>
        <w:jc w:val="both"/>
        <w:rPr>
          <w:rStyle w:val="normaltextrun"/>
          <w:rFonts w:ascii="Times New Roman" w:eastAsia="Times New Roman" w:hAnsi="Times New Roman" w:cs="Times New Roman"/>
          <w:noProof/>
          <w:sz w:val="24"/>
          <w:shd w:val="clear" w:color="auto" w:fill="FFFFFF"/>
          <w:lang w:val="pl-PL"/>
        </w:rPr>
      </w:pPr>
      <w:r w:rsidRPr="00F97E98">
        <w:rPr>
          <w:rStyle w:val="normaltextrun"/>
          <w:rFonts w:ascii="Times New Roman" w:hAnsi="Times New Roman"/>
          <w:noProof/>
          <w:sz w:val="24"/>
          <w:shd w:val="clear" w:color="auto" w:fill="FFFFFF"/>
          <w:lang w:val="pl-PL"/>
        </w:rPr>
        <w:t>6 października 20</w:t>
      </w:r>
      <w:r w:rsidRPr="00534316">
        <w:rPr>
          <w:rStyle w:val="normaltextrun"/>
          <w:rFonts w:ascii="Times New Roman" w:hAnsi="Times New Roman"/>
          <w:noProof/>
          <w:sz w:val="24"/>
          <w:shd w:val="clear" w:color="auto" w:fill="FFFFFF"/>
          <w:lang w:val="pl-PL"/>
        </w:rPr>
        <w:t>22</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r w:rsidRPr="00F97E98">
        <w:rPr>
          <w:rStyle w:val="normaltextrun"/>
          <w:rFonts w:ascii="Times New Roman" w:hAnsi="Times New Roman"/>
          <w:noProof/>
          <w:sz w:val="24"/>
          <w:shd w:val="clear" w:color="auto" w:fill="FFFFFF"/>
          <w:lang w:val="pl-PL"/>
        </w:rPr>
        <w:t xml:space="preserve"> Rada przyjęła rozporządzenie, którym wprowadziła wyjątkowe, ukierunkowane</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ogr</w:t>
      </w:r>
      <w:r w:rsidRPr="00F97E98">
        <w:rPr>
          <w:rStyle w:val="normaltextrun"/>
          <w:rFonts w:ascii="Times New Roman" w:hAnsi="Times New Roman"/>
          <w:noProof/>
          <w:sz w:val="24"/>
          <w:shd w:val="clear" w:color="auto" w:fill="FFFFFF"/>
          <w:lang w:val="pl-PL"/>
        </w:rPr>
        <w:t>aniczone</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cza</w:t>
      </w:r>
      <w:r w:rsidRPr="00F97E98">
        <w:rPr>
          <w:rStyle w:val="normaltextrun"/>
          <w:rFonts w:ascii="Times New Roman" w:hAnsi="Times New Roman"/>
          <w:noProof/>
          <w:sz w:val="24"/>
          <w:shd w:val="clear" w:color="auto" w:fill="FFFFFF"/>
          <w:lang w:val="pl-PL"/>
        </w:rPr>
        <w:t>sie środki</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cel</w:t>
      </w:r>
      <w:r w:rsidRPr="00F97E98">
        <w:rPr>
          <w:rStyle w:val="normaltextrun"/>
          <w:rFonts w:ascii="Times New Roman" w:hAnsi="Times New Roman"/>
          <w:noProof/>
          <w:sz w:val="24"/>
          <w:shd w:val="clear" w:color="auto" w:fill="FFFFFF"/>
          <w:lang w:val="pl-PL"/>
        </w:rPr>
        <w:t>u zmniejszenia zapotrzebowania na energię elektryczną oraz zgromadzenia</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red</w:t>
      </w:r>
      <w:r w:rsidRPr="00F97E98">
        <w:rPr>
          <w:rStyle w:val="normaltextrun"/>
          <w:rFonts w:ascii="Times New Roman" w:hAnsi="Times New Roman"/>
          <w:noProof/>
          <w:sz w:val="24"/>
          <w:shd w:val="clear" w:color="auto" w:fill="FFFFFF"/>
          <w:lang w:val="pl-PL"/>
        </w:rPr>
        <w:t xml:space="preserve">ystrybucji </w:t>
      </w:r>
      <w:r w:rsidRPr="00F97E98">
        <w:rPr>
          <w:rStyle w:val="normaltextrun"/>
          <w:rFonts w:ascii="Times New Roman" w:hAnsi="Times New Roman"/>
          <w:noProof/>
          <w:sz w:val="24"/>
          <w:lang w:val="pl-PL"/>
        </w:rPr>
        <w:t>wyjątkowo wysokich</w:t>
      </w:r>
      <w:r w:rsidRPr="00F97E98">
        <w:rPr>
          <w:rStyle w:val="normaltextrun"/>
          <w:rFonts w:ascii="Times New Roman" w:hAnsi="Times New Roman"/>
          <w:noProof/>
          <w:sz w:val="24"/>
          <w:shd w:val="clear" w:color="auto" w:fill="FFFFFF"/>
          <w:lang w:val="pl-PL"/>
        </w:rPr>
        <w:t xml:space="preserve"> dochodów sektora energetycznego na rzecz odbiorców końcowych</w:t>
      </w:r>
      <w:r w:rsidR="00534316" w:rsidRPr="00F97E98">
        <w:rPr>
          <w:rStyle w:val="normaltextrun"/>
          <w:rFonts w:ascii="Times New Roman" w:hAnsi="Times New Roman"/>
          <w:noProof/>
          <w:sz w:val="24"/>
          <w:shd w:val="clear" w:color="auto" w:fill="FFFFFF"/>
          <w:lang w:val="pl-PL"/>
        </w:rPr>
        <w:t>.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szc</w:t>
      </w:r>
      <w:r w:rsidRPr="00F97E98">
        <w:rPr>
          <w:rStyle w:val="normaltextrun"/>
          <w:rFonts w:ascii="Times New Roman" w:hAnsi="Times New Roman"/>
          <w:noProof/>
          <w:sz w:val="24"/>
          <w:shd w:val="clear" w:color="auto" w:fill="FFFFFF"/>
          <w:lang w:val="pl-PL"/>
        </w:rPr>
        <w:t>zególności środki ingerujące</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ryn</w:t>
      </w:r>
      <w:r w:rsidRPr="00F97E98">
        <w:rPr>
          <w:rStyle w:val="normaltextrun"/>
          <w:rFonts w:ascii="Times New Roman" w:hAnsi="Times New Roman"/>
          <w:noProof/>
          <w:sz w:val="24"/>
          <w:shd w:val="clear" w:color="auto" w:fill="FFFFFF"/>
          <w:lang w:val="pl-PL"/>
        </w:rPr>
        <w:t>ek energii elektrycznej można podsumować następująco (rozdział II rozporządzenia Rady):</w:t>
      </w:r>
    </w:p>
    <w:p w14:paraId="5108252C" w14:textId="58FED84F" w:rsidR="001222FB" w:rsidRPr="00F97E98" w:rsidRDefault="0C0085DC" w:rsidP="2B9E9F58">
      <w:pPr>
        <w:pStyle w:val="ListParagraph"/>
        <w:numPr>
          <w:ilvl w:val="0"/>
          <w:numId w:val="24"/>
        </w:numPr>
        <w:spacing w:before="120" w:after="120" w:line="360" w:lineRule="auto"/>
        <w:ind w:left="714" w:hanging="357"/>
        <w:jc w:val="both"/>
        <w:rPr>
          <w:rStyle w:val="normaltextrun"/>
          <w:rFonts w:ascii="Times New Roman" w:eastAsia="Times New Roman" w:hAnsi="Times New Roman" w:cs="Times New Roman"/>
          <w:noProof/>
          <w:sz w:val="24"/>
          <w:shd w:val="clear" w:color="auto" w:fill="FFFFFF"/>
          <w:lang w:val="pl-PL"/>
        </w:rPr>
      </w:pPr>
      <w:r w:rsidRPr="00F97E98">
        <w:rPr>
          <w:rStyle w:val="normaltextrun"/>
          <w:rFonts w:ascii="Times New Roman" w:hAnsi="Times New Roman"/>
          <w:noProof/>
          <w:sz w:val="24"/>
          <w:u w:val="single"/>
          <w:shd w:val="clear" w:color="auto" w:fill="FFFFFF"/>
          <w:lang w:val="pl-PL"/>
        </w:rPr>
        <w:t>Ograniczenie zapotrzebowania na energię elektryczną</w:t>
      </w:r>
      <w:r w:rsidRPr="00F97E98">
        <w:rPr>
          <w:rStyle w:val="normaltextrun"/>
          <w:rFonts w:ascii="Times New Roman" w:hAnsi="Times New Roman"/>
          <w:noProof/>
          <w:sz w:val="24"/>
          <w:shd w:val="clear" w:color="auto" w:fill="FFFFFF"/>
          <w:lang w:val="pl-PL"/>
        </w:rPr>
        <w:t>:</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roz</w:t>
      </w:r>
      <w:r w:rsidRPr="00F97E98">
        <w:rPr>
          <w:rStyle w:val="normaltextrun"/>
          <w:rFonts w:ascii="Times New Roman" w:hAnsi="Times New Roman"/>
          <w:noProof/>
          <w:sz w:val="24"/>
          <w:shd w:val="clear" w:color="auto" w:fill="FFFFFF"/>
          <w:lang w:val="pl-PL"/>
        </w:rPr>
        <w:t>porządzeniu Rady określono dwa cele – jeden cel orientacyjny (zmniejszenie ogólnego zapotrzebowania na energię elektryczną</w:t>
      </w:r>
      <w:r w:rsidR="00534316" w:rsidRPr="00F97E98">
        <w:rPr>
          <w:rStyle w:val="normaltextrun"/>
          <w:rFonts w:ascii="Times New Roman" w:hAnsi="Times New Roman"/>
          <w:noProof/>
          <w:sz w:val="24"/>
          <w:shd w:val="clear" w:color="auto" w:fill="FFFFFF"/>
          <w:lang w:val="pl-PL"/>
        </w:rPr>
        <w:t xml:space="preserve"> o</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1</w:t>
      </w:r>
      <w:r w:rsidRPr="00534316">
        <w:rPr>
          <w:rStyle w:val="normaltextrun"/>
          <w:rFonts w:ascii="Times New Roman" w:hAnsi="Times New Roman"/>
          <w:noProof/>
          <w:sz w:val="24"/>
          <w:shd w:val="clear" w:color="auto" w:fill="FFFFFF"/>
          <w:lang w:val="pl-PL"/>
        </w:rPr>
        <w:t>0</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w:t>
      </w:r>
      <w:r w:rsidRPr="00F97E98">
        <w:rPr>
          <w:rStyle w:val="normaltextrun"/>
          <w:rFonts w:ascii="Times New Roman" w:hAnsi="Times New Roman"/>
          <w:noProof/>
          <w:sz w:val="24"/>
          <w:shd w:val="clear" w:color="auto" w:fill="FFFFFF"/>
          <w:lang w:val="pl-PL"/>
        </w:rPr>
        <w:t>)</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jed</w:t>
      </w:r>
      <w:r w:rsidRPr="00F97E98">
        <w:rPr>
          <w:rStyle w:val="normaltextrun"/>
          <w:rFonts w:ascii="Times New Roman" w:hAnsi="Times New Roman"/>
          <w:noProof/>
          <w:sz w:val="24"/>
          <w:shd w:val="clear" w:color="auto" w:fill="FFFFFF"/>
          <w:lang w:val="pl-PL"/>
        </w:rPr>
        <w:t>en cel obowiązkowy (ograniczenie zapotrzebowania</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god</w:t>
      </w:r>
      <w:r w:rsidRPr="00F97E98">
        <w:rPr>
          <w:rStyle w:val="normaltextrun"/>
          <w:rFonts w:ascii="Times New Roman" w:hAnsi="Times New Roman"/>
          <w:noProof/>
          <w:sz w:val="24"/>
          <w:shd w:val="clear" w:color="auto" w:fill="FFFFFF"/>
          <w:lang w:val="pl-PL"/>
        </w:rPr>
        <w:t xml:space="preserve">zinach największego zapotrzebowania na energię elektryczną o co najmniej </w:t>
      </w:r>
      <w:r w:rsidRPr="00534316">
        <w:rPr>
          <w:rStyle w:val="normaltextrun"/>
          <w:rFonts w:ascii="Times New Roman" w:hAnsi="Times New Roman"/>
          <w:noProof/>
          <w:sz w:val="24"/>
          <w:shd w:val="clear" w:color="auto" w:fill="FFFFFF"/>
          <w:lang w:val="pl-PL"/>
        </w:rPr>
        <w:t>5</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w:t>
      </w:r>
      <w:r w:rsidRPr="00F97E98">
        <w:rPr>
          <w:rStyle w:val="normaltextrun"/>
          <w:rFonts w:ascii="Times New Roman" w:hAnsi="Times New Roman"/>
          <w:noProof/>
          <w:sz w:val="24"/>
          <w:shd w:val="clear" w:color="auto" w:fill="FFFFFF"/>
          <w:lang w:val="pl-PL"/>
        </w:rPr>
        <w:t xml:space="preserve">). Państwa członkowskie </w:t>
      </w:r>
      <w:r w:rsidRPr="00F97E98">
        <w:rPr>
          <w:rStyle w:val="normaltextrun"/>
          <w:rFonts w:ascii="Times New Roman" w:hAnsi="Times New Roman"/>
          <w:noProof/>
          <w:sz w:val="24"/>
          <w:lang w:val="pl-PL"/>
        </w:rPr>
        <w:t xml:space="preserve">mogły </w:t>
      </w:r>
      <w:r w:rsidRPr="00F97E98">
        <w:rPr>
          <w:rStyle w:val="normaltextrun"/>
          <w:rFonts w:ascii="Times New Roman" w:hAnsi="Times New Roman"/>
          <w:noProof/>
          <w:sz w:val="24"/>
          <w:shd w:val="clear" w:color="auto" w:fill="FFFFFF"/>
          <w:lang w:val="pl-PL"/>
        </w:rPr>
        <w:t>wybrać odpowiednie środki, przestrzegając pewnych warunków określonych</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roz</w:t>
      </w:r>
      <w:r w:rsidRPr="00F97E98">
        <w:rPr>
          <w:rStyle w:val="normaltextrun"/>
          <w:rFonts w:ascii="Times New Roman" w:hAnsi="Times New Roman"/>
          <w:noProof/>
          <w:sz w:val="24"/>
          <w:shd w:val="clear" w:color="auto" w:fill="FFFFFF"/>
          <w:lang w:val="pl-PL"/>
        </w:rPr>
        <w:t>porządzeniu Rady</w:t>
      </w:r>
      <w:r w:rsidRPr="00F97E98">
        <w:rPr>
          <w:rStyle w:val="FootnoteReference"/>
          <w:rFonts w:ascii="Times New Roman" w:eastAsia="Times New Roman" w:hAnsi="Times New Roman" w:cs="Times New Roman"/>
          <w:noProof/>
          <w:sz w:val="24"/>
          <w:shd w:val="clear" w:color="auto" w:fill="FFFFFF"/>
          <w:lang w:val="pl-PL"/>
        </w:rPr>
        <w:footnoteReference w:id="7"/>
      </w:r>
      <w:r w:rsidRPr="00F97E98">
        <w:rPr>
          <w:noProof/>
          <w:lang w:val="pl-PL"/>
        </w:rPr>
        <w:t>.</w:t>
      </w:r>
      <w:r w:rsidRPr="00F97E98">
        <w:rPr>
          <w:rStyle w:val="normaltextrun"/>
          <w:rFonts w:ascii="Times New Roman" w:hAnsi="Times New Roman"/>
          <w:noProof/>
          <w:sz w:val="24"/>
          <w:shd w:val="clear" w:color="auto" w:fill="FFFFFF"/>
          <w:lang w:val="pl-PL"/>
        </w:rPr>
        <w:t xml:space="preserve"> Cel obowiązkowy obowiązywał </w:t>
      </w:r>
      <w:r w:rsidRPr="00534316">
        <w:rPr>
          <w:rStyle w:val="normaltextrun"/>
          <w:rFonts w:ascii="Times New Roman" w:hAnsi="Times New Roman"/>
          <w:noProof/>
          <w:sz w:val="24"/>
          <w:shd w:val="clear" w:color="auto" w:fill="FFFFFF"/>
          <w:lang w:val="pl-PL"/>
        </w:rPr>
        <w:t>od</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1</w:t>
      </w:r>
      <w:r w:rsidRPr="00F97E98">
        <w:rPr>
          <w:rStyle w:val="normaltextrun"/>
          <w:rFonts w:ascii="Times New Roman" w:hAnsi="Times New Roman"/>
          <w:noProof/>
          <w:sz w:val="24"/>
          <w:shd w:val="clear" w:color="auto" w:fill="FFFFFF"/>
          <w:lang w:val="pl-PL"/>
        </w:rPr>
        <w:t xml:space="preserve"> grudnia 20</w:t>
      </w:r>
      <w:r w:rsidRPr="00534316">
        <w:rPr>
          <w:rStyle w:val="normaltextrun"/>
          <w:rFonts w:ascii="Times New Roman" w:hAnsi="Times New Roman"/>
          <w:noProof/>
          <w:sz w:val="24"/>
          <w:shd w:val="clear" w:color="auto" w:fill="FFFFFF"/>
          <w:lang w:val="pl-PL"/>
        </w:rPr>
        <w:t>22</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r w:rsidRPr="00F97E98">
        <w:rPr>
          <w:rStyle w:val="normaltextrun"/>
          <w:rFonts w:ascii="Times New Roman" w:hAnsi="Times New Roman"/>
          <w:noProof/>
          <w:sz w:val="24"/>
          <w:shd w:val="clear" w:color="auto" w:fill="FFFFFF"/>
          <w:lang w:val="pl-PL"/>
        </w:rPr>
        <w:t xml:space="preserve"> </w:t>
      </w:r>
      <w:r w:rsidRPr="00534316">
        <w:rPr>
          <w:rStyle w:val="normaltextrun"/>
          <w:rFonts w:ascii="Times New Roman" w:hAnsi="Times New Roman"/>
          <w:noProof/>
          <w:sz w:val="24"/>
          <w:shd w:val="clear" w:color="auto" w:fill="FFFFFF"/>
          <w:lang w:val="pl-PL"/>
        </w:rPr>
        <w:t>do</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3</w:t>
      </w:r>
      <w:r w:rsidRPr="00F97E98">
        <w:rPr>
          <w:rStyle w:val="normaltextrun"/>
          <w:rFonts w:ascii="Times New Roman" w:hAnsi="Times New Roman"/>
          <w:noProof/>
          <w:sz w:val="24"/>
          <w:shd w:val="clear" w:color="auto" w:fill="FFFFFF"/>
          <w:lang w:val="pl-PL"/>
        </w:rPr>
        <w:t>1 marca 20</w:t>
      </w:r>
      <w:r w:rsidRPr="00534316">
        <w:rPr>
          <w:rStyle w:val="normaltextrun"/>
          <w:rFonts w:ascii="Times New Roman" w:hAnsi="Times New Roman"/>
          <w:noProof/>
          <w:sz w:val="24"/>
          <w:shd w:val="clear" w:color="auto" w:fill="FFFFFF"/>
          <w:lang w:val="pl-PL"/>
        </w:rPr>
        <w:t>23</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r w:rsidRPr="00F97E98">
        <w:rPr>
          <w:rStyle w:val="FootnoteReference"/>
          <w:rFonts w:ascii="Times New Roman" w:eastAsia="Times New Roman" w:hAnsi="Times New Roman" w:cs="Times New Roman"/>
          <w:noProof/>
          <w:sz w:val="24"/>
          <w:lang w:val="pl-PL"/>
        </w:rPr>
        <w:footnoteReference w:id="8"/>
      </w:r>
      <w:r w:rsidRPr="00F97E98">
        <w:rPr>
          <w:noProof/>
          <w:lang w:val="pl-PL"/>
        </w:rPr>
        <w:t>.</w:t>
      </w:r>
    </w:p>
    <w:p w14:paraId="4086E49F" w14:textId="41DD2B57" w:rsidR="001222FB" w:rsidRPr="00F97E98" w:rsidRDefault="481A4A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hd w:val="clear" w:color="auto" w:fill="FFFFFF"/>
          <w:lang w:val="pl-PL"/>
        </w:rPr>
      </w:pPr>
      <w:r w:rsidRPr="00F97E98">
        <w:rPr>
          <w:rStyle w:val="normaltextrun"/>
          <w:rFonts w:ascii="Times New Roman" w:hAnsi="Times New Roman"/>
          <w:noProof/>
          <w:sz w:val="24"/>
          <w:u w:val="single"/>
          <w:shd w:val="clear" w:color="auto" w:fill="FFFFFF"/>
          <w:lang w:val="pl-PL"/>
        </w:rPr>
        <w:t>Wprowadzenie tymczasowego pułapu dochodów dla „inframarginalnych” producentów energii (np. energii ze źródeł odnawialnych, energii jądrowej</w:t>
      </w:r>
      <w:r w:rsidR="00534316" w:rsidRPr="00F97E98">
        <w:rPr>
          <w:rStyle w:val="normaltextrun"/>
          <w:rFonts w:ascii="Times New Roman" w:hAnsi="Times New Roman"/>
          <w:noProof/>
          <w:sz w:val="24"/>
          <w:u w:val="single"/>
          <w:shd w:val="clear" w:color="auto" w:fill="FFFFFF"/>
          <w:lang w:val="pl-PL"/>
        </w:rPr>
        <w:t xml:space="preserve"> i</w:t>
      </w:r>
      <w:r w:rsidR="00534316">
        <w:rPr>
          <w:rStyle w:val="normaltextrun"/>
          <w:rFonts w:ascii="Times New Roman" w:hAnsi="Times New Roman"/>
          <w:noProof/>
          <w:sz w:val="24"/>
          <w:u w:val="single"/>
          <w:shd w:val="clear" w:color="auto" w:fill="FFFFFF"/>
          <w:lang w:val="pl-PL"/>
        </w:rPr>
        <w:t> </w:t>
      </w:r>
      <w:r w:rsidR="00534316" w:rsidRPr="00F97E98">
        <w:rPr>
          <w:rStyle w:val="normaltextrun"/>
          <w:rFonts w:ascii="Times New Roman" w:hAnsi="Times New Roman"/>
          <w:noProof/>
          <w:sz w:val="24"/>
          <w:u w:val="single"/>
          <w:shd w:val="clear" w:color="auto" w:fill="FFFFFF"/>
          <w:lang w:val="pl-PL"/>
        </w:rPr>
        <w:t>węg</w:t>
      </w:r>
      <w:r w:rsidRPr="00F97E98">
        <w:rPr>
          <w:rStyle w:val="normaltextrun"/>
          <w:rFonts w:ascii="Times New Roman" w:hAnsi="Times New Roman"/>
          <w:noProof/>
          <w:sz w:val="24"/>
          <w:u w:val="single"/>
          <w:shd w:val="clear" w:color="auto" w:fill="FFFFFF"/>
          <w:lang w:val="pl-PL"/>
        </w:rPr>
        <w:t>la brunatnego)</w:t>
      </w:r>
      <w:r w:rsidRPr="00F97E98">
        <w:rPr>
          <w:rStyle w:val="normaltextrun"/>
          <w:rFonts w:ascii="Times New Roman" w:hAnsi="Times New Roman"/>
          <w:noProof/>
          <w:sz w:val="24"/>
          <w:shd w:val="clear" w:color="auto" w:fill="FFFFFF"/>
          <w:lang w:val="pl-PL"/>
        </w:rPr>
        <w:t>:</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roz</w:t>
      </w:r>
      <w:r w:rsidRPr="00F97E98">
        <w:rPr>
          <w:rStyle w:val="normaltextrun"/>
          <w:rFonts w:ascii="Times New Roman" w:hAnsi="Times New Roman"/>
          <w:noProof/>
          <w:sz w:val="24"/>
          <w:shd w:val="clear" w:color="auto" w:fill="FFFFFF"/>
          <w:lang w:val="pl-PL"/>
        </w:rPr>
        <w:t>porządzeniu Rady nakazuje się wprowadzenie tymczasowego pułapu dochodów</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mak</w:t>
      </w:r>
      <w:r w:rsidRPr="00F97E98">
        <w:rPr>
          <w:rStyle w:val="normaltextrun"/>
          <w:rFonts w:ascii="Times New Roman" w:hAnsi="Times New Roman"/>
          <w:noProof/>
          <w:sz w:val="24"/>
          <w:shd w:val="clear" w:color="auto" w:fill="FFFFFF"/>
          <w:lang w:val="pl-PL"/>
        </w:rPr>
        <w:t>symalnej wysokości 180 EUR/MWh dla producentów energii elektrycznej wykorzystujących technologie</w:t>
      </w:r>
      <w:r w:rsidR="00534316" w:rsidRPr="00F97E98">
        <w:rPr>
          <w:rStyle w:val="normaltextrun"/>
          <w:rFonts w:ascii="Times New Roman" w:hAnsi="Times New Roman"/>
          <w:noProof/>
          <w:sz w:val="24"/>
          <w:shd w:val="clear" w:color="auto" w:fill="FFFFFF"/>
          <w:lang w:val="pl-PL"/>
        </w:rPr>
        <w:t xml:space="preserve"> o</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niż</w:t>
      </w:r>
      <w:r w:rsidRPr="00F97E98">
        <w:rPr>
          <w:rStyle w:val="normaltextrun"/>
          <w:rFonts w:ascii="Times New Roman" w:hAnsi="Times New Roman"/>
          <w:noProof/>
          <w:sz w:val="24"/>
          <w:shd w:val="clear" w:color="auto" w:fill="FFFFFF"/>
          <w:lang w:val="pl-PL"/>
        </w:rPr>
        <w:t>szych kosztach krańcowych (pułap dochodów). Państwom członkowskim zapewniono jednak również elastyczność</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zak</w:t>
      </w:r>
      <w:r w:rsidRPr="00F97E98">
        <w:rPr>
          <w:rStyle w:val="normaltextrun"/>
          <w:rFonts w:ascii="Times New Roman" w:hAnsi="Times New Roman"/>
          <w:noProof/>
          <w:sz w:val="24"/>
          <w:shd w:val="clear" w:color="auto" w:fill="FFFFFF"/>
          <w:lang w:val="pl-PL"/>
        </w:rPr>
        <w:t>resie decydowania</w:t>
      </w:r>
      <w:r w:rsidR="00534316" w:rsidRPr="00F97E98">
        <w:rPr>
          <w:rStyle w:val="normaltextrun"/>
          <w:rFonts w:ascii="Times New Roman" w:hAnsi="Times New Roman"/>
          <w:noProof/>
          <w:sz w:val="24"/>
          <w:shd w:val="clear" w:color="auto" w:fill="FFFFFF"/>
          <w:lang w:val="pl-PL"/>
        </w:rPr>
        <w:t xml:space="preserve"> o</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spo</w:t>
      </w:r>
      <w:r w:rsidRPr="00F97E98">
        <w:rPr>
          <w:rStyle w:val="normaltextrun"/>
          <w:rFonts w:ascii="Times New Roman" w:hAnsi="Times New Roman"/>
          <w:noProof/>
          <w:sz w:val="24"/>
          <w:shd w:val="clear" w:color="auto" w:fill="FFFFFF"/>
          <w:lang w:val="pl-PL"/>
        </w:rPr>
        <w:t xml:space="preserve">sobie stosowania tego środka na szczeblu krajowym. Przychody przekraczające pułap przychodów zostaną wykorzystane do łagodzenia skutków wysokich cen energii elektrycznej dla konsumentów energii. Środek ten obowiązuje </w:t>
      </w:r>
      <w:r w:rsidRPr="00534316">
        <w:rPr>
          <w:rStyle w:val="normaltextrun"/>
          <w:rFonts w:ascii="Times New Roman" w:hAnsi="Times New Roman"/>
          <w:noProof/>
          <w:sz w:val="24"/>
          <w:shd w:val="clear" w:color="auto" w:fill="FFFFFF"/>
          <w:lang w:val="pl-PL"/>
        </w:rPr>
        <w:t>od</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1</w:t>
      </w:r>
      <w:r w:rsidRPr="00F97E98">
        <w:rPr>
          <w:rStyle w:val="normaltextrun"/>
          <w:rFonts w:ascii="Times New Roman" w:hAnsi="Times New Roman"/>
          <w:noProof/>
          <w:sz w:val="24"/>
          <w:shd w:val="clear" w:color="auto" w:fill="FFFFFF"/>
          <w:lang w:val="pl-PL"/>
        </w:rPr>
        <w:t xml:space="preserve"> grudnia 20</w:t>
      </w:r>
      <w:r w:rsidRPr="00534316">
        <w:rPr>
          <w:rStyle w:val="normaltextrun"/>
          <w:rFonts w:ascii="Times New Roman" w:hAnsi="Times New Roman"/>
          <w:noProof/>
          <w:sz w:val="24"/>
          <w:shd w:val="clear" w:color="auto" w:fill="FFFFFF"/>
          <w:lang w:val="pl-PL"/>
        </w:rPr>
        <w:t>22</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r w:rsidRPr="00F97E98">
        <w:rPr>
          <w:rStyle w:val="normaltextrun"/>
          <w:rFonts w:ascii="Times New Roman" w:hAnsi="Times New Roman"/>
          <w:noProof/>
          <w:sz w:val="24"/>
          <w:shd w:val="clear" w:color="auto" w:fill="FFFFFF"/>
          <w:lang w:val="pl-PL"/>
        </w:rPr>
        <w:t xml:space="preserve"> </w:t>
      </w:r>
      <w:r w:rsidRPr="00534316">
        <w:rPr>
          <w:rStyle w:val="normaltextrun"/>
          <w:rFonts w:ascii="Times New Roman" w:hAnsi="Times New Roman"/>
          <w:noProof/>
          <w:sz w:val="24"/>
          <w:shd w:val="clear" w:color="auto" w:fill="FFFFFF"/>
          <w:lang w:val="pl-PL"/>
        </w:rPr>
        <w:t>do</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3</w:t>
      </w:r>
      <w:r w:rsidRPr="00F97E98">
        <w:rPr>
          <w:rStyle w:val="normaltextrun"/>
          <w:rFonts w:ascii="Times New Roman" w:hAnsi="Times New Roman"/>
          <w:noProof/>
          <w:sz w:val="24"/>
          <w:shd w:val="clear" w:color="auto" w:fill="FFFFFF"/>
          <w:lang w:val="pl-PL"/>
        </w:rPr>
        <w:t>0 czerwca 20</w:t>
      </w:r>
      <w:r w:rsidRPr="00534316">
        <w:rPr>
          <w:rStyle w:val="normaltextrun"/>
          <w:rFonts w:ascii="Times New Roman" w:hAnsi="Times New Roman"/>
          <w:noProof/>
          <w:sz w:val="24"/>
          <w:shd w:val="clear" w:color="auto" w:fill="FFFFFF"/>
          <w:lang w:val="pl-PL"/>
        </w:rPr>
        <w:t>23</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r w:rsidRPr="00F97E98">
        <w:rPr>
          <w:rStyle w:val="normaltextrun"/>
          <w:rFonts w:ascii="Times New Roman" w:hAnsi="Times New Roman"/>
          <w:noProof/>
          <w:sz w:val="24"/>
          <w:shd w:val="clear" w:color="auto" w:fill="FFFFFF"/>
          <w:lang w:val="pl-PL"/>
        </w:rPr>
        <w:t xml:space="preserve"> </w:t>
      </w:r>
    </w:p>
    <w:p w14:paraId="11FD8739" w14:textId="66E52360" w:rsidR="001222FB" w:rsidRPr="00F97E98" w:rsidRDefault="2F16EF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hd w:val="clear" w:color="auto" w:fill="FFFFFF"/>
          <w:lang w:val="pl-PL"/>
        </w:rPr>
      </w:pPr>
      <w:r w:rsidRPr="00F97E98">
        <w:rPr>
          <w:rStyle w:val="normaltextrun"/>
          <w:rFonts w:ascii="Times New Roman" w:hAnsi="Times New Roman"/>
          <w:noProof/>
          <w:sz w:val="24"/>
          <w:u w:val="single"/>
          <w:shd w:val="clear" w:color="auto" w:fill="FFFFFF"/>
          <w:lang w:val="pl-PL"/>
        </w:rPr>
        <w:t>Wsparcie odbiorców końcowych</w:t>
      </w:r>
      <w:r w:rsidRPr="00F97E98">
        <w:rPr>
          <w:rStyle w:val="normaltextrun"/>
          <w:rFonts w:ascii="Times New Roman" w:hAnsi="Times New Roman"/>
          <w:noProof/>
          <w:sz w:val="24"/>
          <w:shd w:val="clear" w:color="auto" w:fill="FFFFFF"/>
          <w:lang w:val="pl-PL"/>
        </w:rPr>
        <w:t>:</w:t>
      </w:r>
      <w:r w:rsidR="00534316" w:rsidRPr="00F97E98">
        <w:rPr>
          <w:rStyle w:val="normaltextrun"/>
          <w:rFonts w:ascii="Times New Roman" w:hAnsi="Times New Roman"/>
          <w:noProof/>
          <w:sz w:val="24"/>
          <w:shd w:val="clear" w:color="auto" w:fill="FFFFFF"/>
          <w:lang w:val="pl-PL"/>
        </w:rPr>
        <w:t xml:space="preserve"> w</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roz</w:t>
      </w:r>
      <w:r w:rsidRPr="00F97E98">
        <w:rPr>
          <w:rStyle w:val="normaltextrun"/>
          <w:rFonts w:ascii="Times New Roman" w:hAnsi="Times New Roman"/>
          <w:noProof/>
          <w:sz w:val="24"/>
          <w:shd w:val="clear" w:color="auto" w:fill="FFFFFF"/>
          <w:lang w:val="pl-PL"/>
        </w:rPr>
        <w:t>porządzeniu Rady rozszerzono zestaw narzędzi, który państwa członkowskie mają do dyspozycji, aby chronić konsumentów energii elektrycznej, zezwalając na stosowanie cen regulowanych poniżej kosztów dla gospodarstw domowych oraz małych</w:t>
      </w:r>
      <w:r w:rsidR="00534316" w:rsidRPr="00F97E98">
        <w:rPr>
          <w:rStyle w:val="normaltextrun"/>
          <w:rFonts w:ascii="Times New Roman" w:hAnsi="Times New Roman"/>
          <w:noProof/>
          <w:sz w:val="24"/>
          <w:shd w:val="clear" w:color="auto" w:fill="FFFFFF"/>
          <w:lang w:val="pl-PL"/>
        </w:rPr>
        <w:t xml:space="preserve"> i</w:t>
      </w:r>
      <w:r w:rsidR="00534316">
        <w:rPr>
          <w:rStyle w:val="normaltextrun"/>
          <w:rFonts w:ascii="Times New Roman" w:hAnsi="Times New Roman"/>
          <w:noProof/>
          <w:sz w:val="24"/>
          <w:shd w:val="clear" w:color="auto" w:fill="FFFFFF"/>
          <w:lang w:val="pl-PL"/>
        </w:rPr>
        <w:t> </w:t>
      </w:r>
      <w:r w:rsidR="00534316" w:rsidRPr="00F97E98">
        <w:rPr>
          <w:rStyle w:val="normaltextrun"/>
          <w:rFonts w:ascii="Times New Roman" w:hAnsi="Times New Roman"/>
          <w:noProof/>
          <w:sz w:val="24"/>
          <w:shd w:val="clear" w:color="auto" w:fill="FFFFFF"/>
          <w:lang w:val="pl-PL"/>
        </w:rPr>
        <w:t>śre</w:t>
      </w:r>
      <w:r w:rsidRPr="00F97E98">
        <w:rPr>
          <w:rStyle w:val="normaltextrun"/>
          <w:rFonts w:ascii="Times New Roman" w:hAnsi="Times New Roman"/>
          <w:noProof/>
          <w:sz w:val="24"/>
          <w:shd w:val="clear" w:color="auto" w:fill="FFFFFF"/>
          <w:lang w:val="pl-PL"/>
        </w:rPr>
        <w:t>dnich przedsiębiorstw (MŚP) pod pewnymi warunkami</w:t>
      </w:r>
      <w:r w:rsidRPr="00534316">
        <w:rPr>
          <w:rStyle w:val="normaltextrun"/>
          <w:rFonts w:ascii="Times New Roman" w:hAnsi="Times New Roman"/>
          <w:noProof/>
          <w:sz w:val="24"/>
          <w:shd w:val="clear" w:color="auto" w:fill="FFFFFF"/>
          <w:lang w:val="pl-PL"/>
        </w:rPr>
        <w:t>.</w:t>
      </w:r>
      <w:r w:rsidR="00534316" w:rsidRPr="00534316">
        <w:rPr>
          <w:rStyle w:val="normaltextrun"/>
          <w:rFonts w:ascii="Times New Roman" w:hAnsi="Times New Roman"/>
          <w:noProof/>
          <w:sz w:val="24"/>
          <w:shd w:val="clear" w:color="auto" w:fill="FFFFFF"/>
          <w:lang w:val="pl-PL"/>
        </w:rPr>
        <w:t xml:space="preserve"> </w:t>
      </w:r>
      <w:r w:rsidRPr="00534316">
        <w:rPr>
          <w:rStyle w:val="normaltextrun"/>
          <w:rFonts w:ascii="Times New Roman" w:hAnsi="Times New Roman"/>
          <w:noProof/>
          <w:sz w:val="24"/>
          <w:shd w:val="clear" w:color="auto" w:fill="FFFFFF"/>
          <w:lang w:val="pl-PL"/>
        </w:rPr>
        <w:t>Ś</w:t>
      </w:r>
      <w:r w:rsidRPr="00F97E98">
        <w:rPr>
          <w:rStyle w:val="normaltextrun"/>
          <w:rFonts w:ascii="Times New Roman" w:hAnsi="Times New Roman"/>
          <w:noProof/>
          <w:sz w:val="24"/>
          <w:shd w:val="clear" w:color="auto" w:fill="FFFFFF"/>
          <w:lang w:val="pl-PL"/>
        </w:rPr>
        <w:t xml:space="preserve">rodek ten obowiązywał </w:t>
      </w:r>
      <w:r w:rsidRPr="00534316">
        <w:rPr>
          <w:rStyle w:val="normaltextrun"/>
          <w:rFonts w:ascii="Times New Roman" w:hAnsi="Times New Roman"/>
          <w:noProof/>
          <w:sz w:val="24"/>
          <w:shd w:val="clear" w:color="auto" w:fill="FFFFFF"/>
          <w:lang w:val="pl-PL"/>
        </w:rPr>
        <w:t>od</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8</w:t>
      </w:r>
      <w:r w:rsidRPr="00F97E98">
        <w:rPr>
          <w:rStyle w:val="normaltextrun"/>
          <w:rFonts w:ascii="Times New Roman" w:hAnsi="Times New Roman"/>
          <w:noProof/>
          <w:sz w:val="24"/>
          <w:shd w:val="clear" w:color="auto" w:fill="FFFFFF"/>
          <w:lang w:val="pl-PL"/>
        </w:rPr>
        <w:t xml:space="preserve"> października 20</w:t>
      </w:r>
      <w:r w:rsidRPr="00534316">
        <w:rPr>
          <w:rStyle w:val="normaltextrun"/>
          <w:rFonts w:ascii="Times New Roman" w:hAnsi="Times New Roman"/>
          <w:noProof/>
          <w:sz w:val="24"/>
          <w:shd w:val="clear" w:color="auto" w:fill="FFFFFF"/>
          <w:lang w:val="pl-PL"/>
        </w:rPr>
        <w:t>22</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r w:rsidRPr="00F97E98">
        <w:rPr>
          <w:rStyle w:val="normaltextrun"/>
          <w:rFonts w:ascii="Times New Roman" w:hAnsi="Times New Roman"/>
          <w:noProof/>
          <w:sz w:val="24"/>
          <w:shd w:val="clear" w:color="auto" w:fill="FFFFFF"/>
          <w:lang w:val="pl-PL"/>
        </w:rPr>
        <w:t xml:space="preserve"> </w:t>
      </w:r>
      <w:r w:rsidRPr="00534316">
        <w:rPr>
          <w:rStyle w:val="normaltextrun"/>
          <w:rFonts w:ascii="Times New Roman" w:hAnsi="Times New Roman"/>
          <w:noProof/>
          <w:sz w:val="24"/>
          <w:shd w:val="clear" w:color="auto" w:fill="FFFFFF"/>
          <w:lang w:val="pl-PL"/>
        </w:rPr>
        <w:t>do</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3</w:t>
      </w:r>
      <w:r w:rsidRPr="00F97E98">
        <w:rPr>
          <w:rStyle w:val="normaltextrun"/>
          <w:rFonts w:ascii="Times New Roman" w:hAnsi="Times New Roman"/>
          <w:noProof/>
          <w:sz w:val="24"/>
          <w:shd w:val="clear" w:color="auto" w:fill="FFFFFF"/>
          <w:lang w:val="pl-PL"/>
        </w:rPr>
        <w:t>1 grudnia 20</w:t>
      </w:r>
      <w:r w:rsidRPr="00534316">
        <w:rPr>
          <w:rStyle w:val="normaltextrun"/>
          <w:rFonts w:ascii="Times New Roman" w:hAnsi="Times New Roman"/>
          <w:noProof/>
          <w:sz w:val="24"/>
          <w:shd w:val="clear" w:color="auto" w:fill="FFFFFF"/>
          <w:lang w:val="pl-PL"/>
        </w:rPr>
        <w:t>23</w:t>
      </w:r>
      <w:r w:rsidR="00534316" w:rsidRPr="00534316">
        <w:rPr>
          <w:rStyle w:val="normaltextrun"/>
          <w:rFonts w:ascii="Times New Roman" w:hAnsi="Times New Roman"/>
          <w:noProof/>
          <w:sz w:val="24"/>
          <w:shd w:val="clear" w:color="auto" w:fill="FFFFFF"/>
          <w:lang w:val="pl-PL"/>
        </w:rPr>
        <w:t> </w:t>
      </w:r>
      <w:r w:rsidRPr="00534316">
        <w:rPr>
          <w:rStyle w:val="normaltextrun"/>
          <w:rFonts w:ascii="Times New Roman" w:hAnsi="Times New Roman"/>
          <w:noProof/>
          <w:sz w:val="24"/>
          <w:shd w:val="clear" w:color="auto" w:fill="FFFFFF"/>
          <w:lang w:val="pl-PL"/>
        </w:rPr>
        <w:t>r.</w:t>
      </w:r>
    </w:p>
    <w:p w14:paraId="463958EB" w14:textId="0ED621BA" w:rsidR="0AF5E614" w:rsidRPr="00F97E98" w:rsidRDefault="73BD7232" w:rsidP="2B9E9F58">
      <w:pPr>
        <w:spacing w:before="120" w:after="120" w:line="360" w:lineRule="auto"/>
        <w:jc w:val="both"/>
        <w:rPr>
          <w:rStyle w:val="normaltextrun"/>
          <w:rFonts w:ascii="Times New Roman" w:eastAsia="Times New Roman" w:hAnsi="Times New Roman" w:cs="Times New Roman"/>
          <w:noProof/>
          <w:color w:val="000000" w:themeColor="text1"/>
          <w:sz w:val="24"/>
          <w:lang w:val="pl-PL"/>
        </w:rPr>
      </w:pPr>
      <w:r w:rsidRPr="00F97E98">
        <w:rPr>
          <w:rStyle w:val="normaltextrun"/>
          <w:rFonts w:ascii="Times New Roman" w:hAnsi="Times New Roman"/>
          <w:noProof/>
          <w:sz w:val="24"/>
          <w:lang w:val="pl-PL"/>
        </w:rPr>
        <w:t>W rozporządzeniu Rady wprowadzono również składkę solidarnościową od unijnych przedsiębiorstw</w:t>
      </w:r>
      <w:r w:rsidR="00534316" w:rsidRPr="00F97E98">
        <w:rPr>
          <w:rStyle w:val="normaltextrun"/>
          <w:rFonts w:ascii="Times New Roman" w:hAnsi="Times New Roman"/>
          <w:noProof/>
          <w:sz w:val="24"/>
          <w:lang w:val="pl-PL"/>
        </w:rPr>
        <w:t xml:space="preserve"> i</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sta</w:t>
      </w:r>
      <w:r w:rsidRPr="00F97E98">
        <w:rPr>
          <w:rStyle w:val="normaltextrun"/>
          <w:rFonts w:ascii="Times New Roman" w:hAnsi="Times New Roman"/>
          <w:noProof/>
          <w:sz w:val="24"/>
          <w:lang w:val="pl-PL"/>
        </w:rPr>
        <w:t>łych zakładów prowadzących działalność</w:t>
      </w:r>
      <w:r w:rsidR="00534316" w:rsidRPr="00F97E98">
        <w:rPr>
          <w:rStyle w:val="normaltextrun"/>
          <w:rFonts w:ascii="Times New Roman" w:hAnsi="Times New Roman"/>
          <w:noProof/>
          <w:sz w:val="24"/>
          <w:lang w:val="pl-PL"/>
        </w:rPr>
        <w:t xml:space="preserve"> w</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sek</w:t>
      </w:r>
      <w:r w:rsidRPr="00F97E98">
        <w:rPr>
          <w:rStyle w:val="normaltextrun"/>
          <w:rFonts w:ascii="Times New Roman" w:hAnsi="Times New Roman"/>
          <w:noProof/>
          <w:sz w:val="24"/>
          <w:lang w:val="pl-PL"/>
        </w:rPr>
        <w:t>torze ropy naftowej, gazu ziemnego, węgla</w:t>
      </w:r>
      <w:r w:rsidR="00534316" w:rsidRPr="00F97E98">
        <w:rPr>
          <w:rStyle w:val="normaltextrun"/>
          <w:rFonts w:ascii="Times New Roman" w:hAnsi="Times New Roman"/>
          <w:noProof/>
          <w:sz w:val="24"/>
          <w:lang w:val="pl-PL"/>
        </w:rPr>
        <w:t xml:space="preserve"> i</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raf</w:t>
      </w:r>
      <w:r w:rsidRPr="00F97E98">
        <w:rPr>
          <w:rStyle w:val="normaltextrun"/>
          <w:rFonts w:ascii="Times New Roman" w:hAnsi="Times New Roman"/>
          <w:noProof/>
          <w:sz w:val="24"/>
          <w:lang w:val="pl-PL"/>
        </w:rPr>
        <w:t>inacji (rozdział III).</w:t>
      </w:r>
    </w:p>
    <w:p w14:paraId="21150697" w14:textId="259E6AA3" w:rsidR="380141F3" w:rsidRPr="00F97E98" w:rsidRDefault="03BE3B81" w:rsidP="00033E4E">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Podczas gdy rozporządzenie Rady miało na celu zaradzenie wyjątkowym okolicznościom kryzysu energetycznego, 14 marca 20</w:t>
      </w:r>
      <w:r w:rsidRPr="00534316">
        <w:rPr>
          <w:rFonts w:ascii="Times New Roman" w:hAnsi="Times New Roman"/>
          <w:noProof/>
          <w:sz w:val="24"/>
          <w:lang w:val="pl-PL"/>
        </w:rPr>
        <w:t>23</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xml:space="preserve"> Komisja podjęła działanie wykraczające poza samą odpowiedź na kryzys energetyczny</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zap</w:t>
      </w:r>
      <w:r w:rsidRPr="00F97E98">
        <w:rPr>
          <w:rFonts w:ascii="Times New Roman" w:hAnsi="Times New Roman"/>
          <w:noProof/>
          <w:sz w:val="24"/>
          <w:lang w:val="pl-PL"/>
        </w:rPr>
        <w:t>roponowała reformę struktury unijnego rynku energii elektrycznej, aby przyspieszyć wdrażanie odnawialnych źródeł energii</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sto</w:t>
      </w:r>
      <w:r w:rsidRPr="00F97E98">
        <w:rPr>
          <w:rFonts w:ascii="Times New Roman" w:hAnsi="Times New Roman"/>
          <w:noProof/>
          <w:sz w:val="24"/>
          <w:lang w:val="pl-PL"/>
        </w:rPr>
        <w:t>pniowe wycofywanie się</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gaz</w:t>
      </w:r>
      <w:r w:rsidRPr="00F97E98">
        <w:rPr>
          <w:rFonts w:ascii="Times New Roman" w:hAnsi="Times New Roman"/>
          <w:noProof/>
          <w:sz w:val="24"/>
          <w:lang w:val="pl-PL"/>
        </w:rPr>
        <w:t>u, co zapewni mniejszą zależność rachunków konsumentów od zmiennych cen paliw kopalnych, lepszą ochronę konsumentów przed przyszłymi gwałtownymi wzrostami cen energii</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pot</w:t>
      </w:r>
      <w:r w:rsidRPr="00F97E98">
        <w:rPr>
          <w:rFonts w:ascii="Times New Roman" w:hAnsi="Times New Roman"/>
          <w:noProof/>
          <w:sz w:val="24"/>
          <w:lang w:val="pl-PL"/>
        </w:rPr>
        <w:t>encjalnymi manipulacjami na rynku oraz większą czystość</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kon</w:t>
      </w:r>
      <w:r w:rsidRPr="00F97E98">
        <w:rPr>
          <w:rFonts w:ascii="Times New Roman" w:hAnsi="Times New Roman"/>
          <w:noProof/>
          <w:sz w:val="24"/>
          <w:lang w:val="pl-PL"/>
        </w:rPr>
        <w:t>kurencyjność przemysłu unijnego (</w:t>
      </w:r>
      <w:r w:rsidRPr="00F97E98">
        <w:rPr>
          <w:rFonts w:ascii="Times New Roman" w:hAnsi="Times New Roman"/>
          <w:b/>
          <w:i/>
          <w:noProof/>
          <w:sz w:val="24"/>
          <w:lang w:val="pl-PL"/>
        </w:rPr>
        <w:t>wniosek dotyczący struktury rynku energii elektrycznej</w:t>
      </w:r>
      <w:r w:rsidRPr="00F97E98">
        <w:rPr>
          <w:rFonts w:ascii="Times New Roman" w:hAnsi="Times New Roman"/>
          <w:noProof/>
          <w:sz w:val="24"/>
          <w:lang w:val="pl-PL"/>
        </w:rPr>
        <w:t>)</w:t>
      </w:r>
      <w:r w:rsidRPr="00F97E98">
        <w:rPr>
          <w:rStyle w:val="FootnoteReference"/>
          <w:rFonts w:ascii="Times New Roman" w:eastAsia="Times New Roman" w:hAnsi="Times New Roman" w:cs="Times New Roman"/>
          <w:noProof/>
          <w:sz w:val="24"/>
          <w:lang w:val="pl-PL"/>
        </w:rPr>
        <w:footnoteReference w:id="9"/>
      </w:r>
      <w:r w:rsidRPr="00F97E98">
        <w:rPr>
          <w:noProof/>
          <w:lang w:val="pl-PL"/>
        </w:rPr>
        <w:t>.</w:t>
      </w:r>
      <w:r w:rsidRPr="00F97E98">
        <w:rPr>
          <w:rFonts w:ascii="Times New Roman" w:hAnsi="Times New Roman"/>
          <w:noProof/>
          <w:sz w:val="24"/>
          <w:lang w:val="pl-PL"/>
        </w:rPr>
        <w:t xml:space="preserve"> We wniosku tym określono środki, które mają na celu umożliwienie opracowania długoterminowych umów</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pro</w:t>
      </w:r>
      <w:r w:rsidRPr="00F97E98">
        <w:rPr>
          <w:rFonts w:ascii="Times New Roman" w:hAnsi="Times New Roman"/>
          <w:noProof/>
          <w:sz w:val="24"/>
          <w:lang w:val="pl-PL"/>
        </w:rPr>
        <w:t>dukcją energii ze źródeł niekopalnych oraz wprowadzenie do systemu czystszych</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ela</w:t>
      </w:r>
      <w:r w:rsidRPr="00F97E98">
        <w:rPr>
          <w:rFonts w:ascii="Times New Roman" w:hAnsi="Times New Roman"/>
          <w:noProof/>
          <w:sz w:val="24"/>
          <w:lang w:val="pl-PL"/>
        </w:rPr>
        <w:t>stycznych rozwiązań, takich jak odpowiedź odbioru</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mag</w:t>
      </w:r>
      <w:r w:rsidRPr="00F97E98">
        <w:rPr>
          <w:rFonts w:ascii="Times New Roman" w:hAnsi="Times New Roman"/>
          <w:noProof/>
          <w:sz w:val="24"/>
          <w:lang w:val="pl-PL"/>
        </w:rPr>
        <w:t>azynowanie, aby wyeliminować gaz</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kos</w:t>
      </w:r>
      <w:r w:rsidRPr="00F97E98">
        <w:rPr>
          <w:rFonts w:ascii="Times New Roman" w:hAnsi="Times New Roman"/>
          <w:noProof/>
          <w:sz w:val="24"/>
          <w:lang w:val="pl-PL"/>
        </w:rPr>
        <w:t>zyka energii elektrycznej</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szc</w:t>
      </w:r>
      <w:r w:rsidRPr="00F97E98">
        <w:rPr>
          <w:rFonts w:ascii="Times New Roman" w:hAnsi="Times New Roman"/>
          <w:noProof/>
          <w:sz w:val="24"/>
          <w:lang w:val="pl-PL"/>
        </w:rPr>
        <w:t>zególności, aby zwiększyć elastyczność systemu elektroenergetycznego, we wniosku nałożono na państwa członkowskie wymóg przeprowadzenia oceny własnych potrzeb</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okr</w:t>
      </w:r>
      <w:r w:rsidRPr="00F97E98">
        <w:rPr>
          <w:rFonts w:ascii="Times New Roman" w:hAnsi="Times New Roman"/>
          <w:noProof/>
          <w:sz w:val="24"/>
          <w:lang w:val="pl-PL"/>
        </w:rPr>
        <w:t>eślenia celów służących zwiększeniu elastyczności opartej na źródłach niekopalnych,</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tak</w:t>
      </w:r>
      <w:r w:rsidRPr="00F97E98">
        <w:rPr>
          <w:rFonts w:ascii="Times New Roman" w:hAnsi="Times New Roman"/>
          <w:noProof/>
          <w:sz w:val="24"/>
          <w:lang w:val="pl-PL"/>
        </w:rPr>
        <w:t>że określono możliwość wprowadzenia nowych systemów wsparcia elastyczności opartej na źródłach niekopalnych, takich jak odpowiedź odbioru</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mag</w:t>
      </w:r>
      <w:r w:rsidRPr="00F97E98">
        <w:rPr>
          <w:rFonts w:ascii="Times New Roman" w:hAnsi="Times New Roman"/>
          <w:noProof/>
          <w:sz w:val="24"/>
          <w:lang w:val="pl-PL"/>
        </w:rPr>
        <w:t xml:space="preserve">azynowanie. </w:t>
      </w:r>
    </w:p>
    <w:p w14:paraId="3EAA92D1" w14:textId="7A80BF1E" w:rsidR="380141F3" w:rsidRPr="00F97E98" w:rsidRDefault="37F1FED1" w:rsidP="2B9E9F58">
      <w:pPr>
        <w:spacing w:before="120" w:after="120" w:line="360" w:lineRule="auto"/>
        <w:jc w:val="both"/>
        <w:rPr>
          <w:rFonts w:ascii="Times New Roman" w:eastAsia="Times New Roman" w:hAnsi="Times New Roman" w:cs="Times New Roman"/>
          <w:noProof/>
          <w:sz w:val="24"/>
          <w:highlight w:val="yellow"/>
          <w:lang w:val="pl-PL"/>
        </w:rPr>
      </w:pPr>
      <w:r w:rsidRPr="00F97E98">
        <w:rPr>
          <w:rFonts w:ascii="Times New Roman" w:hAnsi="Times New Roman"/>
          <w:noProof/>
          <w:sz w:val="24"/>
          <w:lang w:val="pl-PL"/>
        </w:rPr>
        <w:t>Wniosek dotyczący struktury rynku energii elektrycznej zawiera również środki wzmacniające ochronę odbiorców wrażliwych. Między innymi wniosek umożliwia państwom członkowskim wprowadzenie regulowanych cen detalicznych poniżej kosztów dla gospodarstw domowych i MŚP</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ypadku wystąpienia kryzysu związanego</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cen</w:t>
      </w:r>
      <w:r w:rsidRPr="00F97E98">
        <w:rPr>
          <w:rFonts w:ascii="Times New Roman" w:hAnsi="Times New Roman"/>
          <w:noProof/>
          <w:sz w:val="24"/>
          <w:lang w:val="pl-PL"/>
        </w:rPr>
        <w:t>ami energii elektrycznej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 xml:space="preserve">yszłości. </w:t>
      </w:r>
    </w:p>
    <w:p w14:paraId="30CF2C1A" w14:textId="3BF08DB1" w:rsidR="29FD0899" w:rsidRPr="00F97E98" w:rsidRDefault="793F4C08"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W ramach prac nad wnioskiem Komisja przeprowadziła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dni</w:t>
      </w:r>
      <w:r w:rsidRPr="00F97E98">
        <w:rPr>
          <w:rFonts w:ascii="Times New Roman" w:hAnsi="Times New Roman"/>
          <w:noProof/>
          <w:sz w:val="24"/>
          <w:lang w:val="pl-PL"/>
        </w:rPr>
        <w:t>ach 23 stycznia–13 lutego 20</w:t>
      </w:r>
      <w:r w:rsidRPr="00534316">
        <w:rPr>
          <w:rFonts w:ascii="Times New Roman" w:hAnsi="Times New Roman"/>
          <w:noProof/>
          <w:sz w:val="24"/>
          <w:lang w:val="pl-PL"/>
        </w:rPr>
        <w:t>23</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xml:space="preserve"> konsultacje publiczne (</w:t>
      </w:r>
      <w:r w:rsidRPr="00F97E98">
        <w:rPr>
          <w:rFonts w:ascii="Times New Roman" w:hAnsi="Times New Roman"/>
          <w:b/>
          <w:i/>
          <w:noProof/>
          <w:sz w:val="24"/>
          <w:lang w:val="pl-PL"/>
        </w:rPr>
        <w:t>konsultacje publiczne</w:t>
      </w:r>
      <w:r w:rsidRPr="00F97E98">
        <w:rPr>
          <w:rFonts w:ascii="Times New Roman" w:hAnsi="Times New Roman"/>
          <w:noProof/>
          <w:sz w:val="24"/>
          <w:lang w:val="pl-PL"/>
        </w:rPr>
        <w:t>). Obejmowały one pytania na temat środków wprowadzonych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Rady</w:t>
      </w:r>
      <w:r w:rsidRPr="00F97E98">
        <w:rPr>
          <w:rStyle w:val="FootnoteReference"/>
          <w:rFonts w:ascii="Times New Roman" w:eastAsia="Times New Roman" w:hAnsi="Times New Roman" w:cs="Times New Roman"/>
          <w:noProof/>
          <w:sz w:val="24"/>
          <w:lang w:val="pl-PL"/>
        </w:rPr>
        <w:footnoteReference w:id="10"/>
      </w:r>
      <w:r w:rsidRPr="00F97E98">
        <w:rPr>
          <w:noProof/>
          <w:lang w:val="pl-PL"/>
        </w:rPr>
        <w:t>.</w:t>
      </w:r>
      <w:r w:rsidRPr="00F97E98">
        <w:rPr>
          <w:rFonts w:ascii="Times New Roman" w:hAnsi="Times New Roman"/>
          <w:noProof/>
          <w:sz w:val="24"/>
          <w:lang w:val="pl-PL"/>
        </w:rPr>
        <w:t xml:space="preserve"> </w:t>
      </w:r>
    </w:p>
    <w:p w14:paraId="75EE5453" w14:textId="16CD5460" w:rsidR="00103EB9" w:rsidRPr="00F85E2D" w:rsidRDefault="78B4EAD8" w:rsidP="00103EB9">
      <w:pPr>
        <w:pStyle w:val="Heading1"/>
        <w:keepNext w:val="0"/>
        <w:keepLines w:val="0"/>
        <w:spacing w:before="120" w:after="120" w:line="360" w:lineRule="auto"/>
        <w:rPr>
          <w:rFonts w:ascii="Times New Roman" w:eastAsia="Times New Roman" w:hAnsi="Times New Roman" w:cs="Times New Roman"/>
          <w:noProof/>
          <w:color w:val="auto"/>
          <w:lang w:val="pl-PL"/>
        </w:rPr>
      </w:pPr>
      <w:bookmarkStart w:id="5" w:name="_Toc137741648"/>
      <w:bookmarkStart w:id="6" w:name="_Toc156730298"/>
      <w:bookmarkStart w:id="7" w:name="_Toc1902165151"/>
      <w:r w:rsidRPr="00103EB9">
        <w:rPr>
          <w:rFonts w:ascii="Times New Roman" w:hAnsi="Times New Roman"/>
          <w:noProof/>
          <w:color w:val="auto"/>
          <w:lang w:val="pl-PL"/>
        </w:rPr>
        <w:t>Wymóg zawarty</w:t>
      </w:r>
      <w:r w:rsidR="00534316" w:rsidRPr="00103EB9">
        <w:rPr>
          <w:rFonts w:ascii="Times New Roman" w:hAnsi="Times New Roman"/>
          <w:noProof/>
          <w:color w:val="auto"/>
          <w:lang w:val="pl-PL"/>
        </w:rPr>
        <w:t xml:space="preserve"> w</w:t>
      </w:r>
      <w:r w:rsidR="00534316">
        <w:rPr>
          <w:rFonts w:ascii="Times New Roman" w:hAnsi="Times New Roman"/>
          <w:noProof/>
          <w:color w:val="auto"/>
          <w:lang w:val="pl-PL"/>
        </w:rPr>
        <w:t> </w:t>
      </w:r>
      <w:r w:rsidR="00534316" w:rsidRPr="00534316">
        <w:rPr>
          <w:rFonts w:ascii="Times New Roman" w:hAnsi="Times New Roman"/>
          <w:noProof/>
          <w:color w:val="auto"/>
          <w:lang w:val="pl-PL"/>
        </w:rPr>
        <w:t>art</w:t>
      </w:r>
      <w:r w:rsidRPr="00534316">
        <w:rPr>
          <w:rFonts w:ascii="Times New Roman" w:hAnsi="Times New Roman"/>
          <w:noProof/>
          <w:color w:val="auto"/>
          <w:lang w:val="pl-PL"/>
        </w:rPr>
        <w:t>.</w:t>
      </w:r>
      <w:r w:rsidR="00534316" w:rsidRPr="00534316">
        <w:rPr>
          <w:rFonts w:ascii="Times New Roman" w:hAnsi="Times New Roman"/>
          <w:noProof/>
          <w:color w:val="auto"/>
          <w:lang w:val="pl-PL"/>
        </w:rPr>
        <w:t> </w:t>
      </w:r>
      <w:r w:rsidRPr="00534316">
        <w:rPr>
          <w:rFonts w:ascii="Times New Roman" w:hAnsi="Times New Roman"/>
          <w:noProof/>
          <w:color w:val="auto"/>
          <w:lang w:val="pl-PL"/>
        </w:rPr>
        <w:t>2</w:t>
      </w:r>
      <w:r w:rsidRPr="00103EB9">
        <w:rPr>
          <w:rFonts w:ascii="Times New Roman" w:hAnsi="Times New Roman"/>
          <w:noProof/>
          <w:color w:val="auto"/>
          <w:lang w:val="pl-PL"/>
        </w:rPr>
        <w:t>0 rozporządzenia Rady</w:t>
      </w:r>
      <w:bookmarkEnd w:id="5"/>
      <w:r w:rsidRPr="00103EB9">
        <w:rPr>
          <w:rFonts w:ascii="Times New Roman" w:hAnsi="Times New Roman"/>
          <w:noProof/>
          <w:color w:val="auto"/>
          <w:lang w:val="pl-PL"/>
        </w:rPr>
        <w:t xml:space="preserve"> </w:t>
      </w:r>
      <w:bookmarkEnd w:id="6"/>
      <w:bookmarkEnd w:id="7"/>
    </w:p>
    <w:p w14:paraId="02F81BDF" w14:textId="579D0CCF" w:rsidR="52975E3E" w:rsidRPr="00F97E98" w:rsidRDefault="52975E3E" w:rsidP="6E35EF87">
      <w:pPr>
        <w:spacing w:before="120" w:after="120" w:line="360" w:lineRule="auto"/>
        <w:jc w:val="both"/>
        <w:rPr>
          <w:rStyle w:val="normaltextrun"/>
          <w:rFonts w:ascii="Times New Roman" w:eastAsia="Times New Roman" w:hAnsi="Times New Roman" w:cs="Times New Roman"/>
          <w:noProof/>
          <w:sz w:val="24"/>
          <w:lang w:val="pl-PL"/>
        </w:rPr>
      </w:pPr>
      <w:r w:rsidRPr="00F97E98">
        <w:rPr>
          <w:rStyle w:val="normaltextrun"/>
          <w:rFonts w:ascii="Times New Roman" w:hAnsi="Times New Roman"/>
          <w:noProof/>
          <w:sz w:val="24"/>
          <w:lang w:val="pl-PL"/>
        </w:rPr>
        <w:t xml:space="preserve">W </w:t>
      </w:r>
      <w:r w:rsidRPr="00534316">
        <w:rPr>
          <w:rStyle w:val="normaltextrun"/>
          <w:rFonts w:ascii="Times New Roman" w:hAnsi="Times New Roman"/>
          <w:noProof/>
          <w:sz w:val="24"/>
          <w:lang w:val="pl-PL"/>
        </w:rPr>
        <w:t>art.</w:t>
      </w:r>
      <w:r w:rsidR="00534316" w:rsidRPr="00534316">
        <w:rPr>
          <w:rStyle w:val="normaltextrun"/>
          <w:rFonts w:ascii="Times New Roman" w:hAnsi="Times New Roman"/>
          <w:noProof/>
          <w:sz w:val="24"/>
          <w:lang w:val="pl-PL"/>
        </w:rPr>
        <w:t> </w:t>
      </w:r>
      <w:r w:rsidRPr="00534316">
        <w:rPr>
          <w:rStyle w:val="normaltextrun"/>
          <w:rFonts w:ascii="Times New Roman" w:hAnsi="Times New Roman"/>
          <w:noProof/>
          <w:sz w:val="24"/>
          <w:lang w:val="pl-PL"/>
        </w:rPr>
        <w:t>1</w:t>
      </w:r>
      <w:r w:rsidRPr="00F97E98">
        <w:rPr>
          <w:rStyle w:val="normaltextrun"/>
          <w:rFonts w:ascii="Times New Roman" w:hAnsi="Times New Roman"/>
          <w:noProof/>
          <w:sz w:val="24"/>
          <w:lang w:val="pl-PL"/>
        </w:rPr>
        <w:t>9 rozporządzenia Rady wprowadzono obowiązki sprawozdawcze dla państw członkowskich, zgodnie</w:t>
      </w:r>
      <w:r w:rsidR="00534316" w:rsidRPr="00F97E98">
        <w:rPr>
          <w:rStyle w:val="normaltextrun"/>
          <w:rFonts w:ascii="Times New Roman" w:hAnsi="Times New Roman"/>
          <w:noProof/>
          <w:sz w:val="24"/>
          <w:lang w:val="pl-PL"/>
        </w:rPr>
        <w:t xml:space="preserve"> z</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któ</w:t>
      </w:r>
      <w:r w:rsidRPr="00F97E98">
        <w:rPr>
          <w:rStyle w:val="normaltextrun"/>
          <w:rFonts w:ascii="Times New Roman" w:hAnsi="Times New Roman"/>
          <w:noProof/>
          <w:sz w:val="24"/>
          <w:lang w:val="pl-PL"/>
        </w:rPr>
        <w:t>rymi do dnia 31 stycznia 20</w:t>
      </w:r>
      <w:r w:rsidRPr="00534316">
        <w:rPr>
          <w:rStyle w:val="normaltextrun"/>
          <w:rFonts w:ascii="Times New Roman" w:hAnsi="Times New Roman"/>
          <w:noProof/>
          <w:sz w:val="24"/>
          <w:lang w:val="pl-PL"/>
        </w:rPr>
        <w:t>23</w:t>
      </w:r>
      <w:r w:rsidR="00534316" w:rsidRPr="00534316">
        <w:rPr>
          <w:rStyle w:val="normaltextrun"/>
          <w:rFonts w:ascii="Times New Roman" w:hAnsi="Times New Roman"/>
          <w:noProof/>
          <w:sz w:val="24"/>
          <w:lang w:val="pl-PL"/>
        </w:rPr>
        <w:t> </w:t>
      </w:r>
      <w:r w:rsidRPr="00534316">
        <w:rPr>
          <w:rStyle w:val="normaltextrun"/>
          <w:rFonts w:ascii="Times New Roman" w:hAnsi="Times New Roman"/>
          <w:noProof/>
          <w:sz w:val="24"/>
          <w:lang w:val="pl-PL"/>
        </w:rPr>
        <w:t>r.</w:t>
      </w:r>
      <w:r w:rsidRPr="00F97E98">
        <w:rPr>
          <w:rStyle w:val="normaltextrun"/>
          <w:rFonts w:ascii="Times New Roman" w:hAnsi="Times New Roman"/>
          <w:noProof/>
          <w:sz w:val="24"/>
          <w:lang w:val="pl-PL"/>
        </w:rPr>
        <w:t xml:space="preserve"> państwa członkowskie powinny przekazać Komisji informacje dotyczące (i) wdrożonych środków na rzecz ograniczenia zapotrzebowania</w:t>
      </w:r>
      <w:r w:rsidRPr="00534316">
        <w:rPr>
          <w:rStyle w:val="normaltextrun"/>
          <w:rFonts w:ascii="Times New Roman" w:hAnsi="Times New Roman"/>
          <w:noProof/>
          <w:sz w:val="24"/>
          <w:lang w:val="pl-PL"/>
        </w:rPr>
        <w:t>;</w:t>
      </w:r>
      <w:r w:rsidR="00534316" w:rsidRPr="00534316">
        <w:rPr>
          <w:rStyle w:val="normaltextrun"/>
          <w:rFonts w:ascii="Times New Roman" w:hAnsi="Times New Roman"/>
          <w:noProof/>
          <w:sz w:val="24"/>
          <w:lang w:val="pl-PL"/>
        </w:rPr>
        <w:t xml:space="preserve"> </w:t>
      </w:r>
      <w:r w:rsidRPr="00534316">
        <w:rPr>
          <w:rStyle w:val="normaltextrun"/>
          <w:rFonts w:ascii="Times New Roman" w:hAnsi="Times New Roman"/>
          <w:noProof/>
          <w:sz w:val="24"/>
          <w:lang w:val="pl-PL"/>
        </w:rPr>
        <w:t>(</w:t>
      </w:r>
      <w:r w:rsidRPr="00F97E98">
        <w:rPr>
          <w:rStyle w:val="normaltextrun"/>
          <w:rFonts w:ascii="Times New Roman" w:hAnsi="Times New Roman"/>
          <w:noProof/>
          <w:sz w:val="24"/>
          <w:lang w:val="pl-PL"/>
        </w:rPr>
        <w:t>ii) nadwyżki dochodu wytworzonej</w:t>
      </w:r>
      <w:r w:rsidR="00534316" w:rsidRPr="00F97E98">
        <w:rPr>
          <w:rStyle w:val="normaltextrun"/>
          <w:rFonts w:ascii="Times New Roman" w:hAnsi="Times New Roman"/>
          <w:noProof/>
          <w:sz w:val="24"/>
          <w:lang w:val="pl-PL"/>
        </w:rPr>
        <w:t xml:space="preserve"> w</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nas</w:t>
      </w:r>
      <w:r w:rsidRPr="00F97E98">
        <w:rPr>
          <w:rStyle w:val="normaltextrun"/>
          <w:rFonts w:ascii="Times New Roman" w:hAnsi="Times New Roman"/>
          <w:noProof/>
          <w:sz w:val="24"/>
          <w:lang w:val="pl-PL"/>
        </w:rPr>
        <w:t>tępstwie wprowadzenia tymczasowego pułapu dochodów dla „inframarginalnych” producentów energii oraz dystrybucji takich dochodów</w:t>
      </w:r>
      <w:r w:rsidR="00534316" w:rsidRPr="00F97E98">
        <w:rPr>
          <w:rStyle w:val="normaltextrun"/>
          <w:rFonts w:ascii="Times New Roman" w:hAnsi="Times New Roman"/>
          <w:noProof/>
          <w:sz w:val="24"/>
          <w:lang w:val="pl-PL"/>
        </w:rPr>
        <w:t xml:space="preserve"> w</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cel</w:t>
      </w:r>
      <w:r w:rsidRPr="00F97E98">
        <w:rPr>
          <w:rStyle w:val="normaltextrun"/>
          <w:rFonts w:ascii="Times New Roman" w:hAnsi="Times New Roman"/>
          <w:noProof/>
          <w:sz w:val="24"/>
          <w:lang w:val="pl-PL"/>
        </w:rPr>
        <w:t>u złagodzenia skutków wysokich cen energii elektryczne</w:t>
      </w:r>
      <w:r w:rsidRPr="00534316">
        <w:rPr>
          <w:rStyle w:val="normaltextrun"/>
          <w:rFonts w:ascii="Times New Roman" w:hAnsi="Times New Roman"/>
          <w:noProof/>
          <w:sz w:val="24"/>
          <w:lang w:val="pl-PL"/>
        </w:rPr>
        <w:t>j</w:t>
      </w:r>
      <w:r w:rsidR="00534316" w:rsidRPr="00534316">
        <w:rPr>
          <w:rStyle w:val="normaltextrun"/>
          <w:rFonts w:ascii="Times New Roman" w:hAnsi="Times New Roman"/>
          <w:noProof/>
          <w:sz w:val="24"/>
          <w:lang w:val="pl-PL"/>
        </w:rPr>
        <w:t xml:space="preserve"> </w:t>
      </w:r>
      <w:r w:rsidRPr="00534316">
        <w:rPr>
          <w:rStyle w:val="normaltextrun"/>
          <w:rFonts w:ascii="Times New Roman" w:hAnsi="Times New Roman"/>
          <w:noProof/>
          <w:sz w:val="24"/>
          <w:lang w:val="pl-PL"/>
        </w:rPr>
        <w:t>o</w:t>
      </w:r>
      <w:r w:rsidRPr="00F97E98">
        <w:rPr>
          <w:rStyle w:val="normaltextrun"/>
          <w:rFonts w:ascii="Times New Roman" w:hAnsi="Times New Roman"/>
          <w:noProof/>
          <w:sz w:val="24"/>
          <w:lang w:val="pl-PL"/>
        </w:rPr>
        <w:t>raz (iii) wszelkich interwencji</w:t>
      </w:r>
      <w:r w:rsidR="00534316" w:rsidRPr="00F97E98">
        <w:rPr>
          <w:rStyle w:val="normaltextrun"/>
          <w:rFonts w:ascii="Times New Roman" w:hAnsi="Times New Roman"/>
          <w:noProof/>
          <w:sz w:val="24"/>
          <w:lang w:val="pl-PL"/>
        </w:rPr>
        <w:t xml:space="preserve"> w</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zak</w:t>
      </w:r>
      <w:r w:rsidRPr="00F97E98">
        <w:rPr>
          <w:rStyle w:val="normaltextrun"/>
          <w:rFonts w:ascii="Times New Roman" w:hAnsi="Times New Roman"/>
          <w:noProof/>
          <w:sz w:val="24"/>
          <w:lang w:val="pl-PL"/>
        </w:rPr>
        <w:t>resie ustalania cen detalicznych. Nie wszystkie państwa członkowskie złożyły swoje sprawozdania zgodnie</w:t>
      </w:r>
      <w:r w:rsidR="00534316" w:rsidRPr="00F97E98">
        <w:rPr>
          <w:rStyle w:val="normaltextrun"/>
          <w:rFonts w:ascii="Times New Roman" w:hAnsi="Times New Roman"/>
          <w:noProof/>
          <w:sz w:val="24"/>
          <w:lang w:val="pl-PL"/>
        </w:rPr>
        <w:t xml:space="preserve"> z</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wym</w:t>
      </w:r>
      <w:r w:rsidRPr="00F97E98">
        <w:rPr>
          <w:rStyle w:val="normaltextrun"/>
          <w:rFonts w:ascii="Times New Roman" w:hAnsi="Times New Roman"/>
          <w:noProof/>
          <w:sz w:val="24"/>
          <w:lang w:val="pl-PL"/>
        </w:rPr>
        <w:t>aganiami. Mniej niż połowa państw członkowskich złożyła swoje sprawozdania</w:t>
      </w:r>
      <w:r w:rsidR="00534316" w:rsidRPr="00F97E98">
        <w:rPr>
          <w:rStyle w:val="normaltextrun"/>
          <w:rFonts w:ascii="Times New Roman" w:hAnsi="Times New Roman"/>
          <w:noProof/>
          <w:sz w:val="24"/>
          <w:lang w:val="pl-PL"/>
        </w:rPr>
        <w:t xml:space="preserve"> w</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ter</w:t>
      </w:r>
      <w:r w:rsidRPr="00F97E98">
        <w:rPr>
          <w:rStyle w:val="normaltextrun"/>
          <w:rFonts w:ascii="Times New Roman" w:hAnsi="Times New Roman"/>
          <w:noProof/>
          <w:sz w:val="24"/>
          <w:lang w:val="pl-PL"/>
        </w:rPr>
        <w:t>minie, inne złożyły je</w:t>
      </w:r>
      <w:r w:rsidR="00534316" w:rsidRPr="00F97E98">
        <w:rPr>
          <w:rStyle w:val="normaltextrun"/>
          <w:rFonts w:ascii="Times New Roman" w:hAnsi="Times New Roman"/>
          <w:noProof/>
          <w:sz w:val="24"/>
          <w:lang w:val="pl-PL"/>
        </w:rPr>
        <w:t xml:space="preserve"> w</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lut</w:t>
      </w:r>
      <w:r w:rsidRPr="00F97E98">
        <w:rPr>
          <w:rStyle w:val="normaltextrun"/>
          <w:rFonts w:ascii="Times New Roman" w:hAnsi="Times New Roman"/>
          <w:noProof/>
          <w:sz w:val="24"/>
          <w:lang w:val="pl-PL"/>
        </w:rPr>
        <w:t>ym</w:t>
      </w:r>
      <w:r w:rsidR="00534316" w:rsidRPr="00F97E98">
        <w:rPr>
          <w:rStyle w:val="normaltextrun"/>
          <w:rFonts w:ascii="Times New Roman" w:hAnsi="Times New Roman"/>
          <w:noProof/>
          <w:sz w:val="24"/>
          <w:lang w:val="pl-PL"/>
        </w:rPr>
        <w:t xml:space="preserve"> i</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mar</w:t>
      </w:r>
      <w:r w:rsidRPr="00F97E98">
        <w:rPr>
          <w:rStyle w:val="normaltextrun"/>
          <w:rFonts w:ascii="Times New Roman" w:hAnsi="Times New Roman"/>
          <w:noProof/>
          <w:sz w:val="24"/>
          <w:lang w:val="pl-PL"/>
        </w:rPr>
        <w:t>cu 20</w:t>
      </w:r>
      <w:r w:rsidRPr="00534316">
        <w:rPr>
          <w:rStyle w:val="normaltextrun"/>
          <w:rFonts w:ascii="Times New Roman" w:hAnsi="Times New Roman"/>
          <w:noProof/>
          <w:sz w:val="24"/>
          <w:lang w:val="pl-PL"/>
        </w:rPr>
        <w:t>23</w:t>
      </w:r>
      <w:r w:rsidR="00534316" w:rsidRPr="00534316">
        <w:rPr>
          <w:rStyle w:val="normaltextrun"/>
          <w:rFonts w:ascii="Times New Roman" w:hAnsi="Times New Roman"/>
          <w:noProof/>
          <w:sz w:val="24"/>
          <w:lang w:val="pl-PL"/>
        </w:rPr>
        <w:t> </w:t>
      </w:r>
      <w:r w:rsidRPr="00534316">
        <w:rPr>
          <w:rStyle w:val="normaltextrun"/>
          <w:rFonts w:ascii="Times New Roman" w:hAnsi="Times New Roman"/>
          <w:noProof/>
          <w:sz w:val="24"/>
          <w:lang w:val="pl-PL"/>
        </w:rPr>
        <w:t>r.</w:t>
      </w:r>
      <w:r w:rsidRPr="00F97E98">
        <w:rPr>
          <w:rStyle w:val="normaltextrun"/>
          <w:rFonts w:ascii="Times New Roman" w:hAnsi="Times New Roman"/>
          <w:noProof/>
          <w:sz w:val="24"/>
          <w:lang w:val="pl-PL"/>
        </w:rPr>
        <w:t>,</w:t>
      </w:r>
      <w:r w:rsidR="00534316" w:rsidRPr="00F97E98">
        <w:rPr>
          <w:rStyle w:val="normaltextrun"/>
          <w:rFonts w:ascii="Times New Roman" w:hAnsi="Times New Roman"/>
          <w:noProof/>
          <w:sz w:val="24"/>
          <w:lang w:val="pl-PL"/>
        </w:rPr>
        <w:t xml:space="preserve"> a</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dwa</w:t>
      </w:r>
      <w:r w:rsidRPr="00F97E98">
        <w:rPr>
          <w:rStyle w:val="normaltextrun"/>
          <w:rFonts w:ascii="Times New Roman" w:hAnsi="Times New Roman"/>
          <w:noProof/>
          <w:sz w:val="24"/>
          <w:lang w:val="pl-PL"/>
        </w:rPr>
        <w:t xml:space="preserve"> państwa członkowskie nie złożyły jeszcze swoich sprawozdań Komisji</w:t>
      </w:r>
      <w:r w:rsidRPr="00F97E98">
        <w:rPr>
          <w:rStyle w:val="FootnoteReference"/>
          <w:rFonts w:ascii="Times New Roman" w:eastAsia="Times New Roman" w:hAnsi="Times New Roman" w:cs="Times New Roman"/>
          <w:noProof/>
          <w:sz w:val="24"/>
          <w:lang w:val="pl-PL"/>
        </w:rPr>
        <w:footnoteReference w:id="11"/>
      </w:r>
      <w:r w:rsidRPr="00F97E98">
        <w:rPr>
          <w:noProof/>
          <w:lang w:val="pl-PL"/>
        </w:rPr>
        <w:t>.</w:t>
      </w:r>
      <w:r w:rsidRPr="00F97E98">
        <w:rPr>
          <w:rStyle w:val="normaltextrun"/>
          <w:rFonts w:ascii="Times New Roman" w:hAnsi="Times New Roman"/>
          <w:noProof/>
          <w:sz w:val="24"/>
          <w:lang w:val="pl-PL"/>
        </w:rPr>
        <w:t xml:space="preserve"> Niniejsze sprawozdanie opiera się na informacjach przekazanych przez państwa członkowskie</w:t>
      </w:r>
      <w:r w:rsidR="00534316" w:rsidRPr="00F97E98">
        <w:rPr>
          <w:rStyle w:val="normaltextrun"/>
          <w:rFonts w:ascii="Times New Roman" w:hAnsi="Times New Roman"/>
          <w:noProof/>
          <w:sz w:val="24"/>
          <w:lang w:val="pl-PL"/>
        </w:rPr>
        <w:t xml:space="preserve"> w</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okr</w:t>
      </w:r>
      <w:r w:rsidRPr="00F97E98">
        <w:rPr>
          <w:rStyle w:val="normaltextrun"/>
          <w:rFonts w:ascii="Times New Roman" w:hAnsi="Times New Roman"/>
          <w:noProof/>
          <w:sz w:val="24"/>
          <w:lang w:val="pl-PL"/>
        </w:rPr>
        <w:t>esie jego sporządzania. Należy jednak zauważyć, że Komisja nie przeprowadziła żadnej oceny dokładności przekazanych jej informacji.</w:t>
      </w:r>
    </w:p>
    <w:p w14:paraId="0351FE47" w14:textId="526C301F" w:rsidR="7C2C0B93" w:rsidRPr="00F97E98" w:rsidRDefault="1B5A5333"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Zgodnie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534316">
        <w:rPr>
          <w:rFonts w:ascii="Times New Roman" w:hAnsi="Times New Roman"/>
          <w:noProof/>
          <w:sz w:val="24"/>
          <w:lang w:val="pl-PL"/>
        </w:rPr>
        <w:t>art</w:t>
      </w:r>
      <w:r w:rsidRPr="00534316">
        <w:rPr>
          <w:rFonts w:ascii="Times New Roman" w:hAnsi="Times New Roman"/>
          <w:noProof/>
          <w:sz w:val="24"/>
          <w:lang w:val="pl-PL"/>
        </w:rPr>
        <w:t>.</w:t>
      </w:r>
      <w:r w:rsidR="00534316" w:rsidRPr="00534316">
        <w:rPr>
          <w:rFonts w:ascii="Times New Roman" w:hAnsi="Times New Roman"/>
          <w:noProof/>
          <w:sz w:val="24"/>
          <w:lang w:val="pl-PL"/>
        </w:rPr>
        <w:t> </w:t>
      </w:r>
      <w:r w:rsidRPr="00534316">
        <w:rPr>
          <w:rFonts w:ascii="Times New Roman" w:hAnsi="Times New Roman"/>
          <w:noProof/>
          <w:sz w:val="24"/>
          <w:lang w:val="pl-PL"/>
        </w:rPr>
        <w:t>2</w:t>
      </w:r>
      <w:r w:rsidRPr="00F97E98">
        <w:rPr>
          <w:rFonts w:ascii="Times New Roman" w:hAnsi="Times New Roman"/>
          <w:noProof/>
          <w:sz w:val="24"/>
          <w:lang w:val="pl-PL"/>
        </w:rPr>
        <w:t xml:space="preserve">0 </w:t>
      </w:r>
      <w:r w:rsidRPr="00534316">
        <w:rPr>
          <w:rFonts w:ascii="Times New Roman" w:hAnsi="Times New Roman"/>
          <w:noProof/>
          <w:sz w:val="24"/>
          <w:lang w:val="pl-PL"/>
        </w:rPr>
        <w:t>ust.</w:t>
      </w:r>
      <w:r w:rsidR="00534316" w:rsidRPr="00534316">
        <w:rPr>
          <w:rFonts w:ascii="Times New Roman" w:hAnsi="Times New Roman"/>
          <w:noProof/>
          <w:sz w:val="24"/>
          <w:lang w:val="pl-PL"/>
        </w:rPr>
        <w:t> </w:t>
      </w:r>
      <w:r w:rsidRPr="00534316">
        <w:rPr>
          <w:rFonts w:ascii="Times New Roman" w:hAnsi="Times New Roman"/>
          <w:noProof/>
          <w:sz w:val="24"/>
          <w:lang w:val="pl-PL"/>
        </w:rPr>
        <w:t>1</w:t>
      </w:r>
      <w:r w:rsidRPr="00F97E98">
        <w:rPr>
          <w:rFonts w:ascii="Times New Roman" w:hAnsi="Times New Roman"/>
          <w:noProof/>
          <w:sz w:val="24"/>
          <w:lang w:val="pl-PL"/>
        </w:rPr>
        <w:t xml:space="preserve"> rozporządzenia Rady Komisja dokona przeglądu rozdziału II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świ</w:t>
      </w:r>
      <w:r w:rsidRPr="00F97E98">
        <w:rPr>
          <w:rFonts w:ascii="Times New Roman" w:hAnsi="Times New Roman"/>
          <w:noProof/>
          <w:sz w:val="24"/>
          <w:lang w:val="pl-PL"/>
        </w:rPr>
        <w:t>etle ogólnej sytuacji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dostaw energii elektrycznej</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cen</w:t>
      </w:r>
      <w:r w:rsidRPr="00F97E98">
        <w:rPr>
          <w:rFonts w:ascii="Times New Roman" w:hAnsi="Times New Roman"/>
          <w:noProof/>
          <w:sz w:val="24"/>
          <w:lang w:val="pl-PL"/>
        </w:rPr>
        <w:t xml:space="preserve"> tej energii w UE oraz przedłoży Radzie sprawozdanie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głó</w:t>
      </w:r>
      <w:r w:rsidRPr="00F97E98">
        <w:rPr>
          <w:rFonts w:ascii="Times New Roman" w:hAnsi="Times New Roman"/>
          <w:noProof/>
          <w:sz w:val="24"/>
          <w:lang w:val="pl-PL"/>
        </w:rPr>
        <w:t xml:space="preserve">wnych ustaleń tego przeglądu. </w:t>
      </w:r>
    </w:p>
    <w:p w14:paraId="7B94891D" w14:textId="2EAE9D24" w:rsidR="7C2C0B93" w:rsidRPr="00F97E98" w:rsidRDefault="1B5A5333"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 xml:space="preserve">Art. 20 </w:t>
      </w:r>
      <w:r w:rsidRPr="00534316">
        <w:rPr>
          <w:rFonts w:ascii="Times New Roman" w:hAnsi="Times New Roman"/>
          <w:noProof/>
          <w:sz w:val="24"/>
          <w:lang w:val="pl-PL"/>
        </w:rPr>
        <w:t>ust.</w:t>
      </w:r>
      <w:r w:rsidR="00534316" w:rsidRPr="00534316">
        <w:rPr>
          <w:rFonts w:ascii="Times New Roman" w:hAnsi="Times New Roman"/>
          <w:noProof/>
          <w:sz w:val="24"/>
          <w:lang w:val="pl-PL"/>
        </w:rPr>
        <w:t> </w:t>
      </w:r>
      <w:r w:rsidRPr="00534316">
        <w:rPr>
          <w:rFonts w:ascii="Times New Roman" w:hAnsi="Times New Roman"/>
          <w:noProof/>
          <w:sz w:val="24"/>
          <w:lang w:val="pl-PL"/>
        </w:rPr>
        <w:t>1</w:t>
      </w:r>
      <w:r w:rsidRPr="00F97E98">
        <w:rPr>
          <w:rFonts w:ascii="Times New Roman" w:hAnsi="Times New Roman"/>
          <w:noProof/>
          <w:sz w:val="24"/>
          <w:lang w:val="pl-PL"/>
        </w:rPr>
        <w:t xml:space="preserve"> rozporządzenia Rady stanowi również, że na podstawie tego sprawozdania Komisja może zaproponować,</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ypadku gdy jest to uzasadnione sytuacją gospodarczą lub funkcjonowaniem rynku energii elektrycznej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Uni</w:t>
      </w:r>
      <w:r w:rsidRPr="00F97E98">
        <w:rPr>
          <w:rFonts w:ascii="Times New Roman" w:hAnsi="Times New Roman"/>
          <w:noProof/>
          <w:sz w:val="24"/>
          <w:lang w:val="pl-PL"/>
        </w:rPr>
        <w:t>i</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pos</w:t>
      </w:r>
      <w:r w:rsidRPr="00F97E98">
        <w:rPr>
          <w:rFonts w:ascii="Times New Roman" w:hAnsi="Times New Roman"/>
          <w:noProof/>
          <w:sz w:val="24"/>
          <w:lang w:val="pl-PL"/>
        </w:rPr>
        <w:t xml:space="preserve">zczególnych państwach członkowskich, przedłużenie okresu stosowania rozporządzenia Rady, zmianę poziomu pułapu dochodów dla </w:t>
      </w:r>
      <w:r w:rsidRPr="00F97E98">
        <w:rPr>
          <w:rStyle w:val="normaltextrun"/>
          <w:rFonts w:ascii="Times New Roman" w:hAnsi="Times New Roman"/>
          <w:noProof/>
          <w:sz w:val="24"/>
          <w:lang w:val="pl-PL"/>
        </w:rPr>
        <w:t xml:space="preserve">„inframarginalnych” </w:t>
      </w:r>
      <w:r w:rsidRPr="00F97E98">
        <w:rPr>
          <w:rFonts w:ascii="Times New Roman" w:hAnsi="Times New Roman"/>
          <w:noProof/>
          <w:sz w:val="24"/>
          <w:lang w:val="pl-PL"/>
        </w:rPr>
        <w:t>producentów energii</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źró</w:t>
      </w:r>
      <w:r w:rsidRPr="00F97E98">
        <w:rPr>
          <w:rFonts w:ascii="Times New Roman" w:hAnsi="Times New Roman"/>
          <w:noProof/>
          <w:sz w:val="24"/>
          <w:lang w:val="pl-PL"/>
        </w:rPr>
        <w:t>deł wytwarzania energii elektrycznej, do których ma on zastosowanie, lub inną zmianę rozdziału II.</w:t>
      </w:r>
    </w:p>
    <w:p w14:paraId="0C5D0B87" w14:textId="340C4EAB" w:rsidR="00251412" w:rsidRPr="00F97E98" w:rsidRDefault="078621C3" w:rsidP="6E35EF87">
      <w:pPr>
        <w:spacing w:before="120" w:after="120" w:line="360" w:lineRule="auto"/>
        <w:jc w:val="both"/>
        <w:rPr>
          <w:rStyle w:val="normaltextrun"/>
          <w:rFonts w:ascii="Times New Roman" w:eastAsia="Times New Roman" w:hAnsi="Times New Roman" w:cs="Times New Roman"/>
          <w:noProof/>
          <w:sz w:val="24"/>
          <w:shd w:val="clear" w:color="auto" w:fill="FFFFFF"/>
          <w:lang w:val="pl-PL"/>
        </w:rPr>
      </w:pPr>
      <w:r w:rsidRPr="00F97E98">
        <w:rPr>
          <w:rFonts w:ascii="Times New Roman" w:hAnsi="Times New Roman"/>
          <w:noProof/>
          <w:sz w:val="24"/>
          <w:lang w:val="pl-PL"/>
        </w:rPr>
        <w:t>W ramach przeglądu środków,</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któ</w:t>
      </w:r>
      <w:r w:rsidRPr="00F97E98">
        <w:rPr>
          <w:rFonts w:ascii="Times New Roman" w:hAnsi="Times New Roman"/>
          <w:noProof/>
          <w:sz w:val="24"/>
          <w:lang w:val="pl-PL"/>
        </w:rPr>
        <w:t>rych mowa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dziale II rozporządzenia Rady,</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zgo</w:t>
      </w:r>
      <w:r w:rsidRPr="00F97E98">
        <w:rPr>
          <w:rFonts w:ascii="Times New Roman" w:hAnsi="Times New Roman"/>
          <w:noProof/>
          <w:sz w:val="24"/>
          <w:lang w:val="pl-PL"/>
        </w:rPr>
        <w:t>dnie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534316">
        <w:rPr>
          <w:rFonts w:ascii="Times New Roman" w:hAnsi="Times New Roman"/>
          <w:noProof/>
          <w:sz w:val="24"/>
          <w:lang w:val="pl-PL"/>
        </w:rPr>
        <w:t>art</w:t>
      </w:r>
      <w:r w:rsidRPr="00534316">
        <w:rPr>
          <w:rFonts w:ascii="Times New Roman" w:hAnsi="Times New Roman"/>
          <w:noProof/>
          <w:sz w:val="24"/>
          <w:lang w:val="pl-PL"/>
        </w:rPr>
        <w:t>.</w:t>
      </w:r>
      <w:r w:rsidR="00534316" w:rsidRPr="00534316">
        <w:rPr>
          <w:rFonts w:ascii="Times New Roman" w:hAnsi="Times New Roman"/>
          <w:noProof/>
          <w:sz w:val="24"/>
          <w:lang w:val="pl-PL"/>
        </w:rPr>
        <w:t> </w:t>
      </w:r>
      <w:r w:rsidRPr="00534316">
        <w:rPr>
          <w:rFonts w:ascii="Times New Roman" w:hAnsi="Times New Roman"/>
          <w:noProof/>
          <w:sz w:val="24"/>
          <w:lang w:val="pl-PL"/>
        </w:rPr>
        <w:t>2</w:t>
      </w:r>
      <w:r w:rsidRPr="00F97E98">
        <w:rPr>
          <w:rFonts w:ascii="Times New Roman" w:hAnsi="Times New Roman"/>
          <w:noProof/>
          <w:sz w:val="24"/>
          <w:lang w:val="pl-PL"/>
        </w:rPr>
        <w:t xml:space="preserve">0 </w:t>
      </w:r>
      <w:r w:rsidRPr="00534316">
        <w:rPr>
          <w:rFonts w:ascii="Times New Roman" w:hAnsi="Times New Roman"/>
          <w:noProof/>
          <w:sz w:val="24"/>
          <w:lang w:val="pl-PL"/>
        </w:rPr>
        <w:t>ust.</w:t>
      </w:r>
      <w:r w:rsidR="00534316" w:rsidRPr="00534316">
        <w:rPr>
          <w:rFonts w:ascii="Times New Roman" w:hAnsi="Times New Roman"/>
          <w:noProof/>
          <w:sz w:val="24"/>
          <w:lang w:val="pl-PL"/>
        </w:rPr>
        <w:t> </w:t>
      </w:r>
      <w:r w:rsidRPr="00534316">
        <w:rPr>
          <w:rFonts w:ascii="Times New Roman" w:hAnsi="Times New Roman"/>
          <w:noProof/>
          <w:sz w:val="24"/>
          <w:lang w:val="pl-PL"/>
        </w:rPr>
        <w:t>1</w:t>
      </w:r>
      <w:r w:rsidRPr="00F97E98">
        <w:rPr>
          <w:rFonts w:ascii="Times New Roman" w:hAnsi="Times New Roman"/>
          <w:noProof/>
          <w:sz w:val="24"/>
          <w:lang w:val="pl-PL"/>
        </w:rPr>
        <w:t xml:space="preserve"> Komisja przedkłada niniejsze sprawozdanie Radzie (</w:t>
      </w:r>
      <w:r w:rsidRPr="00F97E98">
        <w:rPr>
          <w:rFonts w:ascii="Times New Roman" w:hAnsi="Times New Roman"/>
          <w:b/>
          <w:i/>
          <w:noProof/>
          <w:sz w:val="24"/>
          <w:lang w:val="pl-PL"/>
        </w:rPr>
        <w:t>sprawozdanie</w:t>
      </w:r>
      <w:r w:rsidRPr="00F97E98">
        <w:rPr>
          <w:rFonts w:ascii="Times New Roman" w:hAnsi="Times New Roman"/>
          <w:noProof/>
          <w:sz w:val="24"/>
          <w:lang w:val="pl-PL"/>
        </w:rPr>
        <w:t>). Raport nie obejmuje zatem przeglądu przepisów dotyczących składki solidarnościowej zawartych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dziale III rozporządzenia Rady – sprawozdanie na ten temat zostanie złożone oddzielnie zgodnie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534316">
        <w:rPr>
          <w:rFonts w:ascii="Times New Roman" w:hAnsi="Times New Roman"/>
          <w:noProof/>
          <w:sz w:val="24"/>
          <w:lang w:val="pl-PL"/>
        </w:rPr>
        <w:t>art</w:t>
      </w:r>
      <w:r w:rsidRPr="00534316">
        <w:rPr>
          <w:rFonts w:ascii="Times New Roman" w:hAnsi="Times New Roman"/>
          <w:noProof/>
          <w:sz w:val="24"/>
          <w:lang w:val="pl-PL"/>
        </w:rPr>
        <w:t>.</w:t>
      </w:r>
      <w:r w:rsidR="00534316" w:rsidRPr="00534316">
        <w:rPr>
          <w:rFonts w:ascii="Times New Roman" w:hAnsi="Times New Roman"/>
          <w:noProof/>
          <w:sz w:val="24"/>
          <w:lang w:val="pl-PL"/>
        </w:rPr>
        <w:t> </w:t>
      </w:r>
      <w:r w:rsidRPr="00534316">
        <w:rPr>
          <w:rFonts w:ascii="Times New Roman" w:hAnsi="Times New Roman"/>
          <w:noProof/>
          <w:sz w:val="24"/>
          <w:lang w:val="pl-PL"/>
        </w:rPr>
        <w:t>2</w:t>
      </w:r>
      <w:r w:rsidRPr="00F97E98">
        <w:rPr>
          <w:rFonts w:ascii="Times New Roman" w:hAnsi="Times New Roman"/>
          <w:noProof/>
          <w:sz w:val="24"/>
          <w:lang w:val="pl-PL"/>
        </w:rPr>
        <w:t xml:space="preserve">0 </w:t>
      </w:r>
      <w:r w:rsidRPr="00534316">
        <w:rPr>
          <w:rFonts w:ascii="Times New Roman" w:hAnsi="Times New Roman"/>
          <w:noProof/>
          <w:sz w:val="24"/>
          <w:lang w:val="pl-PL"/>
        </w:rPr>
        <w:t>ust.</w:t>
      </w:r>
      <w:r w:rsidR="00534316" w:rsidRPr="00534316">
        <w:rPr>
          <w:rFonts w:ascii="Times New Roman" w:hAnsi="Times New Roman"/>
          <w:noProof/>
          <w:sz w:val="24"/>
          <w:lang w:val="pl-PL"/>
        </w:rPr>
        <w:t> </w:t>
      </w:r>
      <w:r w:rsidRPr="00534316">
        <w:rPr>
          <w:rFonts w:ascii="Times New Roman" w:hAnsi="Times New Roman"/>
          <w:noProof/>
          <w:sz w:val="24"/>
          <w:lang w:val="pl-PL"/>
        </w:rPr>
        <w:t>2</w:t>
      </w:r>
      <w:r w:rsidRPr="00F97E98">
        <w:rPr>
          <w:rFonts w:ascii="Times New Roman" w:hAnsi="Times New Roman"/>
          <w:noProof/>
          <w:sz w:val="24"/>
          <w:lang w:val="pl-PL"/>
        </w:rPr>
        <w:t xml:space="preserve"> tego rozporządzenia. </w:t>
      </w:r>
    </w:p>
    <w:p w14:paraId="688FFEE6" w14:textId="680EF58F" w:rsidR="00461B53" w:rsidRPr="00F97E98" w:rsidRDefault="00229321"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Sprawozdanie opiera się na przeglądzie przeprowadzonym przez Komisję</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mom</w:t>
      </w:r>
      <w:r w:rsidRPr="00F97E98">
        <w:rPr>
          <w:rFonts w:ascii="Times New Roman" w:hAnsi="Times New Roman"/>
          <w:noProof/>
          <w:sz w:val="24"/>
          <w:lang w:val="pl-PL"/>
        </w:rPr>
        <w:t>encie jego sporządzania na podstawie obecnych warunków na rynku energii elektrycznej, ich przewidywanego rozwoju</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mom</w:t>
      </w:r>
      <w:r w:rsidRPr="00F97E98">
        <w:rPr>
          <w:rFonts w:ascii="Times New Roman" w:hAnsi="Times New Roman"/>
          <w:noProof/>
          <w:sz w:val="24"/>
          <w:lang w:val="pl-PL"/>
        </w:rPr>
        <w:t>encie sporządzania sprawozdania oraz innych dostępnych informacji,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 xml:space="preserve"> odpowiedzi 25 państw członkowskich, które wypełniły swoje obowiązki sprawozdawcze zgodnie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534316">
        <w:rPr>
          <w:rFonts w:ascii="Times New Roman" w:hAnsi="Times New Roman"/>
          <w:noProof/>
          <w:sz w:val="24"/>
          <w:lang w:val="pl-PL"/>
        </w:rPr>
        <w:t>art</w:t>
      </w:r>
      <w:r w:rsidRPr="00534316">
        <w:rPr>
          <w:rFonts w:ascii="Times New Roman" w:hAnsi="Times New Roman"/>
          <w:noProof/>
          <w:sz w:val="24"/>
          <w:lang w:val="pl-PL"/>
        </w:rPr>
        <w:t>.</w:t>
      </w:r>
      <w:r w:rsidR="00534316" w:rsidRPr="00534316">
        <w:rPr>
          <w:rFonts w:ascii="Times New Roman" w:hAnsi="Times New Roman"/>
          <w:noProof/>
          <w:sz w:val="24"/>
          <w:lang w:val="pl-PL"/>
        </w:rPr>
        <w:t> </w:t>
      </w:r>
      <w:r w:rsidRPr="00534316">
        <w:rPr>
          <w:rFonts w:ascii="Times New Roman" w:hAnsi="Times New Roman"/>
          <w:noProof/>
          <w:sz w:val="24"/>
          <w:lang w:val="pl-PL"/>
        </w:rPr>
        <w:t>1</w:t>
      </w:r>
      <w:r w:rsidRPr="00F97E98">
        <w:rPr>
          <w:rFonts w:ascii="Times New Roman" w:hAnsi="Times New Roman"/>
          <w:noProof/>
          <w:sz w:val="24"/>
          <w:lang w:val="pl-PL"/>
        </w:rPr>
        <w:t>9 rozporządzenia Rady (</w:t>
      </w:r>
      <w:r w:rsidRPr="00F97E98">
        <w:rPr>
          <w:rFonts w:ascii="Times New Roman" w:hAnsi="Times New Roman"/>
          <w:b/>
          <w:i/>
          <w:noProof/>
          <w:sz w:val="24"/>
          <w:lang w:val="pl-PL"/>
        </w:rPr>
        <w:t>państwa członkowskie składające sprawozdania</w:t>
      </w:r>
      <w:r w:rsidRPr="00F97E98">
        <w:rPr>
          <w:rFonts w:ascii="Times New Roman" w:hAnsi="Times New Roman"/>
          <w:noProof/>
          <w:sz w:val="24"/>
          <w:lang w:val="pl-PL"/>
        </w:rPr>
        <w:t>). Sprawozdanie pozostaje zatem bez uszczerbku dla jakichkolwiek nieprzewidzianych zmian ogólnej sytuacji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dostaw</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cen</w:t>
      </w:r>
      <w:r w:rsidRPr="00F97E98">
        <w:rPr>
          <w:rFonts w:ascii="Times New Roman" w:hAnsi="Times New Roman"/>
          <w:noProof/>
          <w:sz w:val="24"/>
          <w:lang w:val="pl-PL"/>
        </w:rPr>
        <w:t xml:space="preserve"> energii elektrycznej w UE lub możliwych przyszłych wniosków sformułowanych na podstawie dodatkowych informacji od państw członkowskich. </w:t>
      </w:r>
    </w:p>
    <w:p w14:paraId="2198D76A" w14:textId="078B9664" w:rsidR="00DD625C" w:rsidRPr="00F85E2D" w:rsidRDefault="116E76FC" w:rsidP="00DD625C">
      <w:pPr>
        <w:pStyle w:val="Heading1"/>
        <w:keepNext w:val="0"/>
        <w:keepLines w:val="0"/>
        <w:spacing w:before="120" w:after="120" w:line="360" w:lineRule="auto"/>
        <w:rPr>
          <w:rFonts w:ascii="Times New Roman" w:eastAsia="Times New Roman" w:hAnsi="Times New Roman" w:cs="Times New Roman"/>
          <w:noProof/>
          <w:color w:val="auto"/>
          <w:lang w:val="pl-PL"/>
        </w:rPr>
      </w:pPr>
      <w:bookmarkStart w:id="8" w:name="_Toc137741649"/>
      <w:r w:rsidRPr="00DD625C">
        <w:rPr>
          <w:rFonts w:ascii="Times New Roman" w:hAnsi="Times New Roman"/>
          <w:noProof/>
          <w:color w:val="auto"/>
          <w:lang w:val="pl-PL"/>
        </w:rPr>
        <w:t>Obecne warunki na rynku energii elektrycznej</w:t>
      </w:r>
      <w:bookmarkEnd w:id="8"/>
      <w:r w:rsidRPr="00DD625C">
        <w:rPr>
          <w:rFonts w:ascii="Times New Roman" w:hAnsi="Times New Roman"/>
          <w:noProof/>
          <w:color w:val="auto"/>
          <w:lang w:val="pl-PL"/>
        </w:rPr>
        <w:t xml:space="preserve"> </w:t>
      </w:r>
    </w:p>
    <w:p w14:paraId="703C31EE" w14:textId="6A7D6FD8" w:rsidR="008B1084" w:rsidRPr="00F97E98" w:rsidRDefault="0C712555"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Środki przewidziane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Rady wprowadzono</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okr</w:t>
      </w:r>
      <w:r w:rsidRPr="00F97E98">
        <w:rPr>
          <w:rFonts w:ascii="Times New Roman" w:hAnsi="Times New Roman"/>
          <w:noProof/>
          <w:sz w:val="24"/>
          <w:lang w:val="pl-PL"/>
        </w:rPr>
        <w:t>esie,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któ</w:t>
      </w:r>
      <w:r w:rsidRPr="00F97E98">
        <w:rPr>
          <w:rFonts w:ascii="Times New Roman" w:hAnsi="Times New Roman"/>
          <w:noProof/>
          <w:sz w:val="24"/>
          <w:lang w:val="pl-PL"/>
        </w:rPr>
        <w:t>rym ceny energii elektrycznej osiągnęły rekordowo wysokie poziomy. Na przykład</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sie</w:t>
      </w:r>
      <w:r w:rsidRPr="00F97E98">
        <w:rPr>
          <w:rFonts w:ascii="Times New Roman" w:hAnsi="Times New Roman"/>
          <w:noProof/>
          <w:sz w:val="24"/>
          <w:lang w:val="pl-PL"/>
        </w:rPr>
        <w:t>rpniu 20</w:t>
      </w:r>
      <w:r w:rsidRPr="00534316">
        <w:rPr>
          <w:rFonts w:ascii="Times New Roman" w:hAnsi="Times New Roman"/>
          <w:noProof/>
          <w:sz w:val="24"/>
          <w:lang w:val="pl-PL"/>
        </w:rPr>
        <w:t>22</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xml:space="preserve"> hurtowe ceny energii elektrycznej na głównych rynkach energii elektrycznej w UE przekraczały 350 EUR/MWh, natomiast</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gru</w:t>
      </w:r>
      <w:r w:rsidRPr="00F97E98">
        <w:rPr>
          <w:rFonts w:ascii="Times New Roman" w:hAnsi="Times New Roman"/>
          <w:noProof/>
          <w:sz w:val="24"/>
          <w:lang w:val="pl-PL"/>
        </w:rPr>
        <w:t>dniu 20</w:t>
      </w:r>
      <w:r w:rsidRPr="00534316">
        <w:rPr>
          <w:rFonts w:ascii="Times New Roman" w:hAnsi="Times New Roman"/>
          <w:noProof/>
          <w:sz w:val="24"/>
          <w:lang w:val="pl-PL"/>
        </w:rPr>
        <w:t>22</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xml:space="preserve"> poziom odniesienia przekraczał 220 EUR/MWh. Ceny energii elektrycznej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okr</w:t>
      </w:r>
      <w:r w:rsidRPr="00F97E98">
        <w:rPr>
          <w:rFonts w:ascii="Times New Roman" w:hAnsi="Times New Roman"/>
          <w:noProof/>
          <w:sz w:val="24"/>
          <w:lang w:val="pl-PL"/>
        </w:rPr>
        <w:t>esie objętym sprawozdaniem były około cztery razy wyższe niż średnia cena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lat</w:t>
      </w:r>
      <w:r w:rsidRPr="00F97E98">
        <w:rPr>
          <w:rFonts w:ascii="Times New Roman" w:hAnsi="Times New Roman"/>
          <w:noProof/>
          <w:sz w:val="24"/>
          <w:lang w:val="pl-PL"/>
        </w:rPr>
        <w:t>ach 2010–2020 (40–60 EUR/MWh). Tak wysokie ceny wynikały głównie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fak</w:t>
      </w:r>
      <w:r w:rsidRPr="00F97E98">
        <w:rPr>
          <w:rFonts w:ascii="Times New Roman" w:hAnsi="Times New Roman"/>
          <w:noProof/>
          <w:sz w:val="24"/>
          <w:lang w:val="pl-PL"/>
        </w:rPr>
        <w:t>tu, że latem 20</w:t>
      </w:r>
      <w:r w:rsidRPr="00534316">
        <w:rPr>
          <w:rFonts w:ascii="Times New Roman" w:hAnsi="Times New Roman"/>
          <w:noProof/>
          <w:sz w:val="24"/>
          <w:lang w:val="pl-PL"/>
        </w:rPr>
        <w:t>22</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xml:space="preserve"> ceny gazu osiągnęły nowe najwyższe poziomy</w:t>
      </w:r>
      <w:r w:rsidRPr="00F97E98">
        <w:rPr>
          <w:rStyle w:val="FootnoteReference"/>
          <w:rFonts w:ascii="Times New Roman" w:eastAsia="Times New Roman" w:hAnsi="Times New Roman" w:cs="Times New Roman"/>
          <w:noProof/>
          <w:sz w:val="24"/>
          <w:lang w:val="pl-PL"/>
        </w:rPr>
        <w:footnoteReference w:id="12"/>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utr</w:t>
      </w:r>
      <w:r w:rsidRPr="00F97E98">
        <w:rPr>
          <w:rFonts w:ascii="Times New Roman" w:hAnsi="Times New Roman"/>
          <w:noProof/>
          <w:sz w:val="24"/>
          <w:lang w:val="pl-PL"/>
        </w:rPr>
        <w:t>zymywały się na wysokim poziomie przez większą część jesieni oraz</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fak</w:t>
      </w:r>
      <w:r w:rsidRPr="00F97E98">
        <w:rPr>
          <w:rFonts w:ascii="Times New Roman" w:hAnsi="Times New Roman"/>
          <w:noProof/>
          <w:sz w:val="24"/>
          <w:lang w:val="pl-PL"/>
        </w:rPr>
        <w:t>tu, że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 xml:space="preserve"> okresie zakłady wytwarzania energii elektrycznej opalane gazem</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węg</w:t>
      </w:r>
      <w:r w:rsidRPr="00F97E98">
        <w:rPr>
          <w:rFonts w:ascii="Times New Roman" w:hAnsi="Times New Roman"/>
          <w:noProof/>
          <w:sz w:val="24"/>
          <w:lang w:val="pl-PL"/>
        </w:rPr>
        <w:t>lem były często zakładami</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naj</w:t>
      </w:r>
      <w:r w:rsidRPr="00F97E98">
        <w:rPr>
          <w:rFonts w:ascii="Times New Roman" w:hAnsi="Times New Roman"/>
          <w:noProof/>
          <w:sz w:val="24"/>
          <w:lang w:val="pl-PL"/>
        </w:rPr>
        <w:t>wyższych kosztach krańcowych, które były potrzebne do zaspokojenia zapotrzebowania na energię elektryczną</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cza</w:t>
      </w:r>
      <w:r w:rsidRPr="00F97E98">
        <w:rPr>
          <w:rFonts w:ascii="Times New Roman" w:hAnsi="Times New Roman"/>
          <w:noProof/>
          <w:sz w:val="24"/>
          <w:lang w:val="pl-PL"/>
        </w:rPr>
        <w:t>sie kryzysu ceny hurtowe energii elektrycznej na rynku transakcji natychmiastowych wzrosły średnio sześciokrotnie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sto</w:t>
      </w:r>
      <w:r w:rsidRPr="00F97E98">
        <w:rPr>
          <w:rFonts w:ascii="Times New Roman" w:hAnsi="Times New Roman"/>
          <w:noProof/>
          <w:sz w:val="24"/>
          <w:lang w:val="pl-PL"/>
        </w:rPr>
        <w:t>sunku do ceny</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534316">
        <w:rPr>
          <w:rFonts w:ascii="Times New Roman" w:hAnsi="Times New Roman"/>
          <w:noProof/>
          <w:sz w:val="24"/>
          <w:lang w:val="pl-PL"/>
        </w:rPr>
        <w:t>lat </w:t>
      </w:r>
      <w:r w:rsidRPr="00534316">
        <w:rPr>
          <w:rFonts w:ascii="Times New Roman" w:hAnsi="Times New Roman"/>
          <w:noProof/>
          <w:sz w:val="24"/>
          <w:lang w:val="pl-PL"/>
        </w:rPr>
        <w:t>2</w:t>
      </w:r>
      <w:r w:rsidRPr="00F97E98">
        <w:rPr>
          <w:rFonts w:ascii="Times New Roman" w:hAnsi="Times New Roman"/>
          <w:noProof/>
          <w:sz w:val="24"/>
          <w:lang w:val="pl-PL"/>
        </w:rPr>
        <w:t>010–2020 (około 20 EUR/MWh)</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 xml:space="preserve"> kontekście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paź</w:t>
      </w:r>
      <w:r w:rsidRPr="00F97E98">
        <w:rPr>
          <w:rFonts w:ascii="Times New Roman" w:hAnsi="Times New Roman"/>
          <w:noProof/>
          <w:sz w:val="24"/>
          <w:lang w:val="pl-PL"/>
        </w:rPr>
        <w:t>dzierniku 20</w:t>
      </w:r>
      <w:r w:rsidRPr="00534316">
        <w:rPr>
          <w:rFonts w:ascii="Times New Roman" w:hAnsi="Times New Roman"/>
          <w:noProof/>
          <w:sz w:val="24"/>
          <w:lang w:val="pl-PL"/>
        </w:rPr>
        <w:t>22</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xml:space="preserve"> Rada przyjęła wniosek Komisji dotyczący interwencji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syt</w:t>
      </w:r>
      <w:r w:rsidRPr="00F97E98">
        <w:rPr>
          <w:rFonts w:ascii="Times New Roman" w:hAnsi="Times New Roman"/>
          <w:noProof/>
          <w:sz w:val="24"/>
          <w:lang w:val="pl-PL"/>
        </w:rPr>
        <w:t>uacji nadzwyczajnej na rynku energii elektrycznej, co ostatecznie doprowadziło do przyjęcia rozporządzenia Rady. Komisja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Rad</w:t>
      </w:r>
      <w:r w:rsidRPr="00F97E98">
        <w:rPr>
          <w:rFonts w:ascii="Times New Roman" w:hAnsi="Times New Roman"/>
          <w:noProof/>
          <w:sz w:val="24"/>
          <w:lang w:val="pl-PL"/>
        </w:rPr>
        <w:t>a oczekiwały wówczas, że ceny energii elektrycznej będą nadal wahać się na wysokich poziomach, takich jak poziomy obserwowane latem</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jes</w:t>
      </w:r>
      <w:r w:rsidRPr="00F97E98">
        <w:rPr>
          <w:rFonts w:ascii="Times New Roman" w:hAnsi="Times New Roman"/>
          <w:noProof/>
          <w:sz w:val="24"/>
          <w:lang w:val="pl-PL"/>
        </w:rPr>
        <w:t>ienią 20</w:t>
      </w:r>
      <w:r w:rsidRPr="00534316">
        <w:rPr>
          <w:rFonts w:ascii="Times New Roman" w:hAnsi="Times New Roman"/>
          <w:noProof/>
          <w:sz w:val="24"/>
          <w:lang w:val="pl-PL"/>
        </w:rPr>
        <w:t>22</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xml:space="preserve"> </w:t>
      </w:r>
    </w:p>
    <w:p w14:paraId="50547650" w14:textId="76F65AA0" w:rsidR="00FF5F32" w:rsidRPr="00F97E98" w:rsidRDefault="406562E5" w:rsidP="00B87190">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Od grudnia 20</w:t>
      </w:r>
      <w:r w:rsidRPr="00534316">
        <w:rPr>
          <w:rFonts w:ascii="Times New Roman" w:hAnsi="Times New Roman"/>
          <w:noProof/>
          <w:sz w:val="24"/>
          <w:lang w:val="pl-PL"/>
        </w:rPr>
        <w:t>22</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kiedy zaczęły obowiązywać środki określone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Rady, ceny energii elektrycznej jednak spadły drastycznie,</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obe</w:t>
      </w:r>
      <w:r w:rsidRPr="00F97E98">
        <w:rPr>
          <w:rFonts w:ascii="Times New Roman" w:hAnsi="Times New Roman"/>
          <w:noProof/>
          <w:sz w:val="24"/>
          <w:lang w:val="pl-PL"/>
        </w:rPr>
        <w:t>cne średnie ceny kształtują się na poziomie poniżej 80 EUR/MWh (średnia unijna cena referencyjna wynosi 80 EUR/MWh do końca maja 20</w:t>
      </w:r>
      <w:r w:rsidRPr="00534316">
        <w:rPr>
          <w:rFonts w:ascii="Times New Roman" w:hAnsi="Times New Roman"/>
          <w:noProof/>
          <w:sz w:val="24"/>
          <w:lang w:val="pl-PL"/>
        </w:rPr>
        <w:t>23</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xml:space="preserve">). </w:t>
      </w:r>
    </w:p>
    <w:p w14:paraId="534BC8D5" w14:textId="7FFCF638" w:rsidR="6A43D2FD" w:rsidRPr="00F97E98" w:rsidRDefault="4302BEA4"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Wynika to głównie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niż</w:t>
      </w:r>
      <w:r w:rsidRPr="00F97E98">
        <w:rPr>
          <w:rFonts w:ascii="Times New Roman" w:hAnsi="Times New Roman"/>
          <w:noProof/>
          <w:sz w:val="24"/>
          <w:lang w:val="pl-PL"/>
        </w:rPr>
        <w:t>szych hurtowych cen gazu, które były związane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róż</w:t>
      </w:r>
      <w:r w:rsidRPr="00F97E98">
        <w:rPr>
          <w:rFonts w:ascii="Times New Roman" w:hAnsi="Times New Roman"/>
          <w:noProof/>
          <w:sz w:val="24"/>
          <w:lang w:val="pl-PL"/>
        </w:rPr>
        <w:t>nymi czynnikami, takimi jak łagodne warunki pogodowe</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sze</w:t>
      </w:r>
      <w:r w:rsidRPr="00F97E98">
        <w:rPr>
          <w:rFonts w:ascii="Times New Roman" w:hAnsi="Times New Roman"/>
          <w:noProof/>
          <w:sz w:val="24"/>
          <w:lang w:val="pl-PL"/>
        </w:rPr>
        <w:t>roki zestaw środków, które państwa członkowskie</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Kom</w:t>
      </w:r>
      <w:r w:rsidRPr="00F97E98">
        <w:rPr>
          <w:rFonts w:ascii="Times New Roman" w:hAnsi="Times New Roman"/>
          <w:noProof/>
          <w:sz w:val="24"/>
          <w:lang w:val="pl-PL"/>
        </w:rPr>
        <w:t>isja wprowadziły</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cel</w:t>
      </w:r>
      <w:r w:rsidRPr="00F97E98">
        <w:rPr>
          <w:rFonts w:ascii="Times New Roman" w:hAnsi="Times New Roman"/>
          <w:noProof/>
          <w:sz w:val="24"/>
          <w:lang w:val="pl-PL"/>
        </w:rPr>
        <w:t>u zwalczania kryzysu energetycznego,</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 xml:space="preserve"> środki na rzecz ograniczenia zapotrzebowania na energię elektryczną określone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Rady, poziom odniesienia dla LNG</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śro</w:t>
      </w:r>
      <w:r w:rsidRPr="00F97E98">
        <w:rPr>
          <w:rFonts w:ascii="Times New Roman" w:hAnsi="Times New Roman"/>
          <w:noProof/>
          <w:sz w:val="24"/>
          <w:lang w:val="pl-PL"/>
        </w:rPr>
        <w:t>dki mające na celu zmniejszenie zapotrzebowania na gaz</w:t>
      </w:r>
      <w:r w:rsidRPr="00F97E98">
        <w:rPr>
          <w:rStyle w:val="FootnoteReference"/>
          <w:rFonts w:ascii="Times New Roman" w:eastAsia="Times New Roman" w:hAnsi="Times New Roman" w:cs="Times New Roman"/>
          <w:noProof/>
          <w:sz w:val="24"/>
          <w:lang w:val="pl-PL"/>
        </w:rPr>
        <w:footnoteReference w:id="13"/>
      </w:r>
      <w:r w:rsidRPr="00F97E98">
        <w:rPr>
          <w:rFonts w:ascii="Times New Roman" w:hAnsi="Times New Roman"/>
          <w:noProof/>
          <w:sz w:val="24"/>
          <w:lang w:val="pl-PL"/>
        </w:rPr>
        <w:t>, które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poł</w:t>
      </w:r>
      <w:r w:rsidRPr="00F97E98">
        <w:rPr>
          <w:rFonts w:ascii="Times New Roman" w:hAnsi="Times New Roman"/>
          <w:noProof/>
          <w:sz w:val="24"/>
          <w:lang w:val="pl-PL"/>
        </w:rPr>
        <w:t>ączeniu przyczyniły się do zapewnienia równowagi między podażą</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pop</w:t>
      </w:r>
      <w:r w:rsidRPr="00F97E98">
        <w:rPr>
          <w:rFonts w:ascii="Times New Roman" w:hAnsi="Times New Roman"/>
          <w:noProof/>
          <w:sz w:val="24"/>
          <w:lang w:val="pl-PL"/>
        </w:rPr>
        <w:t>ytem.</w:t>
      </w:r>
      <w:r w:rsidRPr="00F97E98">
        <w:rPr>
          <w:rStyle w:val="FootnoteReference"/>
          <w:rFonts w:ascii="Times New Roman" w:hAnsi="Times New Roman"/>
          <w:noProof/>
          <w:sz w:val="24"/>
          <w:lang w:val="pl-PL"/>
        </w:rPr>
        <w:t xml:space="preserve"> </w:t>
      </w:r>
      <w:r w:rsidRPr="00F97E98">
        <w:rPr>
          <w:rStyle w:val="FootnoteReference"/>
          <w:rFonts w:ascii="Times New Roman" w:eastAsia="Times New Roman" w:hAnsi="Times New Roman" w:cs="Times New Roman"/>
          <w:noProof/>
          <w:sz w:val="24"/>
          <w:lang w:val="pl-PL"/>
        </w:rPr>
        <w:footnoteReference w:id="14"/>
      </w:r>
      <w:r w:rsidRPr="00F97E98">
        <w:rPr>
          <w:rFonts w:ascii="Times New Roman" w:hAnsi="Times New Roman"/>
          <w:noProof/>
          <w:sz w:val="24"/>
          <w:lang w:val="pl-PL"/>
        </w:rPr>
        <w:t xml:space="preserve"> </w:t>
      </w:r>
    </w:p>
    <w:p w14:paraId="1D647131" w14:textId="0D8C94E7" w:rsidR="0F290A00" w:rsidRPr="00F97E98" w:rsidRDefault="0F290A00" w:rsidP="6E35EF87">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Niedawny spadek</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sta</w:t>
      </w:r>
      <w:r w:rsidRPr="00F97E98">
        <w:rPr>
          <w:rFonts w:ascii="Times New Roman" w:hAnsi="Times New Roman"/>
          <w:noProof/>
          <w:sz w:val="24"/>
          <w:lang w:val="pl-PL"/>
        </w:rPr>
        <w:t>bilizacja cen gazu,</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w</w:t>
      </w:r>
      <w:r w:rsidR="00534316">
        <w:rPr>
          <w:rFonts w:ascii="Times New Roman" w:hAnsi="Times New Roman"/>
          <w:noProof/>
          <w:sz w:val="24"/>
          <w:lang w:val="pl-PL"/>
        </w:rPr>
        <w:t> </w:t>
      </w:r>
      <w:r w:rsidR="00534316" w:rsidRPr="00F97E98">
        <w:rPr>
          <w:rFonts w:ascii="Times New Roman" w:hAnsi="Times New Roman"/>
          <w:noProof/>
          <w:sz w:val="24"/>
          <w:lang w:val="pl-PL"/>
        </w:rPr>
        <w:t>kon</w:t>
      </w:r>
      <w:r w:rsidRPr="00F97E98">
        <w:rPr>
          <w:rFonts w:ascii="Times New Roman" w:hAnsi="Times New Roman"/>
          <w:noProof/>
          <w:sz w:val="24"/>
          <w:lang w:val="pl-PL"/>
        </w:rPr>
        <w:t>sekwencji cen energii elektrycznej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pie</w:t>
      </w:r>
      <w:r w:rsidRPr="00F97E98">
        <w:rPr>
          <w:rFonts w:ascii="Times New Roman" w:hAnsi="Times New Roman"/>
          <w:noProof/>
          <w:sz w:val="24"/>
          <w:lang w:val="pl-PL"/>
        </w:rPr>
        <w:t>rwszych miesiącach 20</w:t>
      </w:r>
      <w:r w:rsidRPr="00534316">
        <w:rPr>
          <w:rFonts w:ascii="Times New Roman" w:hAnsi="Times New Roman"/>
          <w:noProof/>
          <w:sz w:val="24"/>
          <w:lang w:val="pl-PL"/>
        </w:rPr>
        <w:t>23</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wywołały na rynku oczekiwania, że skoki cen energii elektrycznej obserwowane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2</w:t>
      </w:r>
      <w:r w:rsidRPr="00F97E98">
        <w:rPr>
          <w:rFonts w:ascii="Times New Roman" w:hAnsi="Times New Roman"/>
          <w:noProof/>
          <w:sz w:val="24"/>
          <w:lang w:val="pl-PL"/>
        </w:rPr>
        <w:t>0</w:t>
      </w:r>
      <w:r w:rsidRPr="00534316">
        <w:rPr>
          <w:rFonts w:ascii="Times New Roman" w:hAnsi="Times New Roman"/>
          <w:noProof/>
          <w:sz w:val="24"/>
          <w:lang w:val="pl-PL"/>
        </w:rPr>
        <w:t>22</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xml:space="preserve"> będą mniej prawdopodobne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nad</w:t>
      </w:r>
      <w:r w:rsidRPr="00F97E98">
        <w:rPr>
          <w:rFonts w:ascii="Times New Roman" w:hAnsi="Times New Roman"/>
          <w:noProof/>
          <w:sz w:val="24"/>
          <w:lang w:val="pl-PL"/>
        </w:rPr>
        <w:t>chodzącym sezonie zimowym</w:t>
      </w:r>
      <w:r w:rsidRPr="00534316">
        <w:rPr>
          <w:rFonts w:ascii="Times New Roman" w:hAnsi="Times New Roman"/>
          <w:noProof/>
          <w:sz w:val="24"/>
          <w:lang w:val="pl-PL"/>
        </w:rPr>
        <w:t>.</w:t>
      </w:r>
      <w:r w:rsidR="00534316" w:rsidRPr="00534316">
        <w:rPr>
          <w:rFonts w:ascii="Times New Roman" w:hAnsi="Times New Roman"/>
          <w:noProof/>
          <w:sz w:val="24"/>
          <w:lang w:val="pl-PL"/>
        </w:rPr>
        <w:t xml:space="preserve"> </w:t>
      </w:r>
      <w:r w:rsidRPr="00534316">
        <w:rPr>
          <w:rFonts w:ascii="Times New Roman" w:hAnsi="Times New Roman"/>
          <w:noProof/>
          <w:sz w:val="24"/>
          <w:lang w:val="pl-PL"/>
        </w:rPr>
        <w:t>T</w:t>
      </w:r>
      <w:r w:rsidRPr="00F97E98">
        <w:rPr>
          <w:rFonts w:ascii="Times New Roman" w:hAnsi="Times New Roman"/>
          <w:noProof/>
          <w:sz w:val="24"/>
          <w:lang w:val="pl-PL"/>
        </w:rPr>
        <w:t>e oczekiwania rynkowe opierają się na różnych czynnikach, takich jak wyższe poziomy magazynowania gazu, działania państw członkowskich służące zmniejszeniu zapotrzebowania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wyn</w:t>
      </w:r>
      <w:r w:rsidRPr="00F97E98">
        <w:rPr>
          <w:rFonts w:ascii="Times New Roman" w:hAnsi="Times New Roman"/>
          <w:noProof/>
          <w:sz w:val="24"/>
          <w:lang w:val="pl-PL"/>
        </w:rPr>
        <w:t>iki tych działań oraz dodatkowa infrastruktura gazociągów</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skr</w:t>
      </w:r>
      <w:r w:rsidRPr="00F97E98">
        <w:rPr>
          <w:rFonts w:ascii="Times New Roman" w:hAnsi="Times New Roman"/>
          <w:noProof/>
          <w:sz w:val="24"/>
          <w:lang w:val="pl-PL"/>
        </w:rPr>
        <w:t>oplonego gazu ziemnego, która została zbudowana na potrzeby walki</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kry</w:t>
      </w:r>
      <w:r w:rsidRPr="00F97E98">
        <w:rPr>
          <w:rFonts w:ascii="Times New Roman" w:hAnsi="Times New Roman"/>
          <w:noProof/>
          <w:sz w:val="24"/>
          <w:lang w:val="pl-PL"/>
        </w:rPr>
        <w:t>zysem energetycznym. Inne czynniki nieodłącznie związane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pod</w:t>
      </w:r>
      <w:r w:rsidRPr="00F97E98">
        <w:rPr>
          <w:rFonts w:ascii="Times New Roman" w:hAnsi="Times New Roman"/>
          <w:noProof/>
          <w:sz w:val="24"/>
          <w:lang w:val="pl-PL"/>
        </w:rPr>
        <w:t>ażą na rynku energii elektrycznej, takie jak oczekiwana poprawa dostępności energii jądrowej</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ogó</w:t>
      </w:r>
      <w:r w:rsidRPr="00F97E98">
        <w:rPr>
          <w:rFonts w:ascii="Times New Roman" w:hAnsi="Times New Roman"/>
          <w:noProof/>
          <w:sz w:val="24"/>
          <w:lang w:val="pl-PL"/>
        </w:rPr>
        <w:t>lnie wyższa dostępność energii wodnej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por</w:t>
      </w:r>
      <w:r w:rsidRPr="00F97E98">
        <w:rPr>
          <w:rFonts w:ascii="Times New Roman" w:hAnsi="Times New Roman"/>
          <w:noProof/>
          <w:sz w:val="24"/>
          <w:lang w:val="pl-PL"/>
        </w:rPr>
        <w:t>ównaniu</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2</w:t>
      </w:r>
      <w:r w:rsidRPr="00F97E98">
        <w:rPr>
          <w:rFonts w:ascii="Times New Roman" w:hAnsi="Times New Roman"/>
          <w:noProof/>
          <w:sz w:val="24"/>
          <w:lang w:val="pl-PL"/>
        </w:rPr>
        <w:t>0</w:t>
      </w:r>
      <w:r w:rsidRPr="00534316">
        <w:rPr>
          <w:rFonts w:ascii="Times New Roman" w:hAnsi="Times New Roman"/>
          <w:noProof/>
          <w:sz w:val="24"/>
          <w:lang w:val="pl-PL"/>
        </w:rPr>
        <w:t>22</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również wskazują na mniej kosztowne warunki dostaw energii elektrycznej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nad</w:t>
      </w:r>
      <w:r w:rsidRPr="00F97E98">
        <w:rPr>
          <w:rFonts w:ascii="Times New Roman" w:hAnsi="Times New Roman"/>
          <w:noProof/>
          <w:sz w:val="24"/>
          <w:lang w:val="pl-PL"/>
        </w:rPr>
        <w:t>chodzącym sezonie zimowym, co powinno skutkować mniejszą presją na wzrost cen energii elektrycznej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por</w:t>
      </w:r>
      <w:r w:rsidRPr="00F97E98">
        <w:rPr>
          <w:rFonts w:ascii="Times New Roman" w:hAnsi="Times New Roman"/>
          <w:noProof/>
          <w:sz w:val="24"/>
          <w:lang w:val="pl-PL"/>
        </w:rPr>
        <w:t>ównaniu</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cen</w:t>
      </w:r>
      <w:r w:rsidRPr="00F97E98">
        <w:rPr>
          <w:rFonts w:ascii="Times New Roman" w:hAnsi="Times New Roman"/>
          <w:noProof/>
          <w:sz w:val="24"/>
          <w:lang w:val="pl-PL"/>
        </w:rPr>
        <w:t>ami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2</w:t>
      </w:r>
      <w:r w:rsidRPr="00F97E98">
        <w:rPr>
          <w:rFonts w:ascii="Times New Roman" w:hAnsi="Times New Roman"/>
          <w:noProof/>
          <w:sz w:val="24"/>
          <w:lang w:val="pl-PL"/>
        </w:rPr>
        <w:t>0</w:t>
      </w:r>
      <w:r w:rsidRPr="00534316">
        <w:rPr>
          <w:rFonts w:ascii="Times New Roman" w:hAnsi="Times New Roman"/>
          <w:noProof/>
          <w:sz w:val="24"/>
          <w:lang w:val="pl-PL"/>
        </w:rPr>
        <w:t>22</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xml:space="preserve"> </w:t>
      </w:r>
    </w:p>
    <w:p w14:paraId="11E01263" w14:textId="6057E63C" w:rsidR="007E177D" w:rsidRPr="007E177D" w:rsidRDefault="23F0D82A" w:rsidP="007E177D">
      <w:pPr>
        <w:pStyle w:val="Heading1"/>
        <w:keepNext w:val="0"/>
        <w:keepLines w:val="0"/>
        <w:spacing w:before="120" w:after="120" w:line="360" w:lineRule="auto"/>
        <w:rPr>
          <w:rFonts w:ascii="Times New Roman" w:eastAsia="Times New Roman" w:hAnsi="Times New Roman" w:cs="Times New Roman"/>
          <w:noProof/>
          <w:color w:val="auto"/>
        </w:rPr>
      </w:pPr>
      <w:bookmarkStart w:id="9" w:name="_Toc137741650"/>
      <w:bookmarkStart w:id="10" w:name="_Toc1839008637"/>
      <w:bookmarkStart w:id="11" w:name="_Toc1707511285"/>
      <w:r w:rsidRPr="007E177D">
        <w:rPr>
          <w:rFonts w:ascii="Times New Roman" w:hAnsi="Times New Roman"/>
          <w:noProof/>
          <w:color w:val="auto"/>
          <w:lang w:val="pl-PL"/>
        </w:rPr>
        <w:t>Zmniejszenie zapotrzebowania na energię elektryczną</w:t>
      </w:r>
      <w:bookmarkEnd w:id="9"/>
      <w:bookmarkEnd w:id="10"/>
      <w:bookmarkEnd w:id="11"/>
    </w:p>
    <w:p w14:paraId="77AC920B" w14:textId="77777777" w:rsidR="00613168" w:rsidRPr="00F97E98" w:rsidRDefault="4A49EC24" w:rsidP="2B9E9F58">
      <w:pPr>
        <w:spacing w:before="120" w:after="120" w:line="360" w:lineRule="auto"/>
        <w:jc w:val="both"/>
        <w:rPr>
          <w:rFonts w:ascii="Times New Roman" w:eastAsia="Times New Roman" w:hAnsi="Times New Roman" w:cs="Times New Roman"/>
          <w:i/>
          <w:noProof/>
          <w:sz w:val="24"/>
          <w:lang w:val="pl-PL"/>
        </w:rPr>
      </w:pPr>
      <w:r w:rsidRPr="00F97E98">
        <w:rPr>
          <w:rFonts w:ascii="Times New Roman" w:hAnsi="Times New Roman"/>
          <w:i/>
          <w:noProof/>
          <w:sz w:val="24"/>
          <w:lang w:val="pl-PL"/>
        </w:rPr>
        <w:t xml:space="preserve">Środki na rzecz ograniczenia zapotrzebowania </w:t>
      </w:r>
    </w:p>
    <w:p w14:paraId="326BB871" w14:textId="7081F1E0" w:rsidR="00613168" w:rsidRPr="00F97E98" w:rsidRDefault="4A40535F"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Wszystkie państwa członkowskie, które przedłożyły sprawozdania, wdrożyły kampanie uświadamiające na temat oszczędności</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zuż</w:t>
      </w:r>
      <w:r w:rsidRPr="00F97E98">
        <w:rPr>
          <w:rFonts w:ascii="Times New Roman" w:hAnsi="Times New Roman"/>
          <w:noProof/>
          <w:sz w:val="24"/>
          <w:lang w:val="pl-PL"/>
        </w:rPr>
        <w:t>ycia energii,</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tak</w:t>
      </w:r>
      <w:r w:rsidRPr="00F97E98">
        <w:rPr>
          <w:rFonts w:ascii="Times New Roman" w:hAnsi="Times New Roman"/>
          <w:noProof/>
          <w:sz w:val="24"/>
          <w:lang w:val="pl-PL"/>
        </w:rPr>
        <w:t>że ogólne środki na rzecz oszczędności energii, takie jak działania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ogrzewania budynków publicznych</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ośw</w:t>
      </w:r>
      <w:r w:rsidRPr="00F97E98">
        <w:rPr>
          <w:rFonts w:ascii="Times New Roman" w:hAnsi="Times New Roman"/>
          <w:noProof/>
          <w:sz w:val="24"/>
          <w:lang w:val="pl-PL"/>
        </w:rPr>
        <w:t>ietlenia publicznego. Komisja</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zad</w:t>
      </w:r>
      <w:r w:rsidRPr="00F97E98">
        <w:rPr>
          <w:rFonts w:ascii="Times New Roman" w:hAnsi="Times New Roman"/>
          <w:noProof/>
          <w:sz w:val="24"/>
          <w:lang w:val="pl-PL"/>
        </w:rPr>
        <w:t>owoleniem przyjmuje te kampanie, ponieważ dzięki nim konsumenci są świadomi, kiedy ceny energii elektrycznej są wysokie, dzięki czemu mogą bardziej elastycznie podchodzić do kwestii zużycia energii. Aby zachęcić do odpowiedzi odbioru, pięć państw członkowskich,</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mia</w:t>
      </w:r>
      <w:r w:rsidRPr="00F97E98">
        <w:rPr>
          <w:rFonts w:ascii="Times New Roman" w:hAnsi="Times New Roman"/>
          <w:noProof/>
          <w:sz w:val="24"/>
          <w:lang w:val="pl-PL"/>
        </w:rPr>
        <w:t>nowicie Austria, Chorwacja, Czechy, Grecja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Pol</w:t>
      </w:r>
      <w:r w:rsidRPr="00F97E98">
        <w:rPr>
          <w:rFonts w:ascii="Times New Roman" w:hAnsi="Times New Roman"/>
          <w:noProof/>
          <w:sz w:val="24"/>
          <w:lang w:val="pl-PL"/>
        </w:rPr>
        <w:t xml:space="preserve">ska, zgłosiło, że wprowadziły dopłaty do detalicznych cen energii, które mają zastosowanie tylko do określonych poziomów zużycia energii elektrycznej. </w:t>
      </w:r>
    </w:p>
    <w:p w14:paraId="698F980C" w14:textId="5B830775" w:rsidR="00221A36" w:rsidRPr="00F97E98" w:rsidRDefault="2AA1E7E3" w:rsidP="6E35EF87">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19 państw członkowskich, tj. Austria, Bułgaria, Chorwacja, Czechy, Estonia, Finlandia, Francja, Grecja, Irlandia, Włochy, Łotwa, Litwa, Luksemburg, Niderlandy, Polska, Portugalia, Słowenia, Hiszpania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Szw</w:t>
      </w:r>
      <w:r w:rsidRPr="00F97E98">
        <w:rPr>
          <w:rFonts w:ascii="Times New Roman" w:hAnsi="Times New Roman"/>
          <w:noProof/>
          <w:sz w:val="24"/>
          <w:lang w:val="pl-PL"/>
        </w:rPr>
        <w:t>ecja, wprowadziło konkretne środki mające na celu zmniejszenie zapotrzebowania na energię elektryczną</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god</w:t>
      </w:r>
      <w:r w:rsidRPr="00F97E98">
        <w:rPr>
          <w:rFonts w:ascii="Times New Roman" w:hAnsi="Times New Roman"/>
          <w:noProof/>
          <w:sz w:val="24"/>
          <w:lang w:val="pl-PL"/>
        </w:rPr>
        <w:t>zinach szczytu, takie jak ogłaszanie godzin szczytu, kampanie komunikacyjne</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ind</w:t>
      </w:r>
      <w:r w:rsidRPr="00F97E98">
        <w:rPr>
          <w:rFonts w:ascii="Times New Roman" w:hAnsi="Times New Roman"/>
          <w:noProof/>
          <w:sz w:val="24"/>
          <w:lang w:val="pl-PL"/>
        </w:rPr>
        <w:t>ywidualne komunikaty dla konsumentów zachęcające do dobrowolnego ograniczenia zużycia energii elektrycznej</w:t>
      </w:r>
      <w:r w:rsidR="00534316" w:rsidRPr="00534316">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szc</w:t>
      </w:r>
      <w:r w:rsidRPr="00F97E98">
        <w:rPr>
          <w:rFonts w:ascii="Times New Roman" w:hAnsi="Times New Roman"/>
          <w:noProof/>
          <w:sz w:val="24"/>
          <w:lang w:val="pl-PL"/>
        </w:rPr>
        <w:t>zególności Włochy, Słowenia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His</w:t>
      </w:r>
      <w:r w:rsidRPr="00F97E98">
        <w:rPr>
          <w:rFonts w:ascii="Times New Roman" w:hAnsi="Times New Roman"/>
          <w:noProof/>
          <w:sz w:val="24"/>
          <w:lang w:val="pl-PL"/>
        </w:rPr>
        <w:t>zpania wdrożyły systemy przetargów konkurencyjnych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cel</w:t>
      </w:r>
      <w:r w:rsidRPr="00F97E98">
        <w:rPr>
          <w:rFonts w:ascii="Times New Roman" w:hAnsi="Times New Roman"/>
          <w:noProof/>
          <w:sz w:val="24"/>
          <w:lang w:val="pl-PL"/>
        </w:rPr>
        <w:t>u zmniejszenia zapotrzebowania na energię elektryczną</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god</w:t>
      </w:r>
      <w:r w:rsidRPr="00F97E98">
        <w:rPr>
          <w:rFonts w:ascii="Times New Roman" w:hAnsi="Times New Roman"/>
          <w:noProof/>
          <w:sz w:val="24"/>
          <w:lang w:val="pl-PL"/>
        </w:rPr>
        <w:t>zinach szczytu</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sez</w:t>
      </w:r>
      <w:r w:rsidRPr="00F97E98">
        <w:rPr>
          <w:rFonts w:ascii="Times New Roman" w:hAnsi="Times New Roman"/>
          <w:noProof/>
          <w:sz w:val="24"/>
          <w:lang w:val="pl-PL"/>
        </w:rPr>
        <w:t>onie zimowym 2022/2023</w:t>
      </w:r>
      <w:r w:rsidRPr="00F97E98">
        <w:rPr>
          <w:rStyle w:val="FootnoteReference"/>
          <w:rFonts w:ascii="Times New Roman" w:eastAsia="Times New Roman" w:hAnsi="Times New Roman" w:cs="Times New Roman"/>
          <w:noProof/>
          <w:sz w:val="24"/>
          <w:lang w:val="pl-PL"/>
        </w:rPr>
        <w:footnoteReference w:id="15"/>
      </w:r>
      <w:r w:rsidR="00534316" w:rsidRPr="00534316">
        <w:rPr>
          <w:rFonts w:ascii="Times New Roman" w:hAnsi="Times New Roman"/>
          <w:noProof/>
          <w:sz w:val="24"/>
          <w:lang w:val="pl-PL"/>
        </w:rPr>
        <w:t>,</w:t>
      </w:r>
      <w:r w:rsidR="00534316" w:rsidRPr="00534316">
        <w:rPr>
          <w:rStyle w:val="FootnoteReference"/>
          <w:rFonts w:ascii="Times New Roman" w:eastAsia="Times New Roman" w:hAnsi="Times New Roman" w:cs="Times New Roman"/>
          <w:noProof/>
          <w:sz w:val="24"/>
          <w:lang w:val="pl-PL"/>
        </w:rPr>
        <w:t xml:space="preserve"> </w:t>
      </w:r>
      <w:r w:rsidRPr="00F97E98">
        <w:rPr>
          <w:rFonts w:ascii="Times New Roman" w:hAnsi="Times New Roman"/>
          <w:noProof/>
          <w:sz w:val="24"/>
          <w:lang w:val="pl-PL"/>
        </w:rPr>
        <w:t>podczas gdy Austria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Szw</w:t>
      </w:r>
      <w:r w:rsidRPr="00F97E98">
        <w:rPr>
          <w:rFonts w:ascii="Times New Roman" w:hAnsi="Times New Roman"/>
          <w:noProof/>
          <w:sz w:val="24"/>
          <w:lang w:val="pl-PL"/>
        </w:rPr>
        <w:t>ecja zgłosiły odpowiedni system do Komisji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cel</w:t>
      </w:r>
      <w:r w:rsidRPr="00F97E98">
        <w:rPr>
          <w:rFonts w:ascii="Times New Roman" w:hAnsi="Times New Roman"/>
          <w:noProof/>
          <w:sz w:val="24"/>
          <w:lang w:val="pl-PL"/>
        </w:rPr>
        <w:t>u zatwierdzenia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ram</w:t>
      </w:r>
      <w:r w:rsidRPr="00F97E98">
        <w:rPr>
          <w:rFonts w:ascii="Times New Roman" w:hAnsi="Times New Roman"/>
          <w:noProof/>
          <w:sz w:val="24"/>
          <w:lang w:val="pl-PL"/>
        </w:rPr>
        <w:t>ach pomocy państwa. Portugalia poinformowała ponadto, że rozważa wdrożenie systemu przetargów konkurencyjnych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cel</w:t>
      </w:r>
      <w:r w:rsidRPr="00F97E98">
        <w:rPr>
          <w:rFonts w:ascii="Times New Roman" w:hAnsi="Times New Roman"/>
          <w:noProof/>
          <w:sz w:val="24"/>
          <w:lang w:val="pl-PL"/>
        </w:rPr>
        <w:t>u zmniejszenia zapotrzebowania na energię elektryczną</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god</w:t>
      </w:r>
      <w:r w:rsidRPr="00F97E98">
        <w:rPr>
          <w:rFonts w:ascii="Times New Roman" w:hAnsi="Times New Roman"/>
          <w:noProof/>
          <w:sz w:val="24"/>
          <w:lang w:val="pl-PL"/>
        </w:rPr>
        <w:t xml:space="preserve">zinach szczytu. </w:t>
      </w:r>
    </w:p>
    <w:p w14:paraId="44C8EBC3" w14:textId="7BFD6A78" w:rsidR="00F34524" w:rsidRPr="00F97E98" w:rsidRDefault="616395B6"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Trzy państwa członkowskie wprowadziły środki na rzecz ograniczenia zapotrzebowania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odn</w:t>
      </w:r>
      <w:r w:rsidRPr="00F97E98">
        <w:rPr>
          <w:rFonts w:ascii="Times New Roman" w:hAnsi="Times New Roman"/>
          <w:noProof/>
          <w:sz w:val="24"/>
          <w:lang w:val="pl-PL"/>
        </w:rPr>
        <w:t xml:space="preserve">iesieniu do określonych kategorii odbiorców. Przykładowo Łotwa wprowadziła ograniczenia zużycia energii elektrycznej przez dużych odbiorców przemysłowych. </w:t>
      </w:r>
    </w:p>
    <w:p w14:paraId="6B0964CA" w14:textId="77777777" w:rsidR="00613168" w:rsidRPr="00F97E98" w:rsidRDefault="35198C26" w:rsidP="2B9E9F58">
      <w:pPr>
        <w:spacing w:before="120" w:after="120" w:line="360" w:lineRule="auto"/>
        <w:jc w:val="both"/>
        <w:rPr>
          <w:rFonts w:ascii="Times New Roman" w:eastAsia="Times New Roman" w:hAnsi="Times New Roman" w:cs="Times New Roman"/>
          <w:i/>
          <w:noProof/>
          <w:sz w:val="24"/>
          <w:lang w:val="pl-PL"/>
        </w:rPr>
      </w:pPr>
      <w:r w:rsidRPr="00F97E98">
        <w:rPr>
          <w:rFonts w:ascii="Times New Roman" w:hAnsi="Times New Roman"/>
          <w:i/>
          <w:noProof/>
          <w:sz w:val="24"/>
          <w:lang w:val="pl-PL"/>
        </w:rPr>
        <w:t>Zmniejszenie zużycia energii elektrycznej</w:t>
      </w:r>
    </w:p>
    <w:p w14:paraId="626C8820" w14:textId="2B46B064" w:rsidR="00EA4768" w:rsidRPr="00F97E98" w:rsidRDefault="3DA08D31" w:rsidP="6E35EF87">
      <w:pPr>
        <w:spacing w:before="120" w:after="120" w:line="360" w:lineRule="auto"/>
        <w:jc w:val="both"/>
        <w:rPr>
          <w:rFonts w:ascii="Times New Roman" w:eastAsia="Times New Roman" w:hAnsi="Times New Roman" w:cs="Times New Roman"/>
          <w:i/>
          <w:noProof/>
          <w:sz w:val="24"/>
          <w:lang w:val="pl-PL"/>
        </w:rPr>
      </w:pPr>
      <w:r w:rsidRPr="00F97E98">
        <w:rPr>
          <w:rFonts w:ascii="Times New Roman" w:hAnsi="Times New Roman"/>
          <w:noProof/>
          <w:sz w:val="24"/>
          <w:lang w:val="pl-PL"/>
        </w:rPr>
        <w:t>Na podstawie informacji przekazanych przez państwa członkowskie składające sprawozdania za grudzień 20</w:t>
      </w:r>
      <w:r w:rsidRPr="00534316">
        <w:rPr>
          <w:rFonts w:ascii="Times New Roman" w:hAnsi="Times New Roman"/>
          <w:noProof/>
          <w:sz w:val="24"/>
          <w:lang w:val="pl-PL"/>
        </w:rPr>
        <w:t>22</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xml:space="preserve"> ogólny spadek zużycia energii elektrycznej wynosił między 0,</w:t>
      </w:r>
      <w:r w:rsidRPr="00534316">
        <w:rPr>
          <w:rFonts w:ascii="Times New Roman" w:hAnsi="Times New Roman"/>
          <w:noProof/>
          <w:sz w:val="24"/>
          <w:lang w:val="pl-PL"/>
        </w:rPr>
        <w:t>5</w:t>
      </w:r>
      <w:r w:rsidR="00534316" w:rsidRPr="00534316">
        <w:rPr>
          <w:rFonts w:ascii="Times New Roman" w:hAnsi="Times New Roman"/>
          <w:noProof/>
          <w:sz w:val="24"/>
          <w:lang w:val="pl-PL"/>
        </w:rPr>
        <w:t> </w:t>
      </w:r>
      <w:r w:rsidRPr="00534316">
        <w:rPr>
          <w:rFonts w:ascii="Times New Roman" w:hAnsi="Times New Roman"/>
          <w:noProof/>
          <w:sz w:val="24"/>
          <w:lang w:val="pl-PL"/>
        </w:rPr>
        <w:t>%</w:t>
      </w:r>
      <w:r w:rsidRPr="00F97E98">
        <w:rPr>
          <w:rStyle w:val="FootnoteReference"/>
          <w:rFonts w:ascii="Times New Roman" w:eastAsia="Times New Roman" w:hAnsi="Times New Roman" w:cs="Times New Roman"/>
          <w:noProof/>
          <w:sz w:val="24"/>
          <w:lang w:val="pl-PL"/>
        </w:rPr>
        <w:footnoteReference w:id="16"/>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1</w:t>
      </w:r>
      <w:r w:rsidRPr="00534316">
        <w:rPr>
          <w:rFonts w:ascii="Times New Roman" w:hAnsi="Times New Roman"/>
          <w:noProof/>
          <w:sz w:val="24"/>
          <w:lang w:val="pl-PL"/>
        </w:rPr>
        <w:t>5</w:t>
      </w:r>
      <w:r w:rsidR="00534316" w:rsidRPr="00534316">
        <w:rPr>
          <w:rFonts w:ascii="Times New Roman" w:hAnsi="Times New Roman"/>
          <w:noProof/>
          <w:sz w:val="24"/>
          <w:lang w:val="pl-PL"/>
        </w:rPr>
        <w:t> </w:t>
      </w:r>
      <w:r w:rsidRPr="00534316">
        <w:rPr>
          <w:rFonts w:ascii="Times New Roman" w:hAnsi="Times New Roman"/>
          <w:noProof/>
          <w:sz w:val="24"/>
          <w:lang w:val="pl-PL"/>
        </w:rPr>
        <w:t>%</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por</w:t>
      </w:r>
      <w:r w:rsidRPr="00F97E98">
        <w:rPr>
          <w:rFonts w:ascii="Times New Roman" w:hAnsi="Times New Roman"/>
          <w:noProof/>
          <w:sz w:val="24"/>
          <w:lang w:val="pl-PL"/>
        </w:rPr>
        <w:t>ównaniu</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okr</w:t>
      </w:r>
      <w:r w:rsidRPr="00F97E98">
        <w:rPr>
          <w:rFonts w:ascii="Times New Roman" w:hAnsi="Times New Roman"/>
          <w:noProof/>
          <w:sz w:val="24"/>
          <w:lang w:val="pl-PL"/>
        </w:rPr>
        <w:t>esem odniesienia</w:t>
      </w:r>
      <w:r w:rsidRPr="00F97E98">
        <w:rPr>
          <w:rStyle w:val="FootnoteReference"/>
          <w:rFonts w:ascii="Times New Roman" w:eastAsia="Times New Roman" w:hAnsi="Times New Roman" w:cs="Times New Roman"/>
          <w:noProof/>
          <w:sz w:val="24"/>
          <w:lang w:val="pl-PL"/>
        </w:rPr>
        <w:footnoteReference w:id="17"/>
      </w:r>
      <w:r w:rsidRPr="00F97E98">
        <w:rPr>
          <w:rFonts w:ascii="Times New Roman" w:hAnsi="Times New Roman"/>
          <w:noProof/>
          <w:sz w:val="24"/>
          <w:lang w:val="pl-PL"/>
        </w:rPr>
        <w:t xml:space="preserve">. </w:t>
      </w:r>
    </w:p>
    <w:p w14:paraId="78AF1F72" w14:textId="5D685BC7" w:rsidR="00F34524" w:rsidRPr="00F97E98" w:rsidRDefault="1436749C"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Jeżeli chodzi</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ilo</w:t>
      </w:r>
      <w:r w:rsidRPr="00F97E98">
        <w:rPr>
          <w:rFonts w:ascii="Times New Roman" w:hAnsi="Times New Roman"/>
          <w:noProof/>
          <w:sz w:val="24"/>
          <w:lang w:val="pl-PL"/>
        </w:rPr>
        <w:t>ść,</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jak</w:t>
      </w:r>
      <w:r w:rsidRPr="00F97E98">
        <w:rPr>
          <w:rFonts w:ascii="Times New Roman" w:hAnsi="Times New Roman"/>
          <w:noProof/>
          <w:sz w:val="24"/>
          <w:lang w:val="pl-PL"/>
        </w:rPr>
        <w:t>ą zmniejszono zużycie energii elektrycznej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god</w:t>
      </w:r>
      <w:r w:rsidRPr="00F97E98">
        <w:rPr>
          <w:rFonts w:ascii="Times New Roman" w:hAnsi="Times New Roman"/>
          <w:noProof/>
          <w:sz w:val="24"/>
          <w:lang w:val="pl-PL"/>
        </w:rPr>
        <w:t>zinach szczytu:</w:t>
      </w:r>
    </w:p>
    <w:p w14:paraId="715640DD" w14:textId="21DF70ED" w:rsidR="00EA4768" w:rsidRPr="00F97E98" w:rsidRDefault="2F9E501A"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lang w:val="pl-PL"/>
        </w:rPr>
      </w:pPr>
      <w:r w:rsidRPr="00F97E98">
        <w:rPr>
          <w:rFonts w:ascii="Times New Roman" w:hAnsi="Times New Roman"/>
          <w:noProof/>
          <w:sz w:val="24"/>
          <w:lang w:val="pl-PL"/>
        </w:rPr>
        <w:t>dziesięć państw członkowskich – Austria, Bułgaria, Chorwacja, Estonia, Irlandia, Włochy, Luksemburg, Niderlandy, Polska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Por</w:t>
      </w:r>
      <w:r w:rsidRPr="00F97E98">
        <w:rPr>
          <w:rFonts w:ascii="Times New Roman" w:hAnsi="Times New Roman"/>
          <w:noProof/>
          <w:sz w:val="24"/>
          <w:lang w:val="pl-PL"/>
        </w:rPr>
        <w:t>tugalia – zgłosiło zmniejszenie wielkości zużycia</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4</w:t>
      </w:r>
      <w:r w:rsidRPr="00F97E98">
        <w:rPr>
          <w:rFonts w:ascii="Times New Roman" w:hAnsi="Times New Roman"/>
          <w:noProof/>
          <w:sz w:val="24"/>
          <w:lang w:val="pl-PL"/>
        </w:rPr>
        <w:t>–</w:t>
      </w:r>
      <w:r w:rsidRPr="00534316">
        <w:rPr>
          <w:rFonts w:ascii="Times New Roman" w:hAnsi="Times New Roman"/>
          <w:noProof/>
          <w:sz w:val="24"/>
          <w:lang w:val="pl-PL"/>
        </w:rPr>
        <w:t>7</w:t>
      </w:r>
      <w:r w:rsidR="00534316" w:rsidRPr="00534316">
        <w:rPr>
          <w:rFonts w:ascii="Times New Roman" w:hAnsi="Times New Roman"/>
          <w:noProof/>
          <w:sz w:val="24"/>
          <w:lang w:val="pl-PL"/>
        </w:rPr>
        <w:t> </w:t>
      </w:r>
      <w:r w:rsidRPr="00534316">
        <w:rPr>
          <w:rFonts w:ascii="Times New Roman" w:hAnsi="Times New Roman"/>
          <w:noProof/>
          <w:sz w:val="24"/>
          <w:lang w:val="pl-PL"/>
        </w:rPr>
        <w:t>%</w:t>
      </w:r>
      <w:r w:rsidRPr="00F97E98">
        <w:rPr>
          <w:rFonts w:ascii="Times New Roman" w:hAnsi="Times New Roman"/>
          <w:noProof/>
          <w:sz w:val="24"/>
          <w:lang w:val="pl-PL"/>
        </w:rPr>
        <w:t>;</w:t>
      </w:r>
    </w:p>
    <w:p w14:paraId="15034038" w14:textId="65B5C333" w:rsidR="00EA4768" w:rsidRPr="00F97E98" w:rsidRDefault="46B6453B"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lang w:val="pl-PL"/>
        </w:rPr>
      </w:pPr>
      <w:r w:rsidRPr="00F97E98">
        <w:rPr>
          <w:rFonts w:ascii="Times New Roman" w:hAnsi="Times New Roman"/>
          <w:noProof/>
          <w:sz w:val="24"/>
          <w:lang w:val="pl-PL"/>
        </w:rPr>
        <w:t>osiem państw członkowskich – Belgia, Czechy, Dania, Finlandia, Niemcy, Łotwa, Słowenia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Szw</w:t>
      </w:r>
      <w:r w:rsidRPr="00F97E98">
        <w:rPr>
          <w:rFonts w:ascii="Times New Roman" w:hAnsi="Times New Roman"/>
          <w:noProof/>
          <w:sz w:val="24"/>
          <w:lang w:val="pl-PL"/>
        </w:rPr>
        <w:t>ecja – zgłosiło zmniejszenie wielkości zużycia</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7</w:t>
      </w:r>
      <w:r w:rsidRPr="00F97E98">
        <w:rPr>
          <w:rFonts w:ascii="Times New Roman" w:hAnsi="Times New Roman"/>
          <w:noProof/>
          <w:sz w:val="24"/>
          <w:lang w:val="pl-PL"/>
        </w:rPr>
        <w:t>–1</w:t>
      </w:r>
      <w:r w:rsidRPr="00534316">
        <w:rPr>
          <w:rFonts w:ascii="Times New Roman" w:hAnsi="Times New Roman"/>
          <w:noProof/>
          <w:sz w:val="24"/>
          <w:lang w:val="pl-PL"/>
        </w:rPr>
        <w:t>0</w:t>
      </w:r>
      <w:r w:rsidR="00534316" w:rsidRPr="00534316">
        <w:rPr>
          <w:rFonts w:ascii="Times New Roman" w:hAnsi="Times New Roman"/>
          <w:noProof/>
          <w:sz w:val="24"/>
          <w:lang w:val="pl-PL"/>
        </w:rPr>
        <w:t> </w:t>
      </w:r>
      <w:r w:rsidRPr="00534316">
        <w:rPr>
          <w:rFonts w:ascii="Times New Roman" w:hAnsi="Times New Roman"/>
          <w:noProof/>
          <w:sz w:val="24"/>
          <w:lang w:val="pl-PL"/>
        </w:rPr>
        <w:t>%</w:t>
      </w:r>
      <w:r w:rsidRPr="00F97E98">
        <w:rPr>
          <w:rFonts w:ascii="Times New Roman" w:hAnsi="Times New Roman"/>
          <w:noProof/>
          <w:sz w:val="24"/>
          <w:lang w:val="pl-PL"/>
        </w:rPr>
        <w:t>;</w:t>
      </w:r>
    </w:p>
    <w:p w14:paraId="38C36768" w14:textId="4D755491" w:rsidR="00F34524" w:rsidRPr="00F97E98" w:rsidRDefault="0975028C"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lang w:val="pl-PL"/>
        </w:rPr>
      </w:pPr>
      <w:r w:rsidRPr="00F97E98">
        <w:rPr>
          <w:rFonts w:ascii="Times New Roman" w:hAnsi="Times New Roman"/>
          <w:noProof/>
          <w:sz w:val="24"/>
          <w:lang w:val="pl-PL"/>
        </w:rPr>
        <w:t>pięć państw członkowskich – Francja, Grecja, Litwa, Słowacja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His</w:t>
      </w:r>
      <w:r w:rsidRPr="00F97E98">
        <w:rPr>
          <w:rFonts w:ascii="Times New Roman" w:hAnsi="Times New Roman"/>
          <w:noProof/>
          <w:sz w:val="24"/>
          <w:lang w:val="pl-PL"/>
        </w:rPr>
        <w:t>zpania – zgłosiło zmniejszenie wielkości zużycia</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pon</w:t>
      </w:r>
      <w:r w:rsidRPr="00F97E98">
        <w:rPr>
          <w:rFonts w:ascii="Times New Roman" w:hAnsi="Times New Roman"/>
          <w:noProof/>
          <w:sz w:val="24"/>
          <w:lang w:val="pl-PL"/>
        </w:rPr>
        <w:t>ad 1</w:t>
      </w:r>
      <w:r w:rsidRPr="00534316">
        <w:rPr>
          <w:rFonts w:ascii="Times New Roman" w:hAnsi="Times New Roman"/>
          <w:noProof/>
          <w:sz w:val="24"/>
          <w:lang w:val="pl-PL"/>
        </w:rPr>
        <w:t>0</w:t>
      </w:r>
      <w:r w:rsidR="00534316" w:rsidRPr="00534316">
        <w:rPr>
          <w:rFonts w:ascii="Times New Roman" w:hAnsi="Times New Roman"/>
          <w:noProof/>
          <w:sz w:val="24"/>
          <w:lang w:val="pl-PL"/>
        </w:rPr>
        <w:t> </w:t>
      </w:r>
      <w:r w:rsidRPr="00534316">
        <w:rPr>
          <w:rFonts w:ascii="Times New Roman" w:hAnsi="Times New Roman"/>
          <w:noProof/>
          <w:sz w:val="24"/>
          <w:lang w:val="pl-PL"/>
        </w:rPr>
        <w:t>%</w:t>
      </w:r>
      <w:r w:rsidRPr="00F97E98">
        <w:rPr>
          <w:rFonts w:ascii="Times New Roman" w:hAnsi="Times New Roman"/>
          <w:noProof/>
          <w:sz w:val="24"/>
          <w:lang w:val="pl-PL"/>
        </w:rPr>
        <w:t xml:space="preserve">. </w:t>
      </w:r>
    </w:p>
    <w:p w14:paraId="3B62CA10" w14:textId="77777777" w:rsidR="00F34524" w:rsidRPr="00F97E98" w:rsidRDefault="679E40FD" w:rsidP="2B9E9F58">
      <w:pPr>
        <w:spacing w:before="120" w:after="120" w:line="360" w:lineRule="auto"/>
        <w:jc w:val="both"/>
        <w:rPr>
          <w:rFonts w:ascii="Times New Roman" w:eastAsia="Times New Roman" w:hAnsi="Times New Roman" w:cs="Times New Roman"/>
          <w:i/>
          <w:noProof/>
          <w:sz w:val="24"/>
          <w:lang w:val="pl-PL"/>
        </w:rPr>
      </w:pPr>
      <w:r w:rsidRPr="00F97E98">
        <w:rPr>
          <w:rFonts w:ascii="Times New Roman" w:hAnsi="Times New Roman"/>
          <w:i/>
          <w:noProof/>
          <w:sz w:val="24"/>
          <w:lang w:val="pl-PL"/>
        </w:rPr>
        <w:t xml:space="preserve">Ocena dotycząca przedłużenia okresu obowiązywania środka </w:t>
      </w:r>
    </w:p>
    <w:p w14:paraId="57EE9403" w14:textId="64E35473" w:rsidR="0000240C" w:rsidRPr="00F97E98" w:rsidRDefault="0EC50AFB"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Państwa członkowskie składające sprawozdania wskazały, że ogólnie osiągnęły wiążący cel zmniejszenia zużycia energii elektrycznej</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534316">
        <w:rPr>
          <w:rFonts w:ascii="Times New Roman" w:hAnsi="Times New Roman"/>
          <w:noProof/>
          <w:sz w:val="24"/>
          <w:lang w:val="pl-PL"/>
        </w:rPr>
        <w:t>5 </w:t>
      </w:r>
      <w:r w:rsidRPr="00534316">
        <w:rPr>
          <w:rFonts w:ascii="Times New Roman" w:hAnsi="Times New Roman"/>
          <w:noProof/>
          <w:sz w:val="24"/>
          <w:lang w:val="pl-PL"/>
        </w:rPr>
        <w:t>%</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god</w:t>
      </w:r>
      <w:r w:rsidRPr="00F97E98">
        <w:rPr>
          <w:rFonts w:ascii="Times New Roman" w:hAnsi="Times New Roman"/>
          <w:noProof/>
          <w:sz w:val="24"/>
          <w:lang w:val="pl-PL"/>
        </w:rPr>
        <w:t xml:space="preserve">zinach szczytu. Niektóre państwa członkowskie stwierdziły jednak, że spełnienie </w:t>
      </w:r>
      <w:r w:rsidRPr="00F97E98">
        <w:rPr>
          <w:rFonts w:ascii="Times New Roman" w:hAnsi="Times New Roman"/>
          <w:i/>
          <w:noProof/>
          <w:sz w:val="24"/>
          <w:lang w:val="pl-PL"/>
        </w:rPr>
        <w:t>orientacyjnego</w:t>
      </w:r>
      <w:r w:rsidRPr="00F97E98">
        <w:rPr>
          <w:rFonts w:ascii="Times New Roman" w:hAnsi="Times New Roman"/>
          <w:noProof/>
          <w:sz w:val="24"/>
          <w:lang w:val="pl-PL"/>
        </w:rPr>
        <w:t xml:space="preserve"> wymogu zmniejszenia całkowitego miesięcznego zużycia</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1</w:t>
      </w:r>
      <w:r w:rsidRPr="00534316">
        <w:rPr>
          <w:rFonts w:ascii="Times New Roman" w:hAnsi="Times New Roman"/>
          <w:noProof/>
          <w:sz w:val="24"/>
          <w:lang w:val="pl-PL"/>
        </w:rPr>
        <w:t>0</w:t>
      </w:r>
      <w:r w:rsidR="00534316" w:rsidRPr="00534316">
        <w:rPr>
          <w:rFonts w:ascii="Times New Roman" w:hAnsi="Times New Roman"/>
          <w:noProof/>
          <w:sz w:val="24"/>
          <w:lang w:val="pl-PL"/>
        </w:rPr>
        <w:t> </w:t>
      </w:r>
      <w:r w:rsidRPr="00534316">
        <w:rPr>
          <w:rFonts w:ascii="Times New Roman" w:hAnsi="Times New Roman"/>
          <w:noProof/>
          <w:sz w:val="24"/>
          <w:lang w:val="pl-PL"/>
        </w:rPr>
        <w:t>%</w:t>
      </w:r>
      <w:r w:rsidRPr="00F97E98">
        <w:rPr>
          <w:rFonts w:ascii="Times New Roman" w:hAnsi="Times New Roman"/>
          <w:noProof/>
          <w:sz w:val="24"/>
          <w:lang w:val="pl-PL"/>
        </w:rPr>
        <w:t xml:space="preserve"> (w porównaniu</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ost</w:t>
      </w:r>
      <w:r w:rsidRPr="00F97E98">
        <w:rPr>
          <w:rFonts w:ascii="Times New Roman" w:hAnsi="Times New Roman"/>
          <w:noProof/>
          <w:sz w:val="24"/>
          <w:lang w:val="pl-PL"/>
        </w:rPr>
        <w:t>atnimi 5 latami) stanowiło wyzwanie ze względu na zależność od pogody</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syt</w:t>
      </w:r>
      <w:r w:rsidRPr="00F97E98">
        <w:rPr>
          <w:rFonts w:ascii="Times New Roman" w:hAnsi="Times New Roman"/>
          <w:noProof/>
          <w:sz w:val="24"/>
          <w:lang w:val="pl-PL"/>
        </w:rPr>
        <w:t>uację gospodarczą spowodowaną kryzysem energetycznym.</w:t>
      </w:r>
    </w:p>
    <w:p w14:paraId="76B12CE0" w14:textId="4CCB3CFC" w:rsidR="00795FEE" w:rsidRPr="00F97E98" w:rsidRDefault="4FD11AF7"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Konsultacje publiczne obejmowały pytania dotyczące możliwego przedłużenia okresu obowiązywania środków dotyczących odpowiedzi odbioru</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odp</w:t>
      </w:r>
      <w:r w:rsidRPr="00F97E98">
        <w:rPr>
          <w:rFonts w:ascii="Times New Roman" w:hAnsi="Times New Roman"/>
          <w:noProof/>
          <w:sz w:val="24"/>
          <w:lang w:val="pl-PL"/>
        </w:rPr>
        <w:t>owiedzi na te pytania większość zainteresowanych stron stwierdziła, że nie ma potrzeby wprowadzania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(UE) 2019/943</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spr</w:t>
      </w:r>
      <w:r w:rsidRPr="00F97E98">
        <w:rPr>
          <w:rFonts w:ascii="Times New Roman" w:hAnsi="Times New Roman"/>
          <w:noProof/>
          <w:sz w:val="24"/>
          <w:lang w:val="pl-PL"/>
        </w:rPr>
        <w:t>awie wewnętrznego rynku energii elektrycznej (</w:t>
      </w:r>
      <w:r w:rsidRPr="00F97E98">
        <w:rPr>
          <w:rFonts w:ascii="Times New Roman" w:hAnsi="Times New Roman"/>
          <w:b/>
          <w:i/>
          <w:noProof/>
          <w:sz w:val="24"/>
          <w:lang w:val="pl-PL"/>
        </w:rPr>
        <w:t>rozporządzenie</w:t>
      </w:r>
      <w:r w:rsidR="00534316" w:rsidRPr="00F97E98">
        <w:rPr>
          <w:rFonts w:ascii="Times New Roman" w:hAnsi="Times New Roman"/>
          <w:b/>
          <w:i/>
          <w:noProof/>
          <w:sz w:val="24"/>
          <w:lang w:val="pl-PL"/>
        </w:rPr>
        <w:t xml:space="preserve"> w</w:t>
      </w:r>
      <w:r w:rsidR="00534316">
        <w:rPr>
          <w:rFonts w:ascii="Times New Roman" w:hAnsi="Times New Roman"/>
          <w:b/>
          <w:i/>
          <w:noProof/>
          <w:sz w:val="24"/>
          <w:lang w:val="pl-PL"/>
        </w:rPr>
        <w:t> </w:t>
      </w:r>
      <w:r w:rsidR="00534316" w:rsidRPr="00F97E98">
        <w:rPr>
          <w:rFonts w:ascii="Times New Roman" w:hAnsi="Times New Roman"/>
          <w:b/>
          <w:i/>
          <w:noProof/>
          <w:sz w:val="24"/>
          <w:lang w:val="pl-PL"/>
        </w:rPr>
        <w:t>spr</w:t>
      </w:r>
      <w:r w:rsidRPr="00F97E98">
        <w:rPr>
          <w:rFonts w:ascii="Times New Roman" w:hAnsi="Times New Roman"/>
          <w:b/>
          <w:i/>
          <w:noProof/>
          <w:sz w:val="24"/>
          <w:lang w:val="pl-PL"/>
        </w:rPr>
        <w:t>awie energii elektrycznej</w:t>
      </w:r>
      <w:r w:rsidRPr="00F97E98">
        <w:rPr>
          <w:rFonts w:ascii="Times New Roman" w:hAnsi="Times New Roman"/>
          <w:noProof/>
          <w:sz w:val="24"/>
          <w:lang w:val="pl-PL"/>
        </w:rPr>
        <w:t>) szczególnych wymogów dotyczących odpowiedzi odbioru, które miałyby zastosowanie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ypadku kryzysu. Zamiast tego strony były zdania, że odpowiedź odbioru jest już wystarczająco uwzględniona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pra</w:t>
      </w:r>
      <w:r w:rsidRPr="00F97E98">
        <w:rPr>
          <w:rFonts w:ascii="Times New Roman" w:hAnsi="Times New Roman"/>
          <w:noProof/>
          <w:sz w:val="24"/>
          <w:lang w:val="pl-PL"/>
        </w:rPr>
        <w:t>wodawstwie dotyczącym rynku energii elektrycznej, zgodnie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episami dyrektywy (UE) 2019/944</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spr</w:t>
      </w:r>
      <w:r w:rsidRPr="00F97E98">
        <w:rPr>
          <w:rFonts w:ascii="Times New Roman" w:hAnsi="Times New Roman"/>
          <w:noProof/>
          <w:sz w:val="24"/>
          <w:lang w:val="pl-PL"/>
        </w:rPr>
        <w:t>awie wspólnych zasad rynku wewnętrznego energii elektrycznej (</w:t>
      </w:r>
      <w:r w:rsidRPr="00F97E98">
        <w:rPr>
          <w:rFonts w:ascii="Times New Roman" w:hAnsi="Times New Roman"/>
          <w:b/>
          <w:i/>
          <w:noProof/>
          <w:sz w:val="24"/>
          <w:lang w:val="pl-PL"/>
        </w:rPr>
        <w:t>dyrektywa</w:t>
      </w:r>
      <w:r w:rsidR="00534316" w:rsidRPr="00F97E98">
        <w:rPr>
          <w:rFonts w:ascii="Times New Roman" w:hAnsi="Times New Roman"/>
          <w:b/>
          <w:i/>
          <w:noProof/>
          <w:sz w:val="24"/>
          <w:lang w:val="pl-PL"/>
        </w:rPr>
        <w:t xml:space="preserve"> w</w:t>
      </w:r>
      <w:r w:rsidR="00534316">
        <w:rPr>
          <w:rFonts w:ascii="Times New Roman" w:hAnsi="Times New Roman"/>
          <w:b/>
          <w:i/>
          <w:noProof/>
          <w:sz w:val="24"/>
          <w:lang w:val="pl-PL"/>
        </w:rPr>
        <w:t> </w:t>
      </w:r>
      <w:r w:rsidR="00534316" w:rsidRPr="00F97E98">
        <w:rPr>
          <w:rFonts w:ascii="Times New Roman" w:hAnsi="Times New Roman"/>
          <w:b/>
          <w:i/>
          <w:noProof/>
          <w:sz w:val="24"/>
          <w:lang w:val="pl-PL"/>
        </w:rPr>
        <w:t>spr</w:t>
      </w:r>
      <w:r w:rsidRPr="00F97E98">
        <w:rPr>
          <w:rFonts w:ascii="Times New Roman" w:hAnsi="Times New Roman"/>
          <w:b/>
          <w:i/>
          <w:noProof/>
          <w:sz w:val="24"/>
          <w:lang w:val="pl-PL"/>
        </w:rPr>
        <w:t>awie energii elektrycznej</w:t>
      </w:r>
      <w:r w:rsidRPr="00F97E98">
        <w:rPr>
          <w:rFonts w:ascii="Times New Roman" w:hAnsi="Times New Roman"/>
          <w:noProof/>
          <w:sz w:val="24"/>
          <w:lang w:val="pl-PL"/>
        </w:rPr>
        <w:t>)</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dod</w:t>
      </w:r>
      <w:r w:rsidRPr="00F97E98">
        <w:rPr>
          <w:rFonts w:ascii="Times New Roman" w:hAnsi="Times New Roman"/>
          <w:noProof/>
          <w:sz w:val="24"/>
          <w:lang w:val="pl-PL"/>
        </w:rPr>
        <w:t>atkowo rozszerzona we wniosku dotyczącym struktury rynku energii elektrycznej.</w:t>
      </w:r>
    </w:p>
    <w:p w14:paraId="06137BE6" w14:textId="64264242" w:rsidR="003636D9" w:rsidRPr="00F97E98" w:rsidRDefault="036C2F8F"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Co ważne, we wniosku dotyczącym struktury rynku energii elektrycznej dodatkowo uwzględniono środki na rzecz ograniczenia zapotrzebowania jako elementy składowe struktury rynku energii elektrycznej</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szc</w:t>
      </w:r>
      <w:r w:rsidRPr="00F97E98">
        <w:rPr>
          <w:rFonts w:ascii="Times New Roman" w:hAnsi="Times New Roman"/>
          <w:noProof/>
          <w:sz w:val="24"/>
          <w:lang w:val="pl-PL"/>
        </w:rPr>
        <w:t>zególności, aby zapewnić skuteczną integrację energii elektrycznej wytwarzanej ze zmiennych odnawialnych źródeł energii (biorąc pod uwagę wymianę międzystrefową) oraz zmniejszyć zapotrzebowanie na wytwarzanie energii elektrycznej</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pal</w:t>
      </w:r>
      <w:r w:rsidRPr="00F97E98">
        <w:rPr>
          <w:rFonts w:ascii="Times New Roman" w:hAnsi="Times New Roman"/>
          <w:noProof/>
          <w:sz w:val="24"/>
          <w:lang w:val="pl-PL"/>
        </w:rPr>
        <w:t>iw kopalnych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okr</w:t>
      </w:r>
      <w:r w:rsidRPr="00F97E98">
        <w:rPr>
          <w:rFonts w:ascii="Times New Roman" w:hAnsi="Times New Roman"/>
          <w:noProof/>
          <w:sz w:val="24"/>
          <w:lang w:val="pl-PL"/>
        </w:rPr>
        <w:t>esach, gdy występuje wysokie zapotrzebowanie na energię elektryczną</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poł</w:t>
      </w:r>
      <w:r w:rsidRPr="00F97E98">
        <w:rPr>
          <w:rFonts w:ascii="Times New Roman" w:hAnsi="Times New Roman"/>
          <w:noProof/>
          <w:sz w:val="24"/>
          <w:lang w:val="pl-PL"/>
        </w:rPr>
        <w:t>ączeniu</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nis</w:t>
      </w:r>
      <w:r w:rsidRPr="00F97E98">
        <w:rPr>
          <w:rFonts w:ascii="Times New Roman" w:hAnsi="Times New Roman"/>
          <w:noProof/>
          <w:sz w:val="24"/>
          <w:lang w:val="pl-PL"/>
        </w:rPr>
        <w:t>kim poziomem wytwarzania energii elektrycznej ze źródeł odnawialnych</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zmi</w:t>
      </w:r>
      <w:r w:rsidRPr="00F97E98">
        <w:rPr>
          <w:rFonts w:ascii="Times New Roman" w:hAnsi="Times New Roman"/>
          <w:noProof/>
          <w:sz w:val="24"/>
          <w:lang w:val="pl-PL"/>
        </w:rPr>
        <w:t>ennej wydajności, we wniosku dotyczącym struktury rynku energii elektrycznej przewidziano możliwość zaprojektowania przez operatorów systemów przesyłowych produktu wygładzającego profil zapotrzebowania, tak aby odpowiedź odbioru przyczyniała się do zmniejszenia szczytowego zużycia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sys</w:t>
      </w:r>
      <w:r w:rsidRPr="00F97E98">
        <w:rPr>
          <w:rFonts w:ascii="Times New Roman" w:hAnsi="Times New Roman"/>
          <w:noProof/>
          <w:sz w:val="24"/>
          <w:lang w:val="pl-PL"/>
        </w:rPr>
        <w:t>temie elektroenergetycznym</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okr</w:t>
      </w:r>
      <w:r w:rsidRPr="00F97E98">
        <w:rPr>
          <w:rFonts w:ascii="Times New Roman" w:hAnsi="Times New Roman"/>
          <w:noProof/>
          <w:sz w:val="24"/>
          <w:lang w:val="pl-PL"/>
        </w:rPr>
        <w:t xml:space="preserve">eślonych godzinach dnia (nowy </w:t>
      </w:r>
      <w:r w:rsidRPr="00534316">
        <w:rPr>
          <w:rFonts w:ascii="Times New Roman" w:hAnsi="Times New Roman"/>
          <w:noProof/>
          <w:sz w:val="24"/>
          <w:lang w:val="pl-PL"/>
        </w:rPr>
        <w:t>art.</w:t>
      </w:r>
      <w:r w:rsidR="00534316" w:rsidRPr="00534316">
        <w:rPr>
          <w:rFonts w:ascii="Times New Roman" w:hAnsi="Times New Roman"/>
          <w:noProof/>
          <w:sz w:val="24"/>
          <w:lang w:val="pl-PL"/>
        </w:rPr>
        <w:t> </w:t>
      </w:r>
      <w:r w:rsidRPr="00534316">
        <w:rPr>
          <w:rFonts w:ascii="Times New Roman" w:hAnsi="Times New Roman"/>
          <w:noProof/>
          <w:sz w:val="24"/>
          <w:lang w:val="pl-PL"/>
        </w:rPr>
        <w:t>7</w:t>
      </w:r>
      <w:r w:rsidRPr="00F97E98">
        <w:rPr>
          <w:rFonts w:ascii="Times New Roman" w:hAnsi="Times New Roman"/>
          <w:noProof/>
          <w:sz w:val="24"/>
          <w:lang w:val="pl-PL"/>
        </w:rPr>
        <w:t>a rozporządzenia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spr</w:t>
      </w:r>
      <w:r w:rsidRPr="00F97E98">
        <w:rPr>
          <w:rFonts w:ascii="Times New Roman" w:hAnsi="Times New Roman"/>
          <w:noProof/>
          <w:sz w:val="24"/>
          <w:lang w:val="pl-PL"/>
        </w:rPr>
        <w:t>awie energii elektrycznej). Produkt wygładzający profil zapotrzebowania może przyczynić się do maksymalizacji integracji energii elektrycznej wytwarzanej ze źródeł odnawialnych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sys</w:t>
      </w:r>
      <w:r w:rsidRPr="00F97E98">
        <w:rPr>
          <w:rFonts w:ascii="Times New Roman" w:hAnsi="Times New Roman"/>
          <w:noProof/>
          <w:sz w:val="24"/>
          <w:lang w:val="pl-PL"/>
        </w:rPr>
        <w:t>temie poprzez przesunięcie zużycia energii elektrycznej na pory dnia</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wyż</w:t>
      </w:r>
      <w:r w:rsidRPr="00F97E98">
        <w:rPr>
          <w:rFonts w:ascii="Times New Roman" w:hAnsi="Times New Roman"/>
          <w:noProof/>
          <w:sz w:val="24"/>
          <w:lang w:val="pl-PL"/>
        </w:rPr>
        <w:t xml:space="preserve">szej produkcji energii elektrycznej ze źródeł odnawialnych, pod warunkiem że prognozowane koszty nie przekraczają </w:t>
      </w:r>
      <w:r w:rsidRPr="00F97E98">
        <w:rPr>
          <w:rFonts w:ascii="Times New Roman" w:hAnsi="Times New Roman"/>
          <w:noProof/>
          <w:color w:val="333333"/>
          <w:sz w:val="24"/>
          <w:lang w:val="pl-PL"/>
        </w:rPr>
        <w:t>oczekiwanych</w:t>
      </w:r>
      <w:r w:rsidRPr="00F97E98">
        <w:rPr>
          <w:rFonts w:ascii="Times New Roman" w:hAnsi="Times New Roman"/>
          <w:noProof/>
          <w:sz w:val="24"/>
          <w:lang w:val="pl-PL"/>
        </w:rPr>
        <w:t xml:space="preserve"> korzyści</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pro</w:t>
      </w:r>
      <w:r w:rsidRPr="00F97E98">
        <w:rPr>
          <w:rFonts w:ascii="Times New Roman" w:hAnsi="Times New Roman"/>
          <w:noProof/>
          <w:sz w:val="24"/>
          <w:lang w:val="pl-PL"/>
        </w:rPr>
        <w:t>duktów. Ponieważ produkt wygładzający profil zapotrzebowania ma na celu zmniejszenie</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esunięcie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cza</w:t>
      </w:r>
      <w:r w:rsidRPr="00F97E98">
        <w:rPr>
          <w:rFonts w:ascii="Times New Roman" w:hAnsi="Times New Roman"/>
          <w:noProof/>
          <w:sz w:val="24"/>
          <w:lang w:val="pl-PL"/>
        </w:rPr>
        <w:t>sie zużycia energii elektrycznej, we wniosku ograniczono zakres działania tego produktu do odpowiedzi odbioru.</w:t>
      </w:r>
    </w:p>
    <w:p w14:paraId="3484D709" w14:textId="18E9EF34" w:rsidR="006C58F3" w:rsidRPr="00F97E98" w:rsidRDefault="0B8AB15C"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We wniosku dotyczącym struktury rynku energii elektrycznej wezwano ponadto państwa członkowskie do oceny ich potrzeb</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elastyczności systemu energetycznego,</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uwz</w:t>
      </w:r>
      <w:r w:rsidRPr="00F97E98">
        <w:rPr>
          <w:rFonts w:ascii="Times New Roman" w:hAnsi="Times New Roman"/>
          <w:noProof/>
          <w:sz w:val="24"/>
          <w:lang w:val="pl-PL"/>
        </w:rPr>
        <w:t>ględnieniem odpowiedzi odbioru, oraz ustanowienia celów służących realizacji tych potrzeb. Wniosek zapewnia również państwom członkowskim możliwość opracowania lub przeprojektowania mechanizmów zdolności wytwórczych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cel</w:t>
      </w:r>
      <w:r w:rsidRPr="00F97E98">
        <w:rPr>
          <w:rFonts w:ascii="Times New Roman" w:hAnsi="Times New Roman"/>
          <w:noProof/>
          <w:sz w:val="24"/>
          <w:lang w:val="pl-PL"/>
        </w:rPr>
        <w:t>u promowania elastyczności niskoemisyjnej oraz wprowadzenia nowych systemów wsparcia na rzecz elastyczności opartej na źródłach niekopalnych na rynkach energii elektrycznej. Co więcej,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eciwieństwie do powodów wprowadzenia środków na rzecz ograniczenia zapotrzebowania określonych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Rady, które miało na celu osiągnięcie celów</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zmniejszenia zapotrzebowania we wszystkich państwach członkowskich ze względu na sytuację kryzysową, we wniosku dotyczącym struktury rynku energii elektrycznej uwzględniono odpowiedź odbioru</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spo</w:t>
      </w:r>
      <w:r w:rsidRPr="00F97E98">
        <w:rPr>
          <w:rFonts w:ascii="Times New Roman" w:hAnsi="Times New Roman"/>
          <w:noProof/>
          <w:sz w:val="24"/>
          <w:lang w:val="pl-PL"/>
        </w:rPr>
        <w:t>sób bardziej strukturalny. Wniosek umożliwia państwom członkowskim opracowanie własnych mechanizmów elastyczności opartej na źródłach niekopalnych</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okr</w:t>
      </w:r>
      <w:r w:rsidRPr="00F97E98">
        <w:rPr>
          <w:rFonts w:ascii="Times New Roman" w:hAnsi="Times New Roman"/>
          <w:noProof/>
          <w:sz w:val="24"/>
          <w:lang w:val="pl-PL"/>
        </w:rPr>
        <w:t>eślenie celów</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odpowiedzi odbioru</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mag</w:t>
      </w:r>
      <w:r w:rsidRPr="00F97E98">
        <w:rPr>
          <w:rFonts w:ascii="Times New Roman" w:hAnsi="Times New Roman"/>
          <w:noProof/>
          <w:sz w:val="24"/>
          <w:lang w:val="pl-PL"/>
        </w:rPr>
        <w:t>azynowania, dostosowanych do konkretnych potrzeb ich systemów elektroenergetycznych</w:t>
      </w:r>
      <w:r w:rsidR="00534316" w:rsidRPr="00F97E98">
        <w:rPr>
          <w:rFonts w:ascii="Times New Roman" w:hAnsi="Times New Roman"/>
          <w:noProof/>
          <w:sz w:val="24"/>
          <w:lang w:val="pl-PL"/>
        </w:rPr>
        <w:t>. Z</w:t>
      </w:r>
      <w:r w:rsidR="00534316">
        <w:rPr>
          <w:rFonts w:ascii="Times New Roman" w:hAnsi="Times New Roman"/>
          <w:noProof/>
          <w:sz w:val="24"/>
          <w:lang w:val="pl-PL"/>
        </w:rPr>
        <w:t> </w:t>
      </w:r>
      <w:r w:rsidR="00534316" w:rsidRPr="00F97E98">
        <w:rPr>
          <w:rFonts w:ascii="Times New Roman" w:hAnsi="Times New Roman"/>
          <w:noProof/>
          <w:sz w:val="24"/>
          <w:lang w:val="pl-PL"/>
        </w:rPr>
        <w:t>teg</w:t>
      </w:r>
      <w:r w:rsidRPr="00F97E98">
        <w:rPr>
          <w:rFonts w:ascii="Times New Roman" w:hAnsi="Times New Roman"/>
          <w:noProof/>
          <w:sz w:val="24"/>
          <w:lang w:val="pl-PL"/>
        </w:rPr>
        <w:t xml:space="preserve">o powodu we wniosku nie określono konkretnych celów. </w:t>
      </w:r>
    </w:p>
    <w:p w14:paraId="673A3BC0" w14:textId="6AF8BDA4" w:rsidR="3FE8F640" w:rsidRPr="00F97E98" w:rsidRDefault="3EB02FF3"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Komisja zwraca również uwagę, że obecnie trwają prace nad nowym kodeksem sieci dotyczącym odpowiedzi odbioru. Oczekuje się, że po zakończeniu prac kodeks ten będzie zawierał wiążące zasady dotyczące agregacji, magazynowania energii</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ogr</w:t>
      </w:r>
      <w:r w:rsidRPr="00F97E98">
        <w:rPr>
          <w:rFonts w:ascii="Times New Roman" w:hAnsi="Times New Roman"/>
          <w:noProof/>
          <w:sz w:val="24"/>
          <w:lang w:val="pl-PL"/>
        </w:rPr>
        <w:t>aniczania zapotrzebowania, co dodatkowo ułatwi uczestnictwo odpowiedzi odbioru we wszystkich istniejących rynkach</w:t>
      </w:r>
      <w:r w:rsidRPr="00F97E98">
        <w:rPr>
          <w:rStyle w:val="FootnoteReference"/>
          <w:rFonts w:ascii="Times New Roman" w:eastAsia="Times New Roman" w:hAnsi="Times New Roman" w:cs="Times New Roman"/>
          <w:noProof/>
          <w:sz w:val="24"/>
          <w:lang w:val="pl-PL"/>
        </w:rPr>
        <w:footnoteReference w:id="18"/>
      </w:r>
      <w:r w:rsidRPr="00F97E98">
        <w:rPr>
          <w:noProof/>
          <w:lang w:val="pl-PL"/>
        </w:rPr>
        <w:t>.</w:t>
      </w:r>
    </w:p>
    <w:p w14:paraId="40131987" w14:textId="1A06D7A6" w:rsidR="00795FEE" w:rsidRPr="00F97E98" w:rsidRDefault="11B4B9E7"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Biorąc pod uwagę informacje obecnie dostępne Komisji,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 xml:space="preserve"> obecne oczekiwania rynku, jak określono powyżej, Komisja nie widzi obecnie potrzeby przedłużania okresu obowiązywania środków na rzecz ograniczenia zapotrzebowania określonych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 xml:space="preserve">porządzeniu Rady. </w:t>
      </w:r>
    </w:p>
    <w:p w14:paraId="3A9E7FFB" w14:textId="6E030A49" w:rsidR="000B2F94" w:rsidRPr="000B2F94" w:rsidRDefault="7900E14D" w:rsidP="000B2F94">
      <w:pPr>
        <w:pStyle w:val="Heading1"/>
        <w:keepNext w:val="0"/>
        <w:keepLines w:val="0"/>
        <w:spacing w:before="120" w:after="120" w:line="360" w:lineRule="auto"/>
        <w:rPr>
          <w:rFonts w:ascii="Times New Roman" w:eastAsia="Times New Roman" w:hAnsi="Times New Roman" w:cs="Times New Roman"/>
          <w:noProof/>
          <w:color w:val="auto"/>
        </w:rPr>
      </w:pPr>
      <w:bookmarkStart w:id="12" w:name="_Toc137741651"/>
      <w:bookmarkStart w:id="13" w:name="_Toc1038830798"/>
      <w:bookmarkStart w:id="14" w:name="_Toc1343108164"/>
      <w:r w:rsidRPr="000B2F94">
        <w:rPr>
          <w:rFonts w:ascii="Times New Roman" w:hAnsi="Times New Roman"/>
          <w:noProof/>
          <w:color w:val="auto"/>
          <w:lang w:val="pl-PL"/>
        </w:rPr>
        <w:t>Pułap dochodów inframarginalnych</w:t>
      </w:r>
      <w:bookmarkEnd w:id="12"/>
      <w:bookmarkEnd w:id="13"/>
      <w:bookmarkEnd w:id="14"/>
    </w:p>
    <w:p w14:paraId="7061E077" w14:textId="77777777" w:rsidR="00AF2F1C" w:rsidRPr="00F97E98" w:rsidRDefault="7263DAA4" w:rsidP="2B9E9F58">
      <w:pPr>
        <w:spacing w:before="120" w:after="120" w:line="360" w:lineRule="auto"/>
        <w:jc w:val="both"/>
        <w:rPr>
          <w:rFonts w:ascii="Times New Roman" w:eastAsia="Times New Roman" w:hAnsi="Times New Roman" w:cs="Times New Roman"/>
          <w:i/>
          <w:noProof/>
          <w:sz w:val="24"/>
          <w:lang w:val="pl-PL"/>
        </w:rPr>
      </w:pPr>
      <w:r w:rsidRPr="00F97E98">
        <w:rPr>
          <w:rFonts w:ascii="Times New Roman" w:hAnsi="Times New Roman"/>
          <w:i/>
          <w:noProof/>
          <w:sz w:val="24"/>
          <w:lang w:val="pl-PL"/>
        </w:rPr>
        <w:t>Wdrożenie pułapu dochodów</w:t>
      </w:r>
    </w:p>
    <w:p w14:paraId="75ED3A26" w14:textId="52C16D83" w:rsidR="001A2015" w:rsidRPr="00534316" w:rsidRDefault="100B5774"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Na podstawie informacji przekazanych przez państwa członkowskie składające sprawozdania wdrożenie pułapu dochodów inframarginalnych przebiegało</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spo</w:t>
      </w:r>
      <w:r w:rsidRPr="00F97E98">
        <w:rPr>
          <w:rFonts w:ascii="Times New Roman" w:hAnsi="Times New Roman"/>
          <w:noProof/>
          <w:sz w:val="24"/>
          <w:lang w:val="pl-PL"/>
        </w:rPr>
        <w:t>sób bardzo zróżnicowany. Zróżnicowane wdrażanie obserwuje się nie tylko</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odn</w:t>
      </w:r>
      <w:r w:rsidRPr="00F97E98">
        <w:rPr>
          <w:rFonts w:ascii="Times New Roman" w:hAnsi="Times New Roman"/>
          <w:noProof/>
          <w:sz w:val="24"/>
          <w:lang w:val="pl-PL"/>
        </w:rPr>
        <w:t>iesieniu do poziomu, na którym ustalono pułap dochodów (siedemnaście państw członkowskich ustaliło pułap poniżej 180 EUR/MWh</w:t>
      </w:r>
      <w:r w:rsidRPr="00F97E98">
        <w:rPr>
          <w:rStyle w:val="FootnoteReference"/>
          <w:rFonts w:ascii="Times New Roman" w:eastAsia="Times New Roman" w:hAnsi="Times New Roman" w:cs="Times New Roman"/>
          <w:noProof/>
          <w:sz w:val="24"/>
          <w:lang w:val="pl-PL"/>
        </w:rPr>
        <w:footnoteReference w:id="19"/>
      </w:r>
      <w:r w:rsidRPr="00F97E98">
        <w:rPr>
          <w:rFonts w:ascii="Times New Roman" w:hAnsi="Times New Roman"/>
          <w:noProof/>
          <w:sz w:val="24"/>
          <w:lang w:val="pl-PL"/>
        </w:rPr>
        <w:t>), ale także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odn</w:t>
      </w:r>
      <w:r w:rsidRPr="00F97E98">
        <w:rPr>
          <w:rFonts w:ascii="Times New Roman" w:hAnsi="Times New Roman"/>
          <w:noProof/>
          <w:sz w:val="24"/>
          <w:lang w:val="pl-PL"/>
        </w:rPr>
        <w:t>iesieniu do zakresu czasowego środków (siedem</w:t>
      </w:r>
      <w:r w:rsidRPr="00F97E98">
        <w:rPr>
          <w:rStyle w:val="FootnoteReference"/>
          <w:rFonts w:ascii="Times New Roman" w:eastAsia="Times New Roman" w:hAnsi="Times New Roman" w:cs="Times New Roman"/>
          <w:noProof/>
          <w:sz w:val="24"/>
          <w:lang w:val="pl-PL"/>
        </w:rPr>
        <w:footnoteReference w:id="20"/>
      </w:r>
      <w:r w:rsidRPr="00F97E98">
        <w:rPr>
          <w:rFonts w:ascii="Times New Roman" w:hAnsi="Times New Roman"/>
          <w:noProof/>
          <w:sz w:val="24"/>
          <w:lang w:val="pl-PL"/>
        </w:rPr>
        <w:t xml:space="preserve"> państw członkowskich stosuje pułap</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moc</w:t>
      </w:r>
      <w:r w:rsidRPr="00F97E98">
        <w:rPr>
          <w:rFonts w:ascii="Times New Roman" w:hAnsi="Times New Roman"/>
          <w:noProof/>
          <w:sz w:val="24"/>
          <w:lang w:val="pl-PL"/>
        </w:rPr>
        <w:t>ą wsteczną,</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jed</w:t>
      </w:r>
      <w:r w:rsidRPr="00F97E98">
        <w:rPr>
          <w:rFonts w:ascii="Times New Roman" w:hAnsi="Times New Roman"/>
          <w:noProof/>
          <w:sz w:val="24"/>
          <w:lang w:val="pl-PL"/>
        </w:rPr>
        <w:t>enaście</w:t>
      </w:r>
      <w:r w:rsidRPr="00F97E98">
        <w:rPr>
          <w:rStyle w:val="FootnoteReference"/>
          <w:rFonts w:ascii="Times New Roman" w:eastAsia="Times New Roman" w:hAnsi="Times New Roman" w:cs="Times New Roman"/>
          <w:noProof/>
          <w:sz w:val="24"/>
          <w:lang w:val="pl-PL"/>
        </w:rPr>
        <w:footnoteReference w:id="21"/>
      </w:r>
      <w:r w:rsidRPr="00F97E98">
        <w:rPr>
          <w:rFonts w:ascii="Times New Roman" w:hAnsi="Times New Roman"/>
          <w:noProof/>
          <w:sz w:val="24"/>
          <w:lang w:val="pl-PL"/>
        </w:rPr>
        <w:t xml:space="preserve"> państw członkowskich będzie go stosować po dacie końcowej określonej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Rady</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spr</w:t>
      </w:r>
      <w:r w:rsidRPr="00F97E98">
        <w:rPr>
          <w:rFonts w:ascii="Times New Roman" w:hAnsi="Times New Roman"/>
          <w:noProof/>
          <w:sz w:val="24"/>
          <w:lang w:val="pl-PL"/>
        </w:rPr>
        <w:t>awie tego środka)</w:t>
      </w:r>
      <w:r w:rsidRPr="00534316">
        <w:rPr>
          <w:rFonts w:ascii="Times New Roman" w:hAnsi="Times New Roman"/>
          <w:noProof/>
          <w:sz w:val="24"/>
          <w:lang w:val="pl-PL"/>
        </w:rPr>
        <w:t>.</w:t>
      </w:r>
      <w:r w:rsidR="00534316" w:rsidRPr="00534316">
        <w:rPr>
          <w:rFonts w:ascii="Times New Roman" w:hAnsi="Times New Roman"/>
          <w:noProof/>
          <w:sz w:val="24"/>
          <w:lang w:val="pl-PL"/>
        </w:rPr>
        <w:t xml:space="preserve"> </w:t>
      </w:r>
    </w:p>
    <w:p w14:paraId="28DCCD00" w14:textId="3E8CD38A" w:rsidR="00AF2F1C" w:rsidRPr="00F97E98" w:rsidRDefault="111333D6"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Kilka państw członkowskich poinformowało</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tru</w:t>
      </w:r>
      <w:r w:rsidRPr="00F97E98">
        <w:rPr>
          <w:rFonts w:ascii="Times New Roman" w:hAnsi="Times New Roman"/>
          <w:noProof/>
          <w:sz w:val="24"/>
          <w:lang w:val="pl-PL"/>
        </w:rPr>
        <w:t>dnościach</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wdr</w:t>
      </w:r>
      <w:r w:rsidRPr="00F97E98">
        <w:rPr>
          <w:rFonts w:ascii="Times New Roman" w:hAnsi="Times New Roman"/>
          <w:noProof/>
          <w:sz w:val="24"/>
          <w:lang w:val="pl-PL"/>
        </w:rPr>
        <w:t>ożeniem tego środka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ich</w:t>
      </w:r>
      <w:r w:rsidRPr="00F97E98">
        <w:rPr>
          <w:rFonts w:ascii="Times New Roman" w:hAnsi="Times New Roman"/>
          <w:noProof/>
          <w:sz w:val="24"/>
          <w:lang w:val="pl-PL"/>
        </w:rPr>
        <w:t xml:space="preserve"> jurysdykcjach krajowych. Większość</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nic</w:t>
      </w:r>
      <w:r w:rsidRPr="00F97E98">
        <w:rPr>
          <w:rFonts w:ascii="Times New Roman" w:hAnsi="Times New Roman"/>
          <w:noProof/>
          <w:sz w:val="24"/>
          <w:lang w:val="pl-PL"/>
        </w:rPr>
        <w:t>h dotyczyła krótkich terminów,</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któ</w:t>
      </w:r>
      <w:r w:rsidRPr="00F97E98">
        <w:rPr>
          <w:rFonts w:ascii="Times New Roman" w:hAnsi="Times New Roman"/>
          <w:noProof/>
          <w:sz w:val="24"/>
          <w:lang w:val="pl-PL"/>
        </w:rPr>
        <w:t>rych państwa członkowskie miały wdrożyć ten środek, podczas gdy inne były związane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gro</w:t>
      </w:r>
      <w:r w:rsidRPr="00F97E98">
        <w:rPr>
          <w:rFonts w:ascii="Times New Roman" w:hAnsi="Times New Roman"/>
          <w:noProof/>
          <w:sz w:val="24"/>
          <w:lang w:val="pl-PL"/>
        </w:rPr>
        <w:t>madzeniem danych</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obl</w:t>
      </w:r>
      <w:r w:rsidRPr="00F97E98">
        <w:rPr>
          <w:rFonts w:ascii="Times New Roman" w:hAnsi="Times New Roman"/>
          <w:noProof/>
          <w:sz w:val="24"/>
          <w:lang w:val="pl-PL"/>
        </w:rPr>
        <w:t>iczaniem dochodów każdego wytwórcy energii elektrycznej, który byłby objęty tym środkiem. Państwa członkowskie poinformowały również</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kon</w:t>
      </w:r>
      <w:r w:rsidRPr="00F97E98">
        <w:rPr>
          <w:rFonts w:ascii="Times New Roman" w:hAnsi="Times New Roman"/>
          <w:noProof/>
          <w:sz w:val="24"/>
          <w:lang w:val="pl-PL"/>
        </w:rPr>
        <w:t>fliktach</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odp</w:t>
      </w:r>
      <w:r w:rsidRPr="00F97E98">
        <w:rPr>
          <w:rFonts w:ascii="Times New Roman" w:hAnsi="Times New Roman"/>
          <w:noProof/>
          <w:sz w:val="24"/>
          <w:lang w:val="pl-PL"/>
        </w:rPr>
        <w:t>owiednimi krajowymi organami podatkowymi</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obo</w:t>
      </w:r>
      <w:r w:rsidRPr="00F97E98">
        <w:rPr>
          <w:rFonts w:ascii="Times New Roman" w:hAnsi="Times New Roman"/>
          <w:noProof/>
          <w:sz w:val="24"/>
          <w:lang w:val="pl-PL"/>
        </w:rPr>
        <w:t xml:space="preserve">wiązującymi przepisami podczas omawiania sposobów wdrożenia pułapu dochodów. </w:t>
      </w:r>
    </w:p>
    <w:p w14:paraId="39B142F4" w14:textId="6D116A60" w:rsidR="000C7440" w:rsidRPr="00F97E98" w:rsidRDefault="4BFFB794"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Chociaż państwa członkowskie nie zgłosiły poważnych przeszkód</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han</w:t>
      </w:r>
      <w:r w:rsidRPr="00F97E98">
        <w:rPr>
          <w:rFonts w:ascii="Times New Roman" w:hAnsi="Times New Roman"/>
          <w:noProof/>
          <w:sz w:val="24"/>
          <w:lang w:val="pl-PL"/>
        </w:rPr>
        <w:t>dlu transgranicznym lub działaniach przetargowych, niektórzy respondenci uczestniczący</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kon</w:t>
      </w:r>
      <w:r w:rsidRPr="00F97E98">
        <w:rPr>
          <w:rFonts w:ascii="Times New Roman" w:hAnsi="Times New Roman"/>
          <w:noProof/>
          <w:sz w:val="24"/>
          <w:lang w:val="pl-PL"/>
        </w:rPr>
        <w:t>sultacjach publicznych wyrazili obawy, że różnorodność strategii wdrażania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pań</w:t>
      </w:r>
      <w:r w:rsidRPr="00F97E98">
        <w:rPr>
          <w:rFonts w:ascii="Times New Roman" w:hAnsi="Times New Roman"/>
          <w:noProof/>
          <w:sz w:val="24"/>
          <w:lang w:val="pl-PL"/>
        </w:rPr>
        <w:t>stwach członkowskich spowodowała niepewność regulacyjną dla uczestników rynku</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był</w:t>
      </w:r>
      <w:r w:rsidRPr="00F97E98">
        <w:rPr>
          <w:rFonts w:ascii="Times New Roman" w:hAnsi="Times New Roman"/>
          <w:noProof/>
          <w:sz w:val="24"/>
          <w:lang w:val="pl-PL"/>
        </w:rPr>
        <w:t>a postrzegana jako bariera dla nowych inwestycji.</w:t>
      </w:r>
    </w:p>
    <w:p w14:paraId="60626F31" w14:textId="77777777" w:rsidR="00AF2F1C" w:rsidRPr="00F97E98" w:rsidRDefault="7263DAA4" w:rsidP="2B9E9F58">
      <w:pPr>
        <w:spacing w:before="120" w:after="120" w:line="360" w:lineRule="auto"/>
        <w:jc w:val="both"/>
        <w:rPr>
          <w:rFonts w:ascii="Times New Roman" w:eastAsia="Times New Roman" w:hAnsi="Times New Roman" w:cs="Times New Roman"/>
          <w:i/>
          <w:noProof/>
          <w:sz w:val="24"/>
          <w:lang w:val="pl-PL"/>
        </w:rPr>
      </w:pPr>
      <w:r w:rsidRPr="00F97E98">
        <w:rPr>
          <w:rFonts w:ascii="Times New Roman" w:hAnsi="Times New Roman"/>
          <w:i/>
          <w:noProof/>
          <w:sz w:val="24"/>
          <w:lang w:val="pl-PL"/>
        </w:rPr>
        <w:t>Dochody wygenerowane dzięki wdrożeniu pułapu dochodów</w:t>
      </w:r>
    </w:p>
    <w:p w14:paraId="3B50A1DD" w14:textId="447A08CA" w:rsidR="42BC1213" w:rsidRPr="00F97E98" w:rsidRDefault="223C9FD3" w:rsidP="2B9E9F58">
      <w:pPr>
        <w:spacing w:before="120" w:after="120" w:line="360" w:lineRule="auto"/>
        <w:jc w:val="both"/>
        <w:rPr>
          <w:rStyle w:val="FootnoteReference"/>
          <w:rFonts w:ascii="Times New Roman" w:eastAsia="Times New Roman" w:hAnsi="Times New Roman" w:cs="Times New Roman"/>
          <w:noProof/>
          <w:sz w:val="24"/>
          <w:lang w:val="pl-PL"/>
        </w:rPr>
      </w:pPr>
      <w:r w:rsidRPr="00F97E98">
        <w:rPr>
          <w:rFonts w:ascii="Times New Roman" w:hAnsi="Times New Roman"/>
          <w:noProof/>
          <w:sz w:val="24"/>
          <w:lang w:val="pl-PL"/>
        </w:rPr>
        <w:t>Należy pamiętać, że państwa członkowskie przedłożyły swoje sprawozdania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ter</w:t>
      </w:r>
      <w:r w:rsidRPr="00F97E98">
        <w:rPr>
          <w:rFonts w:ascii="Times New Roman" w:hAnsi="Times New Roman"/>
          <w:noProof/>
          <w:sz w:val="24"/>
          <w:lang w:val="pl-PL"/>
        </w:rPr>
        <w:t>minie kilku miesięcy po wejściu</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życ</w:t>
      </w:r>
      <w:r w:rsidRPr="00F97E98">
        <w:rPr>
          <w:rFonts w:ascii="Times New Roman" w:hAnsi="Times New Roman"/>
          <w:noProof/>
          <w:sz w:val="24"/>
          <w:lang w:val="pl-PL"/>
        </w:rPr>
        <w:t>ie pułapu dochodów inframarginalnych, a do tego czasu większość</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nic</w:t>
      </w:r>
      <w:r w:rsidRPr="00F97E98">
        <w:rPr>
          <w:rFonts w:ascii="Times New Roman" w:hAnsi="Times New Roman"/>
          <w:noProof/>
          <w:sz w:val="24"/>
          <w:lang w:val="pl-PL"/>
        </w:rPr>
        <w:t>h nadal nie dysponowała informacjami na temat dochodów uzyskanych dzięki temu środkowi. Tylko dwa państwa członkowskie przedstawiły wstępne dane liczbowe: Bułgaria poinformowała, że zgromadziła kwotę 321 700 123 BGN (około 163 mln EUR)</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gru</w:t>
      </w:r>
      <w:r w:rsidRPr="00F97E98">
        <w:rPr>
          <w:rFonts w:ascii="Times New Roman" w:hAnsi="Times New Roman"/>
          <w:noProof/>
          <w:sz w:val="24"/>
          <w:lang w:val="pl-PL"/>
        </w:rPr>
        <w:t>dniu 20</w:t>
      </w:r>
      <w:r w:rsidRPr="00534316">
        <w:rPr>
          <w:rFonts w:ascii="Times New Roman" w:hAnsi="Times New Roman"/>
          <w:noProof/>
          <w:sz w:val="24"/>
          <w:lang w:val="pl-PL"/>
        </w:rPr>
        <w:t>22</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Lit</w:t>
      </w:r>
      <w:r w:rsidRPr="00F97E98">
        <w:rPr>
          <w:rFonts w:ascii="Times New Roman" w:hAnsi="Times New Roman"/>
          <w:noProof/>
          <w:sz w:val="24"/>
          <w:lang w:val="pl-PL"/>
        </w:rPr>
        <w:t xml:space="preserve">wa zgłosiła, że </w:t>
      </w:r>
      <w:r w:rsidRPr="00534316">
        <w:rPr>
          <w:rFonts w:ascii="Times New Roman" w:hAnsi="Times New Roman"/>
          <w:noProof/>
          <w:sz w:val="24"/>
          <w:lang w:val="pl-PL"/>
        </w:rPr>
        <w:t>do</w:t>
      </w:r>
      <w:r w:rsidR="00534316" w:rsidRPr="00534316">
        <w:rPr>
          <w:rFonts w:ascii="Times New Roman" w:hAnsi="Times New Roman"/>
          <w:noProof/>
          <w:sz w:val="24"/>
          <w:lang w:val="pl-PL"/>
        </w:rPr>
        <w:t> </w:t>
      </w:r>
      <w:r w:rsidRPr="00534316">
        <w:rPr>
          <w:rFonts w:ascii="Times New Roman" w:hAnsi="Times New Roman"/>
          <w:noProof/>
          <w:sz w:val="24"/>
          <w:lang w:val="pl-PL"/>
        </w:rPr>
        <w:t>9</w:t>
      </w:r>
      <w:r w:rsidRPr="00F97E98">
        <w:rPr>
          <w:rFonts w:ascii="Times New Roman" w:hAnsi="Times New Roman"/>
          <w:noProof/>
          <w:sz w:val="24"/>
          <w:lang w:val="pl-PL"/>
        </w:rPr>
        <w:t xml:space="preserve"> marca 20</w:t>
      </w:r>
      <w:r w:rsidRPr="00534316">
        <w:rPr>
          <w:rFonts w:ascii="Times New Roman" w:hAnsi="Times New Roman"/>
          <w:noProof/>
          <w:sz w:val="24"/>
          <w:lang w:val="pl-PL"/>
        </w:rPr>
        <w:t>23</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 xml:space="preserve"> zgromadzono około 10 mln EUR. Chociaż Grecja, Hiszpania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Wło</w:t>
      </w:r>
      <w:r w:rsidRPr="00F97E98">
        <w:rPr>
          <w:rFonts w:ascii="Times New Roman" w:hAnsi="Times New Roman"/>
          <w:noProof/>
          <w:sz w:val="24"/>
          <w:lang w:val="pl-PL"/>
        </w:rPr>
        <w:t>chy były</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sta</w:t>
      </w:r>
      <w:r w:rsidRPr="00F97E98">
        <w:rPr>
          <w:rFonts w:ascii="Times New Roman" w:hAnsi="Times New Roman"/>
          <w:noProof/>
          <w:sz w:val="24"/>
          <w:lang w:val="pl-PL"/>
        </w:rPr>
        <w:t xml:space="preserve">nie przedstawić dane liczbowe, odnosiły się one do dochodów uzyskanych przed przyjęciem rozporządzenia Rady, ponieważ państwa te wdrożyły środki równoważne pułapowi dochodów przed przyjęciem tego rozporządzenia. </w:t>
      </w:r>
    </w:p>
    <w:p w14:paraId="1F5E66D1" w14:textId="616A7E6E" w:rsidR="0EED26A0" w:rsidRPr="00F97E98" w:rsidRDefault="3A6890CC" w:rsidP="0055297A">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Większości państw członkowskich udało się przedstawić szacunki oczekiwanych dochodów, jednak</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wie</w:t>
      </w:r>
      <w:r w:rsidRPr="00F97E98">
        <w:rPr>
          <w:rFonts w:ascii="Times New Roman" w:hAnsi="Times New Roman"/>
          <w:noProof/>
          <w:sz w:val="24"/>
          <w:lang w:val="pl-PL"/>
        </w:rPr>
        <w:t>lu przypadkach szacunki te opierały się na założeniu bardzo wysokich cen hurtowych energii elektrycznej. Pierwotnie zakładano, że dochody przekroczą łącznie 50 mld EUR. Do czasu sporządzenia sprawozdania wydawało się jednak mało prawdopodobne, by założenia te mogły zostać zrealizowane. Kwota dochodów rozkłada się nierównomiernie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pos</w:t>
      </w:r>
      <w:r w:rsidRPr="00F97E98">
        <w:rPr>
          <w:rFonts w:ascii="Times New Roman" w:hAnsi="Times New Roman"/>
          <w:noProof/>
          <w:sz w:val="24"/>
          <w:lang w:val="pl-PL"/>
        </w:rPr>
        <w:t xml:space="preserve">zczególnych państwach członkowskich – Niemcy przedstawiły wyższe szacunki dotyczące dochodów, które początkowo spodziewały się uzyskać (23,4 mld EUR, biorąc pod uwagę możliwe przedłużenie okresu obowiązywania środka </w:t>
      </w:r>
      <w:r w:rsidRPr="00534316">
        <w:rPr>
          <w:rFonts w:ascii="Times New Roman" w:hAnsi="Times New Roman"/>
          <w:noProof/>
          <w:sz w:val="24"/>
          <w:lang w:val="pl-PL"/>
        </w:rPr>
        <w:t>do</w:t>
      </w:r>
      <w:r w:rsidR="00534316" w:rsidRPr="00534316">
        <w:rPr>
          <w:rFonts w:ascii="Times New Roman" w:hAnsi="Times New Roman"/>
          <w:noProof/>
          <w:sz w:val="24"/>
          <w:lang w:val="pl-PL"/>
        </w:rPr>
        <w:t> </w:t>
      </w:r>
      <w:r w:rsidRPr="00534316">
        <w:rPr>
          <w:rFonts w:ascii="Times New Roman" w:hAnsi="Times New Roman"/>
          <w:noProof/>
          <w:sz w:val="24"/>
          <w:lang w:val="pl-PL"/>
        </w:rPr>
        <w:t>3</w:t>
      </w:r>
      <w:r w:rsidRPr="00F97E98">
        <w:rPr>
          <w:rFonts w:ascii="Times New Roman" w:hAnsi="Times New Roman"/>
          <w:noProof/>
          <w:sz w:val="24"/>
          <w:lang w:val="pl-PL"/>
        </w:rPr>
        <w:t>0 kwietnia 20</w:t>
      </w:r>
      <w:r w:rsidRPr="00534316">
        <w:rPr>
          <w:rFonts w:ascii="Times New Roman" w:hAnsi="Times New Roman"/>
          <w:noProof/>
          <w:sz w:val="24"/>
          <w:lang w:val="pl-PL"/>
        </w:rPr>
        <w:t>24</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F97E98">
        <w:rPr>
          <w:rFonts w:ascii="Times New Roman" w:hAnsi="Times New Roman"/>
          <w:noProof/>
          <w:sz w:val="24"/>
          <w:lang w:val="pl-PL"/>
        </w:rPr>
        <w:t>),</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w</w:t>
      </w:r>
      <w:r w:rsidR="00534316">
        <w:rPr>
          <w:rFonts w:ascii="Times New Roman" w:hAnsi="Times New Roman"/>
          <w:noProof/>
          <w:sz w:val="24"/>
          <w:lang w:val="pl-PL"/>
        </w:rPr>
        <w:t> </w:t>
      </w:r>
      <w:r w:rsidR="00534316" w:rsidRPr="00F97E98">
        <w:rPr>
          <w:rFonts w:ascii="Times New Roman" w:hAnsi="Times New Roman"/>
          <w:noProof/>
          <w:sz w:val="24"/>
          <w:lang w:val="pl-PL"/>
        </w:rPr>
        <w:t>dal</w:t>
      </w:r>
      <w:r w:rsidRPr="00F97E98">
        <w:rPr>
          <w:rFonts w:ascii="Times New Roman" w:hAnsi="Times New Roman"/>
          <w:noProof/>
          <w:sz w:val="24"/>
          <w:lang w:val="pl-PL"/>
        </w:rPr>
        <w:t>szej kolejności Francja (11 mld EUR). Należy zauważyć, że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obu</w:t>
      </w:r>
      <w:r w:rsidRPr="00F97E98">
        <w:rPr>
          <w:rFonts w:ascii="Times New Roman" w:hAnsi="Times New Roman"/>
          <w:noProof/>
          <w:sz w:val="24"/>
          <w:lang w:val="pl-PL"/>
        </w:rPr>
        <w:t xml:space="preserve"> państwach pułap dochodów</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odn</w:t>
      </w:r>
      <w:r w:rsidRPr="00F97E98">
        <w:rPr>
          <w:rFonts w:ascii="Times New Roman" w:hAnsi="Times New Roman"/>
          <w:noProof/>
          <w:sz w:val="24"/>
          <w:lang w:val="pl-PL"/>
        </w:rPr>
        <w:t>iesieniu do większości technologii został ustalony znacznie poniżej poziomu 180 EUR/MWh przewidzianego</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Rady,</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sza</w:t>
      </w:r>
      <w:r w:rsidRPr="00F97E98">
        <w:rPr>
          <w:rFonts w:ascii="Times New Roman" w:hAnsi="Times New Roman"/>
          <w:noProof/>
          <w:sz w:val="24"/>
          <w:lang w:val="pl-PL"/>
        </w:rPr>
        <w:t>cunki te opierały się na przewidywanych wysokich hurtowych cenach energii elektrycznej. Inne państwa członkowskie, zwłaszcza te, które nie ustaliły poziomu limitu niższego niż 180 EUR/MWh, przewidywały, że uzyskają niższe kwoty.</w:t>
      </w:r>
    </w:p>
    <w:p w14:paraId="039B1701" w14:textId="77777777" w:rsidR="000C7440" w:rsidRPr="00F97E98" w:rsidRDefault="4190FFA6" w:rsidP="2B9E9F58">
      <w:pPr>
        <w:spacing w:before="120" w:after="120" w:line="360" w:lineRule="auto"/>
        <w:jc w:val="both"/>
        <w:rPr>
          <w:rFonts w:ascii="Times New Roman" w:eastAsia="Times New Roman" w:hAnsi="Times New Roman" w:cs="Times New Roman"/>
          <w:i/>
          <w:noProof/>
          <w:sz w:val="24"/>
          <w:lang w:val="pl-PL"/>
        </w:rPr>
      </w:pPr>
      <w:r w:rsidRPr="00F97E98">
        <w:rPr>
          <w:rFonts w:ascii="Times New Roman" w:hAnsi="Times New Roman"/>
          <w:i/>
          <w:noProof/>
          <w:sz w:val="24"/>
          <w:lang w:val="pl-PL"/>
        </w:rPr>
        <w:t>Ocena dotycząca przedłużenia okresu obowiązywania środka</w:t>
      </w:r>
    </w:p>
    <w:p w14:paraId="6FCE21E1" w14:textId="379114FC" w:rsidR="005C7083" w:rsidRPr="00534316" w:rsidRDefault="6506D079"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Na wstępie należy przypomnieć, że uzasadnieniem dla wprowadzenia pułapu dochodów inframarginalnych było umożliwienie państwom członkowskim pobierania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red</w:t>
      </w:r>
      <w:r w:rsidRPr="00F97E98">
        <w:rPr>
          <w:rFonts w:ascii="Times New Roman" w:hAnsi="Times New Roman"/>
          <w:noProof/>
          <w:sz w:val="24"/>
          <w:lang w:val="pl-PL"/>
        </w:rPr>
        <w:t>ystrybucji nadmiernych dochodów uzyskiwanych wyjątkowo przez niektórych wytwórców inframarginalnych, przy jednoczesnym zachowaniu konkurencji cenowej między producentami energii elektrycznej (w szczególności opartej na odnawialnych źródłach energii)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cał</w:t>
      </w:r>
      <w:r w:rsidRPr="00F97E98">
        <w:rPr>
          <w:rFonts w:ascii="Times New Roman" w:hAnsi="Times New Roman"/>
          <w:noProof/>
          <w:sz w:val="24"/>
          <w:lang w:val="pl-PL"/>
        </w:rPr>
        <w:t>ej UE</w:t>
      </w:r>
      <w:r w:rsidRPr="00534316">
        <w:rPr>
          <w:rFonts w:ascii="Times New Roman" w:hAnsi="Times New Roman"/>
          <w:noProof/>
          <w:sz w:val="24"/>
          <w:lang w:val="pl-PL"/>
        </w:rPr>
        <w:t>.</w:t>
      </w:r>
      <w:r w:rsidR="00534316" w:rsidRPr="00534316">
        <w:rPr>
          <w:rFonts w:ascii="Times New Roman" w:hAnsi="Times New Roman"/>
          <w:noProof/>
          <w:sz w:val="24"/>
          <w:lang w:val="pl-PL"/>
        </w:rPr>
        <w:t xml:space="preserve"> </w:t>
      </w:r>
    </w:p>
    <w:p w14:paraId="51F6AE7F" w14:textId="5FC3784A" w:rsidR="452A5233" w:rsidRPr="00F97E98" w:rsidRDefault="32A04E39" w:rsidP="2B9E9F58">
      <w:pPr>
        <w:spacing w:before="120" w:after="120" w:line="360" w:lineRule="auto"/>
        <w:jc w:val="both"/>
        <w:rPr>
          <w:rStyle w:val="normaltextrun"/>
          <w:rFonts w:ascii="Times New Roman" w:eastAsia="Times New Roman" w:hAnsi="Times New Roman" w:cs="Times New Roman"/>
          <w:noProof/>
          <w:color w:val="000000" w:themeColor="text1"/>
          <w:sz w:val="24"/>
          <w:lang w:val="pl-PL"/>
        </w:rPr>
      </w:pPr>
      <w:r w:rsidRPr="00F97E98">
        <w:rPr>
          <w:rFonts w:ascii="Times New Roman" w:hAnsi="Times New Roman"/>
          <w:noProof/>
          <w:sz w:val="24"/>
          <w:lang w:val="pl-PL"/>
        </w:rPr>
        <w:t>W tym kontekście, ze względu na niższe hurtowe ceny energii elektrycznej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ost</w:t>
      </w:r>
      <w:r w:rsidRPr="00F97E98">
        <w:rPr>
          <w:rFonts w:ascii="Times New Roman" w:hAnsi="Times New Roman"/>
          <w:noProof/>
          <w:sz w:val="24"/>
          <w:lang w:val="pl-PL"/>
        </w:rPr>
        <w:t>atnich miesiącach, pułap dochodów, który został ustalony</w:t>
      </w:r>
      <w:r w:rsidRPr="00F97E98">
        <w:rPr>
          <w:rStyle w:val="normaltextrun"/>
          <w:rFonts w:ascii="Times New Roman" w:hAnsi="Times New Roman"/>
          <w:noProof/>
          <w:color w:val="000000" w:themeColor="text1"/>
          <w:sz w:val="24"/>
          <w:lang w:val="pl-PL"/>
        </w:rPr>
        <w:t xml:space="preserve"> na poziomie maksymalnie 180 EUR/MWh</w:t>
      </w:r>
      <w:r w:rsidRPr="00F97E98">
        <w:rPr>
          <w:rStyle w:val="FootnoteReference"/>
          <w:rFonts w:ascii="Times New Roman" w:eastAsia="Times New Roman" w:hAnsi="Times New Roman" w:cs="Times New Roman"/>
          <w:noProof/>
          <w:color w:val="000000" w:themeColor="text1"/>
          <w:sz w:val="24"/>
          <w:lang w:val="pl-PL"/>
        </w:rPr>
        <w:footnoteReference w:id="22"/>
      </w:r>
      <w:r w:rsidRPr="00F97E98">
        <w:rPr>
          <w:rStyle w:val="normaltextrun"/>
          <w:rFonts w:ascii="Times New Roman" w:hAnsi="Times New Roman"/>
          <w:noProof/>
          <w:color w:val="000000" w:themeColor="text1"/>
          <w:sz w:val="24"/>
          <w:lang w:val="pl-PL"/>
        </w:rPr>
        <w:t>, miał do tej pory istotne skutki głównie</w:t>
      </w:r>
      <w:r w:rsidR="00534316" w:rsidRPr="00F97E98">
        <w:rPr>
          <w:rStyle w:val="normaltextrun"/>
          <w:rFonts w:ascii="Times New Roman" w:hAnsi="Times New Roman"/>
          <w:noProof/>
          <w:color w:val="000000" w:themeColor="text1"/>
          <w:sz w:val="24"/>
          <w:lang w:val="pl-PL"/>
        </w:rPr>
        <w:t xml:space="preserve"> w</w:t>
      </w:r>
      <w:r w:rsidR="00534316">
        <w:rPr>
          <w:rStyle w:val="normaltextrun"/>
          <w:rFonts w:ascii="Times New Roman" w:hAnsi="Times New Roman"/>
          <w:noProof/>
          <w:color w:val="000000" w:themeColor="text1"/>
          <w:sz w:val="24"/>
          <w:lang w:val="pl-PL"/>
        </w:rPr>
        <w:t> </w:t>
      </w:r>
      <w:r w:rsidR="00534316" w:rsidRPr="00F97E98">
        <w:rPr>
          <w:rStyle w:val="normaltextrun"/>
          <w:rFonts w:ascii="Times New Roman" w:hAnsi="Times New Roman"/>
          <w:noProof/>
          <w:color w:val="000000" w:themeColor="text1"/>
          <w:sz w:val="24"/>
          <w:lang w:val="pl-PL"/>
        </w:rPr>
        <w:t>pań</w:t>
      </w:r>
      <w:r w:rsidRPr="00F97E98">
        <w:rPr>
          <w:rStyle w:val="normaltextrun"/>
          <w:rFonts w:ascii="Times New Roman" w:hAnsi="Times New Roman"/>
          <w:noProof/>
          <w:color w:val="000000" w:themeColor="text1"/>
          <w:sz w:val="24"/>
          <w:lang w:val="pl-PL"/>
        </w:rPr>
        <w:t>stwach członkowskich, które zgodnie</w:t>
      </w:r>
      <w:r w:rsidR="00534316" w:rsidRPr="00F97E98">
        <w:rPr>
          <w:rStyle w:val="normaltextrun"/>
          <w:rFonts w:ascii="Times New Roman" w:hAnsi="Times New Roman"/>
          <w:noProof/>
          <w:color w:val="000000" w:themeColor="text1"/>
          <w:sz w:val="24"/>
          <w:lang w:val="pl-PL"/>
        </w:rPr>
        <w:t xml:space="preserve"> z</w:t>
      </w:r>
      <w:r w:rsidR="00534316">
        <w:rPr>
          <w:rStyle w:val="normaltextrun"/>
          <w:rFonts w:ascii="Times New Roman" w:hAnsi="Times New Roman"/>
          <w:noProof/>
          <w:color w:val="000000" w:themeColor="text1"/>
          <w:sz w:val="24"/>
          <w:lang w:val="pl-PL"/>
        </w:rPr>
        <w:t> </w:t>
      </w:r>
      <w:r w:rsidR="00534316" w:rsidRPr="00534316">
        <w:rPr>
          <w:rStyle w:val="normaltextrun"/>
          <w:rFonts w:ascii="Times New Roman" w:hAnsi="Times New Roman"/>
          <w:noProof/>
          <w:color w:val="000000" w:themeColor="text1"/>
          <w:sz w:val="24"/>
          <w:lang w:val="pl-PL"/>
        </w:rPr>
        <w:t>art</w:t>
      </w:r>
      <w:r w:rsidRPr="00534316">
        <w:rPr>
          <w:rStyle w:val="normaltextrun"/>
          <w:rFonts w:ascii="Times New Roman" w:hAnsi="Times New Roman"/>
          <w:noProof/>
          <w:color w:val="000000" w:themeColor="text1"/>
          <w:sz w:val="24"/>
          <w:lang w:val="pl-PL"/>
        </w:rPr>
        <w:t>.</w:t>
      </w:r>
      <w:r w:rsidR="00534316" w:rsidRPr="00534316">
        <w:rPr>
          <w:rStyle w:val="normaltextrun"/>
          <w:rFonts w:ascii="Times New Roman" w:hAnsi="Times New Roman"/>
          <w:noProof/>
          <w:color w:val="000000" w:themeColor="text1"/>
          <w:sz w:val="24"/>
          <w:lang w:val="pl-PL"/>
        </w:rPr>
        <w:t> </w:t>
      </w:r>
      <w:r w:rsidRPr="00534316">
        <w:rPr>
          <w:rStyle w:val="normaltextrun"/>
          <w:rFonts w:ascii="Times New Roman" w:hAnsi="Times New Roman"/>
          <w:noProof/>
          <w:color w:val="000000" w:themeColor="text1"/>
          <w:sz w:val="24"/>
          <w:lang w:val="pl-PL"/>
        </w:rPr>
        <w:t>8</w:t>
      </w:r>
      <w:r w:rsidRPr="00F97E98">
        <w:rPr>
          <w:rStyle w:val="normaltextrun"/>
          <w:rFonts w:ascii="Times New Roman" w:hAnsi="Times New Roman"/>
          <w:noProof/>
          <w:color w:val="000000" w:themeColor="text1"/>
          <w:sz w:val="24"/>
          <w:lang w:val="pl-PL"/>
        </w:rPr>
        <w:t xml:space="preserve"> </w:t>
      </w:r>
      <w:r w:rsidRPr="00534316">
        <w:rPr>
          <w:rStyle w:val="normaltextrun"/>
          <w:rFonts w:ascii="Times New Roman" w:hAnsi="Times New Roman"/>
          <w:noProof/>
          <w:color w:val="000000" w:themeColor="text1"/>
          <w:sz w:val="24"/>
          <w:lang w:val="pl-PL"/>
        </w:rPr>
        <w:t>ust.</w:t>
      </w:r>
      <w:r w:rsidR="00534316" w:rsidRPr="00534316">
        <w:rPr>
          <w:rStyle w:val="normaltextrun"/>
          <w:rFonts w:ascii="Times New Roman" w:hAnsi="Times New Roman"/>
          <w:noProof/>
          <w:color w:val="000000" w:themeColor="text1"/>
          <w:sz w:val="24"/>
          <w:lang w:val="pl-PL"/>
        </w:rPr>
        <w:t> </w:t>
      </w:r>
      <w:r w:rsidRPr="00534316">
        <w:rPr>
          <w:rStyle w:val="normaltextrun"/>
          <w:rFonts w:ascii="Times New Roman" w:hAnsi="Times New Roman"/>
          <w:noProof/>
          <w:color w:val="000000" w:themeColor="text1"/>
          <w:sz w:val="24"/>
          <w:lang w:val="pl-PL"/>
        </w:rPr>
        <w:t>1</w:t>
      </w:r>
      <w:r w:rsidRPr="00F97E98">
        <w:rPr>
          <w:rStyle w:val="normaltextrun"/>
          <w:rFonts w:ascii="Times New Roman" w:hAnsi="Times New Roman"/>
          <w:noProof/>
          <w:color w:val="000000" w:themeColor="text1"/>
          <w:sz w:val="24"/>
          <w:lang w:val="pl-PL"/>
        </w:rPr>
        <w:t xml:space="preserve"> </w:t>
      </w:r>
      <w:r w:rsidRPr="00534316">
        <w:rPr>
          <w:rStyle w:val="normaltextrun"/>
          <w:rFonts w:ascii="Times New Roman" w:hAnsi="Times New Roman"/>
          <w:noProof/>
          <w:color w:val="000000" w:themeColor="text1"/>
          <w:sz w:val="24"/>
          <w:lang w:val="pl-PL"/>
        </w:rPr>
        <w:t>lit.</w:t>
      </w:r>
      <w:r w:rsidR="00534316" w:rsidRPr="00534316">
        <w:rPr>
          <w:rStyle w:val="normaltextrun"/>
          <w:rFonts w:ascii="Times New Roman" w:hAnsi="Times New Roman"/>
          <w:noProof/>
          <w:color w:val="000000" w:themeColor="text1"/>
          <w:sz w:val="24"/>
          <w:lang w:val="pl-PL"/>
        </w:rPr>
        <w:t> </w:t>
      </w:r>
      <w:r w:rsidRPr="00534316">
        <w:rPr>
          <w:rStyle w:val="normaltextrun"/>
          <w:rFonts w:ascii="Times New Roman" w:hAnsi="Times New Roman"/>
          <w:noProof/>
          <w:color w:val="000000" w:themeColor="text1"/>
          <w:sz w:val="24"/>
          <w:lang w:val="pl-PL"/>
        </w:rPr>
        <w:t>a)</w:t>
      </w:r>
      <w:r w:rsidRPr="00F97E98">
        <w:rPr>
          <w:rStyle w:val="normaltextrun"/>
          <w:rFonts w:ascii="Times New Roman" w:hAnsi="Times New Roman"/>
          <w:noProof/>
          <w:color w:val="000000" w:themeColor="text1"/>
          <w:sz w:val="24"/>
          <w:lang w:val="pl-PL"/>
        </w:rPr>
        <w:t xml:space="preserve"> zdecydowały się na wprowadzenie pułapu niższego niż 180 EUR/MWh,</w:t>
      </w:r>
      <w:r w:rsidR="00534316" w:rsidRPr="00F97E98">
        <w:rPr>
          <w:rStyle w:val="normaltextrun"/>
          <w:rFonts w:ascii="Times New Roman" w:hAnsi="Times New Roman"/>
          <w:noProof/>
          <w:color w:val="000000" w:themeColor="text1"/>
          <w:sz w:val="24"/>
          <w:lang w:val="pl-PL"/>
        </w:rPr>
        <w:t xml:space="preserve"> a</w:t>
      </w:r>
      <w:r w:rsidR="00534316">
        <w:rPr>
          <w:rStyle w:val="normaltextrun"/>
          <w:rFonts w:ascii="Times New Roman" w:hAnsi="Times New Roman"/>
          <w:noProof/>
          <w:color w:val="000000" w:themeColor="text1"/>
          <w:sz w:val="24"/>
          <w:lang w:val="pl-PL"/>
        </w:rPr>
        <w:t> </w:t>
      </w:r>
      <w:r w:rsidR="00534316" w:rsidRPr="00F97E98">
        <w:rPr>
          <w:rStyle w:val="normaltextrun"/>
          <w:rFonts w:ascii="Times New Roman" w:hAnsi="Times New Roman"/>
          <w:noProof/>
          <w:color w:val="000000" w:themeColor="text1"/>
          <w:sz w:val="24"/>
          <w:lang w:val="pl-PL"/>
        </w:rPr>
        <w:t>w</w:t>
      </w:r>
      <w:r w:rsidR="00534316">
        <w:rPr>
          <w:rStyle w:val="normaltextrun"/>
          <w:rFonts w:ascii="Times New Roman" w:hAnsi="Times New Roman"/>
          <w:noProof/>
          <w:color w:val="000000" w:themeColor="text1"/>
          <w:sz w:val="24"/>
          <w:lang w:val="pl-PL"/>
        </w:rPr>
        <w:t> </w:t>
      </w:r>
      <w:r w:rsidR="00534316" w:rsidRPr="00F97E98">
        <w:rPr>
          <w:rStyle w:val="normaltextrun"/>
          <w:rFonts w:ascii="Times New Roman" w:hAnsi="Times New Roman"/>
          <w:noProof/>
          <w:color w:val="000000" w:themeColor="text1"/>
          <w:sz w:val="24"/>
          <w:lang w:val="pl-PL"/>
        </w:rPr>
        <w:t>szc</w:t>
      </w:r>
      <w:r w:rsidRPr="00F97E98">
        <w:rPr>
          <w:rStyle w:val="normaltextrun"/>
          <w:rFonts w:ascii="Times New Roman" w:hAnsi="Times New Roman"/>
          <w:noProof/>
          <w:color w:val="000000" w:themeColor="text1"/>
          <w:sz w:val="24"/>
          <w:lang w:val="pl-PL"/>
        </w:rPr>
        <w:t>zególności wystarczająco niskiego, aby uwzględnić inframarginalne dochody</w:t>
      </w:r>
      <w:r w:rsidR="00534316" w:rsidRPr="00F97E98">
        <w:rPr>
          <w:rStyle w:val="normaltextrun"/>
          <w:rFonts w:ascii="Times New Roman" w:hAnsi="Times New Roman"/>
          <w:noProof/>
          <w:color w:val="000000" w:themeColor="text1"/>
          <w:sz w:val="24"/>
          <w:lang w:val="pl-PL"/>
        </w:rPr>
        <w:t xml:space="preserve"> z</w:t>
      </w:r>
      <w:r w:rsidR="00534316">
        <w:rPr>
          <w:rStyle w:val="normaltextrun"/>
          <w:rFonts w:ascii="Times New Roman" w:hAnsi="Times New Roman"/>
          <w:noProof/>
          <w:color w:val="000000" w:themeColor="text1"/>
          <w:sz w:val="24"/>
          <w:lang w:val="pl-PL"/>
        </w:rPr>
        <w:t> </w:t>
      </w:r>
      <w:r w:rsidR="00534316" w:rsidRPr="00F97E98">
        <w:rPr>
          <w:rStyle w:val="normaltextrun"/>
          <w:rFonts w:ascii="Times New Roman" w:hAnsi="Times New Roman"/>
          <w:noProof/>
          <w:color w:val="000000" w:themeColor="text1"/>
          <w:sz w:val="24"/>
          <w:lang w:val="pl-PL"/>
        </w:rPr>
        <w:t>odp</w:t>
      </w:r>
      <w:r w:rsidRPr="00F97E98">
        <w:rPr>
          <w:rStyle w:val="normaltextrun"/>
          <w:rFonts w:ascii="Times New Roman" w:hAnsi="Times New Roman"/>
          <w:noProof/>
          <w:color w:val="000000" w:themeColor="text1"/>
          <w:sz w:val="24"/>
          <w:lang w:val="pl-PL"/>
        </w:rPr>
        <w:t>owiednich cen energii elektrycznej</w:t>
      </w:r>
      <w:r w:rsidR="00534316" w:rsidRPr="00F97E98">
        <w:rPr>
          <w:rStyle w:val="normaltextrun"/>
          <w:rFonts w:ascii="Times New Roman" w:hAnsi="Times New Roman"/>
          <w:noProof/>
          <w:color w:val="000000" w:themeColor="text1"/>
          <w:sz w:val="24"/>
          <w:lang w:val="pl-PL"/>
        </w:rPr>
        <w:t xml:space="preserve"> w</w:t>
      </w:r>
      <w:r w:rsidR="00534316">
        <w:rPr>
          <w:rStyle w:val="normaltextrun"/>
          <w:rFonts w:ascii="Times New Roman" w:hAnsi="Times New Roman"/>
          <w:noProof/>
          <w:color w:val="000000" w:themeColor="text1"/>
          <w:sz w:val="24"/>
          <w:lang w:val="pl-PL"/>
        </w:rPr>
        <w:t> </w:t>
      </w:r>
      <w:r w:rsidR="00534316" w:rsidRPr="00F97E98">
        <w:rPr>
          <w:rStyle w:val="normaltextrun"/>
          <w:rFonts w:ascii="Times New Roman" w:hAnsi="Times New Roman"/>
          <w:noProof/>
          <w:color w:val="000000" w:themeColor="text1"/>
          <w:sz w:val="24"/>
          <w:lang w:val="pl-PL"/>
        </w:rPr>
        <w:t>tyc</w:t>
      </w:r>
      <w:r w:rsidRPr="00F97E98">
        <w:rPr>
          <w:rStyle w:val="normaltextrun"/>
          <w:rFonts w:ascii="Times New Roman" w:hAnsi="Times New Roman"/>
          <w:noProof/>
          <w:color w:val="000000" w:themeColor="text1"/>
          <w:sz w:val="24"/>
          <w:lang w:val="pl-PL"/>
        </w:rPr>
        <w:t xml:space="preserve">h państwach członkowskich. </w:t>
      </w:r>
    </w:p>
    <w:p w14:paraId="7F911E6B" w14:textId="0011E25F" w:rsidR="00800690" w:rsidRPr="00F97E98" w:rsidRDefault="2DB76083"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Jak wspomniano powyżej, pułap dochodów został wdrożony</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bar</w:t>
      </w:r>
      <w:r w:rsidRPr="00F97E98">
        <w:rPr>
          <w:rFonts w:ascii="Times New Roman" w:hAnsi="Times New Roman"/>
          <w:noProof/>
          <w:sz w:val="24"/>
          <w:lang w:val="pl-PL"/>
        </w:rPr>
        <w:t>dzo zróżnicowany sposób</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pos</w:t>
      </w:r>
      <w:r w:rsidRPr="00F97E98">
        <w:rPr>
          <w:rFonts w:ascii="Times New Roman" w:hAnsi="Times New Roman"/>
          <w:noProof/>
          <w:sz w:val="24"/>
          <w:lang w:val="pl-PL"/>
        </w:rPr>
        <w:t>zczególnych państwach członkowskich. Zróżnicowane wdrażanie obserwuje się nie tylko</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odn</w:t>
      </w:r>
      <w:r w:rsidRPr="00F97E98">
        <w:rPr>
          <w:rFonts w:ascii="Times New Roman" w:hAnsi="Times New Roman"/>
          <w:noProof/>
          <w:sz w:val="24"/>
          <w:lang w:val="pl-PL"/>
        </w:rPr>
        <w:t>iesieniu do poziomu, na którym ustalono pułap dochodów, ale także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odn</w:t>
      </w:r>
      <w:r w:rsidRPr="00F97E98">
        <w:rPr>
          <w:rFonts w:ascii="Times New Roman" w:hAnsi="Times New Roman"/>
          <w:noProof/>
          <w:sz w:val="24"/>
          <w:lang w:val="pl-PL"/>
        </w:rPr>
        <w:t>iesieniu do zakresu czasowego jego stosowania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poz</w:t>
      </w:r>
      <w:r w:rsidRPr="00F97E98">
        <w:rPr>
          <w:rFonts w:ascii="Times New Roman" w:hAnsi="Times New Roman"/>
          <w:noProof/>
          <w:sz w:val="24"/>
          <w:lang w:val="pl-PL"/>
        </w:rPr>
        <w:t>iomu pułapu wprowadzonego dla danej technologii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dan</w:t>
      </w:r>
      <w:r w:rsidRPr="00F97E98">
        <w:rPr>
          <w:rFonts w:ascii="Times New Roman" w:hAnsi="Times New Roman"/>
          <w:noProof/>
          <w:sz w:val="24"/>
          <w:lang w:val="pl-PL"/>
        </w:rPr>
        <w:t>ym państwie członkowskim. Komisja została ponadto poinformowana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ram</w:t>
      </w:r>
      <w:r w:rsidRPr="00F97E98">
        <w:rPr>
          <w:rFonts w:ascii="Times New Roman" w:hAnsi="Times New Roman"/>
          <w:noProof/>
          <w:sz w:val="24"/>
          <w:lang w:val="pl-PL"/>
        </w:rPr>
        <w:t>ach wymiany informacji</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zai</w:t>
      </w:r>
      <w:r w:rsidRPr="00F97E98">
        <w:rPr>
          <w:rFonts w:ascii="Times New Roman" w:hAnsi="Times New Roman"/>
          <w:noProof/>
          <w:sz w:val="24"/>
          <w:lang w:val="pl-PL"/>
        </w:rPr>
        <w:t>nteresowanymi stronami i za pośrednictwem skarg, że sposób,</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jak</w:t>
      </w:r>
      <w:r w:rsidRPr="00F97E98">
        <w:rPr>
          <w:rFonts w:ascii="Times New Roman" w:hAnsi="Times New Roman"/>
          <w:noProof/>
          <w:sz w:val="24"/>
          <w:lang w:val="pl-PL"/>
        </w:rPr>
        <w:t>i niektóre państwa członkowskie zdecydowały się wdrożyć pułap dochodów, mógł mieć wpływ na istniejące umowy zakupu energii elektrycznej (</w:t>
      </w:r>
      <w:r w:rsidRPr="00F97E98">
        <w:rPr>
          <w:rFonts w:ascii="Times New Roman" w:hAnsi="Times New Roman"/>
          <w:b/>
          <w:noProof/>
          <w:sz w:val="24"/>
          <w:lang w:val="pl-PL"/>
        </w:rPr>
        <w:t>PPA</w:t>
      </w:r>
      <w:r w:rsidRPr="00F97E98">
        <w:rPr>
          <w:rFonts w:ascii="Times New Roman" w:hAnsi="Times New Roman"/>
          <w:noProof/>
          <w:sz w:val="24"/>
          <w:lang w:val="pl-PL"/>
        </w:rPr>
        <w:t>)</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inn</w:t>
      </w:r>
      <w:r w:rsidRPr="00F97E98">
        <w:rPr>
          <w:rFonts w:ascii="Times New Roman" w:hAnsi="Times New Roman"/>
          <w:noProof/>
          <w:sz w:val="24"/>
          <w:lang w:val="pl-PL"/>
        </w:rPr>
        <w:t>e umowy długoterminowe,</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tak</w:t>
      </w:r>
      <w:r w:rsidRPr="00F97E98">
        <w:rPr>
          <w:rFonts w:ascii="Times New Roman" w:hAnsi="Times New Roman"/>
          <w:noProof/>
          <w:sz w:val="24"/>
          <w:lang w:val="pl-PL"/>
        </w:rPr>
        <w:t>że zniechęcać do zawierania nowych umów</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szc</w:t>
      </w:r>
      <w:r w:rsidRPr="00F97E98">
        <w:rPr>
          <w:rFonts w:ascii="Times New Roman" w:hAnsi="Times New Roman"/>
          <w:noProof/>
          <w:sz w:val="24"/>
          <w:lang w:val="pl-PL"/>
        </w:rPr>
        <w:t>zególności dotyczy to sytuacji,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któ</w:t>
      </w:r>
      <w:r w:rsidRPr="00F97E98">
        <w:rPr>
          <w:rFonts w:ascii="Times New Roman" w:hAnsi="Times New Roman"/>
          <w:noProof/>
          <w:sz w:val="24"/>
          <w:lang w:val="pl-PL"/>
        </w:rPr>
        <w:t>rych pułap nie ma zastosowania do rzeczywistego dochodu uzyskiwanego przez producenta</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tyt</w:t>
      </w:r>
      <w:r w:rsidRPr="00F97E98">
        <w:rPr>
          <w:rFonts w:ascii="Times New Roman" w:hAnsi="Times New Roman"/>
          <w:noProof/>
          <w:sz w:val="24"/>
          <w:lang w:val="pl-PL"/>
        </w:rPr>
        <w:t>ułu PPA, ale do „zakładanego” (fikcyjnego) dochodu odpowiadającego, na przykład, hurtowym cenom energii elektrycznej, co ostatecznie prowadzi do paradoksalnych sytuacji,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któ</w:t>
      </w:r>
      <w:r w:rsidRPr="00F97E98">
        <w:rPr>
          <w:rFonts w:ascii="Times New Roman" w:hAnsi="Times New Roman"/>
          <w:noProof/>
          <w:sz w:val="24"/>
          <w:lang w:val="pl-PL"/>
        </w:rPr>
        <w:t>rych producent może być zmuszony do sprzedaży energii elektrycznej ze stratą.</w:t>
      </w:r>
      <w:r w:rsidRPr="00F97E98">
        <w:rPr>
          <w:rFonts w:ascii="Times New Roman" w:hAnsi="Times New Roman"/>
          <w:noProof/>
          <w:sz w:val="24"/>
          <w:shd w:val="clear" w:color="auto" w:fill="E6E6E6"/>
          <w:lang w:val="pl-PL"/>
        </w:rPr>
        <w:t xml:space="preserve"> </w:t>
      </w:r>
    </w:p>
    <w:p w14:paraId="7D48D85E" w14:textId="048A83B9" w:rsidR="567794E6" w:rsidRPr="00F97E98" w:rsidRDefault="623E8D0D"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Potencjalne przedłużenie okresu obowiązywania środka stanowiłoby przeszkodę dla jednego</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cel</w:t>
      </w:r>
      <w:r w:rsidRPr="00F97E98">
        <w:rPr>
          <w:rFonts w:ascii="Times New Roman" w:hAnsi="Times New Roman"/>
          <w:noProof/>
          <w:sz w:val="24"/>
          <w:lang w:val="pl-PL"/>
        </w:rPr>
        <w:t>ów określonych we wniosku dotyczącym struktury rynku energii elektrycznej,</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mia</w:t>
      </w:r>
      <w:r w:rsidRPr="00F97E98">
        <w:rPr>
          <w:rFonts w:ascii="Times New Roman" w:hAnsi="Times New Roman"/>
          <w:noProof/>
          <w:sz w:val="24"/>
          <w:lang w:val="pl-PL"/>
        </w:rPr>
        <w:t>nowicie dla zachęcania do stosowania PPA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zap</w:t>
      </w:r>
      <w:r w:rsidRPr="00F97E98">
        <w:rPr>
          <w:rFonts w:ascii="Times New Roman" w:hAnsi="Times New Roman"/>
          <w:noProof/>
          <w:sz w:val="24"/>
          <w:lang w:val="pl-PL"/>
        </w:rPr>
        <w:t>ewnienia jak największej płynności rynku umów PPA. PPA są instrumentami, które zapewniają długoterminową stabilność cen dla odbiorcy</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nie</w:t>
      </w:r>
      <w:r w:rsidRPr="00F97E98">
        <w:rPr>
          <w:rFonts w:ascii="Times New Roman" w:hAnsi="Times New Roman"/>
          <w:noProof/>
          <w:sz w:val="24"/>
          <w:lang w:val="pl-PL"/>
        </w:rPr>
        <w:t>zbędną pewność dla producenta przy podejmowaniu decyzji inwestycyjnych. Niemniej jednak tylko kilka państw członkowskich posiada aktywne rynki umów PPA,</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nab</w:t>
      </w:r>
      <w:r w:rsidRPr="00F97E98">
        <w:rPr>
          <w:rFonts w:ascii="Times New Roman" w:hAnsi="Times New Roman"/>
          <w:noProof/>
          <w:sz w:val="24"/>
          <w:lang w:val="pl-PL"/>
        </w:rPr>
        <w:t>ywcy ograniczają się zazwyczaj do dużych przedsiębiorstw między innymi dlatego, że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ypadku PPA występują różne bariery –</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szc</w:t>
      </w:r>
      <w:r w:rsidRPr="00F97E98">
        <w:rPr>
          <w:rFonts w:ascii="Times New Roman" w:hAnsi="Times New Roman"/>
          <w:noProof/>
          <w:sz w:val="24"/>
          <w:lang w:val="pl-PL"/>
        </w:rPr>
        <w:t>zególności są to trudności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pok</w:t>
      </w:r>
      <w:r w:rsidRPr="00F97E98">
        <w:rPr>
          <w:rFonts w:ascii="Times New Roman" w:hAnsi="Times New Roman"/>
          <w:noProof/>
          <w:sz w:val="24"/>
          <w:lang w:val="pl-PL"/>
        </w:rPr>
        <w:t>ryciu ryzyka niewywiązania się</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pła</w:t>
      </w:r>
      <w:r w:rsidRPr="00F97E98">
        <w:rPr>
          <w:rFonts w:ascii="Times New Roman" w:hAnsi="Times New Roman"/>
          <w:noProof/>
          <w:sz w:val="24"/>
          <w:lang w:val="pl-PL"/>
        </w:rPr>
        <w:t>tności przez nabywcę</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ram</w:t>
      </w:r>
      <w:r w:rsidRPr="00F97E98">
        <w:rPr>
          <w:rFonts w:ascii="Times New Roman" w:hAnsi="Times New Roman"/>
          <w:noProof/>
          <w:sz w:val="24"/>
          <w:lang w:val="pl-PL"/>
        </w:rPr>
        <w:t>ach tych umów długoterminowych</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zwi</w:t>
      </w:r>
      <w:r w:rsidRPr="00F97E98">
        <w:rPr>
          <w:rFonts w:ascii="Times New Roman" w:hAnsi="Times New Roman"/>
          <w:noProof/>
          <w:sz w:val="24"/>
          <w:lang w:val="pl-PL"/>
        </w:rPr>
        <w:t>ązku</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 zgodnie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wni</w:t>
      </w:r>
      <w:r w:rsidRPr="00F97E98">
        <w:rPr>
          <w:rFonts w:ascii="Times New Roman" w:hAnsi="Times New Roman"/>
          <w:noProof/>
          <w:sz w:val="24"/>
          <w:lang w:val="pl-PL"/>
        </w:rPr>
        <w:t>oskiem, państwa członkowskie powinny uwzględnić potrzebę stworzenia dynamicznego rynku umów PPA przy określaniu polityk służących osiągnięciu celów</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dekarbonizacji energii wyznaczonych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ich</w:t>
      </w:r>
      <w:r w:rsidRPr="00F97E98">
        <w:rPr>
          <w:rFonts w:ascii="Times New Roman" w:hAnsi="Times New Roman"/>
          <w:noProof/>
          <w:sz w:val="24"/>
          <w:lang w:val="pl-PL"/>
        </w:rPr>
        <w:t xml:space="preserve"> zintegrowanych krajowych planach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dzi</w:t>
      </w:r>
      <w:r w:rsidRPr="00F97E98">
        <w:rPr>
          <w:rFonts w:ascii="Times New Roman" w:hAnsi="Times New Roman"/>
          <w:noProof/>
          <w:sz w:val="24"/>
          <w:lang w:val="pl-PL"/>
        </w:rPr>
        <w:t>edzinie energii</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kli</w:t>
      </w:r>
      <w:r w:rsidRPr="00F97E98">
        <w:rPr>
          <w:rFonts w:ascii="Times New Roman" w:hAnsi="Times New Roman"/>
          <w:noProof/>
          <w:sz w:val="24"/>
          <w:lang w:val="pl-PL"/>
        </w:rPr>
        <w:t>matu</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cel</w:t>
      </w:r>
      <w:r w:rsidRPr="00F97E98">
        <w:rPr>
          <w:rFonts w:ascii="Times New Roman" w:hAnsi="Times New Roman"/>
          <w:noProof/>
          <w:sz w:val="24"/>
          <w:lang w:val="pl-PL"/>
        </w:rPr>
        <w:t>u uwzględnienia ryzyka związanego ze zdolnością kredytową, we wniosku określono, że państwa członkowskie powinny zapewnić, aby instrumenty służące ograniczeniu ryzyka finansowego związanego</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nie</w:t>
      </w:r>
      <w:r w:rsidRPr="00F97E98">
        <w:rPr>
          <w:rFonts w:ascii="Times New Roman" w:hAnsi="Times New Roman"/>
          <w:noProof/>
          <w:sz w:val="24"/>
          <w:lang w:val="pl-PL"/>
        </w:rPr>
        <w:t>wykonaniem płatności przez odbiorcę,</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 xml:space="preserve"> programów gwarancji po cenach rynkowych, były dostępne dla przedsiębiorstw, które napotykają bariery wejścia na rynek umów zakupu energii elektrycznej</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nie</w:t>
      </w:r>
      <w:r w:rsidRPr="00F97E98">
        <w:rPr>
          <w:rFonts w:ascii="Times New Roman" w:hAnsi="Times New Roman"/>
          <w:noProof/>
          <w:sz w:val="24"/>
          <w:lang w:val="pl-PL"/>
        </w:rPr>
        <w:t xml:space="preserve"> znajdują się</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tru</w:t>
      </w:r>
      <w:r w:rsidRPr="00F97E98">
        <w:rPr>
          <w:rFonts w:ascii="Times New Roman" w:hAnsi="Times New Roman"/>
          <w:noProof/>
          <w:sz w:val="24"/>
          <w:lang w:val="pl-PL"/>
        </w:rPr>
        <w:t xml:space="preserve">dnej sytuacji finansowej. Wniosek zawiera dodatkowe wymogi mające na celu zachęcenie do rozwoju rynku takich umów. </w:t>
      </w:r>
    </w:p>
    <w:p w14:paraId="6EA184C2" w14:textId="245F5FEA" w:rsidR="005C7083" w:rsidRPr="00F97E98" w:rsidRDefault="03178177"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Ponadto zróżnicowane sposoby wdrażania pułapu dochodów przez państwa członkowskie spowodowały znaczną niepewność regulacyjną, co</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kol</w:t>
      </w:r>
      <w:r w:rsidRPr="00F97E98">
        <w:rPr>
          <w:rFonts w:ascii="Times New Roman" w:hAnsi="Times New Roman"/>
          <w:noProof/>
          <w:sz w:val="24"/>
          <w:lang w:val="pl-PL"/>
        </w:rPr>
        <w:t>ei stwarza ryzyko dla rozwoju nowych inwestycji,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szc</w:t>
      </w:r>
      <w:r w:rsidRPr="00F97E98">
        <w:rPr>
          <w:rFonts w:ascii="Times New Roman" w:hAnsi="Times New Roman"/>
          <w:noProof/>
          <w:sz w:val="24"/>
          <w:lang w:val="pl-PL"/>
        </w:rPr>
        <w:t>zególności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odn</w:t>
      </w:r>
      <w:r w:rsidRPr="00F97E98">
        <w:rPr>
          <w:rFonts w:ascii="Times New Roman" w:hAnsi="Times New Roman"/>
          <w:noProof/>
          <w:sz w:val="24"/>
          <w:lang w:val="pl-PL"/>
        </w:rPr>
        <w:t>awialne źródła energii, niezbędnych do osiągnięcia celów UE W szczególności zgłaszane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nie</w:t>
      </w:r>
      <w:r w:rsidRPr="00F97E98">
        <w:rPr>
          <w:rFonts w:ascii="Times New Roman" w:hAnsi="Times New Roman"/>
          <w:noProof/>
          <w:sz w:val="24"/>
          <w:lang w:val="pl-PL"/>
        </w:rPr>
        <w:t>których państwach członkowskich trudności związane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zaw</w:t>
      </w:r>
      <w:r w:rsidRPr="00F97E98">
        <w:rPr>
          <w:rFonts w:ascii="Times New Roman" w:hAnsi="Times New Roman"/>
          <w:noProof/>
          <w:sz w:val="24"/>
          <w:lang w:val="pl-PL"/>
        </w:rPr>
        <w:t>ieraniem długoterminowych umów,</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 xml:space="preserve"> PPA, wynikające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wdr</w:t>
      </w:r>
      <w:r w:rsidRPr="00F97E98">
        <w:rPr>
          <w:rFonts w:ascii="Times New Roman" w:hAnsi="Times New Roman"/>
          <w:noProof/>
          <w:sz w:val="24"/>
          <w:lang w:val="pl-PL"/>
        </w:rPr>
        <w:t>ożenia pułapu dochodów mogą stworzyć dodatkową warstwę niepewności dla inwestorów</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utr</w:t>
      </w:r>
      <w:r w:rsidRPr="00F97E98">
        <w:rPr>
          <w:rFonts w:ascii="Times New Roman" w:hAnsi="Times New Roman"/>
          <w:noProof/>
          <w:sz w:val="24"/>
          <w:lang w:val="pl-PL"/>
        </w:rPr>
        <w:t>udnić atrakcyjność rynków terminowych oraz zaufanie zainteresowanych stron do tych rynków. Powyższe rodzaje ryzyka mogą ostatecznie zagrozić stworzeniu atrakcyjnego środowiska inwestycyjnego dla wytwarzania energii ze źródeł odnawialnych</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nis</w:t>
      </w:r>
      <w:r w:rsidRPr="00F97E98">
        <w:rPr>
          <w:rFonts w:ascii="Times New Roman" w:hAnsi="Times New Roman"/>
          <w:noProof/>
          <w:sz w:val="24"/>
          <w:lang w:val="pl-PL"/>
        </w:rPr>
        <w:t>koemisyjnych, co jest celem wniosku dotyczącego struktury rynku energii elektrycznej,</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ost</w:t>
      </w:r>
      <w:r w:rsidRPr="00F97E98">
        <w:rPr>
          <w:rFonts w:ascii="Times New Roman" w:hAnsi="Times New Roman"/>
          <w:noProof/>
          <w:sz w:val="24"/>
          <w:lang w:val="pl-PL"/>
        </w:rPr>
        <w:t xml:space="preserve">atecznie transformacji energetycznej. </w:t>
      </w:r>
    </w:p>
    <w:p w14:paraId="456EF4FF" w14:textId="6FD75F72" w:rsidR="5775771D" w:rsidRPr="00534316" w:rsidRDefault="4A977FA0"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Konsultacje publiczne obejmowały również pytania dotyczące ewentualnego przedłużenia okresu obowiązywania górnego pułapu dochodów inframarginalnych. Większość respondentów była temu przeciwna ze względu na następujące rodzaje ryzyka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wyz</w:t>
      </w:r>
      <w:r w:rsidRPr="00F97E98">
        <w:rPr>
          <w:rFonts w:ascii="Times New Roman" w:hAnsi="Times New Roman"/>
          <w:noProof/>
          <w:sz w:val="24"/>
          <w:lang w:val="pl-PL"/>
        </w:rPr>
        <w:t>wania,</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któ</w:t>
      </w:r>
      <w:r w:rsidRPr="00F97E98">
        <w:rPr>
          <w:rFonts w:ascii="Times New Roman" w:hAnsi="Times New Roman"/>
          <w:noProof/>
          <w:sz w:val="24"/>
          <w:lang w:val="pl-PL"/>
        </w:rPr>
        <w:t>rymi wiązałoby się takie przedłużenie okresu obowiązywania tego środka</w:t>
      </w:r>
      <w:r w:rsidRPr="00534316">
        <w:rPr>
          <w:rFonts w:ascii="Times New Roman" w:hAnsi="Times New Roman"/>
          <w:noProof/>
          <w:sz w:val="24"/>
          <w:lang w:val="pl-PL"/>
        </w:rPr>
        <w:t>:</w:t>
      </w:r>
      <w:r w:rsidR="00534316" w:rsidRPr="00534316">
        <w:rPr>
          <w:rFonts w:ascii="Times New Roman" w:hAnsi="Times New Roman"/>
          <w:noProof/>
          <w:sz w:val="24"/>
          <w:lang w:val="pl-PL"/>
        </w:rPr>
        <w:t xml:space="preserve"> </w:t>
      </w:r>
    </w:p>
    <w:p w14:paraId="4CB9B17A" w14:textId="340064A8" w:rsidR="5775771D" w:rsidRPr="00F97E98"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wydaje się, że niejednorodne wdrażanie pułapu dochodów inframarginalnych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pań</w:t>
      </w:r>
      <w:r w:rsidRPr="00F97E98">
        <w:rPr>
          <w:rFonts w:ascii="Times New Roman" w:hAnsi="Times New Roman"/>
          <w:noProof/>
          <w:sz w:val="24"/>
          <w:lang w:val="pl-PL"/>
        </w:rPr>
        <w:t>stwach członkowskich spowodowało niepewność dla inwestorów</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był</w:t>
      </w:r>
      <w:r w:rsidRPr="00F97E98">
        <w:rPr>
          <w:rFonts w:ascii="Times New Roman" w:hAnsi="Times New Roman"/>
          <w:noProof/>
          <w:sz w:val="24"/>
          <w:lang w:val="pl-PL"/>
        </w:rPr>
        <w:t xml:space="preserve">o zgłaszane jako czynnik zniechęcający do nowych inwestycji; </w:t>
      </w:r>
    </w:p>
    <w:p w14:paraId="0ADA832B" w14:textId="5276500F" w:rsidR="5775771D" w:rsidRPr="00F97E98"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środek ten jest trudny do wdrożenia,</w:t>
      </w:r>
      <w:r w:rsidR="00534316" w:rsidRPr="00F97E98">
        <w:rPr>
          <w:rFonts w:ascii="Times New Roman" w:hAnsi="Times New Roman"/>
          <w:noProof/>
          <w:sz w:val="24"/>
          <w:lang w:val="pl-PL"/>
        </w:rPr>
        <w:t xml:space="preserve"> a</w:t>
      </w:r>
      <w:r w:rsidR="00534316">
        <w:rPr>
          <w:rFonts w:ascii="Times New Roman" w:hAnsi="Times New Roman"/>
          <w:noProof/>
          <w:sz w:val="24"/>
          <w:lang w:val="pl-PL"/>
        </w:rPr>
        <w:t> </w:t>
      </w:r>
      <w:r w:rsidR="00534316" w:rsidRPr="00F97E98">
        <w:rPr>
          <w:rFonts w:ascii="Times New Roman" w:hAnsi="Times New Roman"/>
          <w:noProof/>
          <w:sz w:val="24"/>
          <w:lang w:val="pl-PL"/>
        </w:rPr>
        <w:t>zwi</w:t>
      </w:r>
      <w:r w:rsidRPr="00F97E98">
        <w:rPr>
          <w:rFonts w:ascii="Times New Roman" w:hAnsi="Times New Roman"/>
          <w:noProof/>
          <w:sz w:val="24"/>
          <w:lang w:val="pl-PL"/>
        </w:rPr>
        <w:t>ązane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nim</w:t>
      </w:r>
      <w:r w:rsidRPr="00F97E98">
        <w:rPr>
          <w:rFonts w:ascii="Times New Roman" w:hAnsi="Times New Roman"/>
          <w:noProof/>
          <w:sz w:val="24"/>
          <w:lang w:val="pl-PL"/>
        </w:rPr>
        <w:t xml:space="preserve"> koszty administracyjne są wysokie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por</w:t>
      </w:r>
      <w:r w:rsidRPr="00F97E98">
        <w:rPr>
          <w:rFonts w:ascii="Times New Roman" w:hAnsi="Times New Roman"/>
          <w:noProof/>
          <w:sz w:val="24"/>
          <w:lang w:val="pl-PL"/>
        </w:rPr>
        <w:t>ównaniu</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kor</w:t>
      </w:r>
      <w:r w:rsidRPr="00F97E98">
        <w:rPr>
          <w:rFonts w:ascii="Times New Roman" w:hAnsi="Times New Roman"/>
          <w:noProof/>
          <w:sz w:val="24"/>
          <w:lang w:val="pl-PL"/>
        </w:rPr>
        <w:t>zyściami</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nie</w:t>
      </w:r>
      <w:r w:rsidRPr="00F97E98">
        <w:rPr>
          <w:rFonts w:ascii="Times New Roman" w:hAnsi="Times New Roman"/>
          <w:noProof/>
          <w:sz w:val="24"/>
          <w:lang w:val="pl-PL"/>
        </w:rPr>
        <w:t xml:space="preserve">go wynikającymi; </w:t>
      </w:r>
    </w:p>
    <w:p w14:paraId="7BE6C708" w14:textId="7B4BAAE1" w:rsidR="5775771D" w:rsidRPr="00F97E98"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w przypadku gdy pułap dochodów inframarginalnych jest ustalony na niskim poziomie, na co zdecydowały się niektóre państwa członkowskie, wytwórcy mogą być skłonni do ograniczenia produkcji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cza</w:t>
      </w:r>
      <w:r w:rsidRPr="00F97E98">
        <w:rPr>
          <w:rFonts w:ascii="Times New Roman" w:hAnsi="Times New Roman"/>
          <w:noProof/>
          <w:sz w:val="24"/>
          <w:lang w:val="pl-PL"/>
        </w:rPr>
        <w:t xml:space="preserve">sie obowiązywania pułapu; </w:t>
      </w:r>
    </w:p>
    <w:p w14:paraId="5F6E89DF" w14:textId="10F1AA0D" w:rsidR="5775771D" w:rsidRPr="00F97E98" w:rsidRDefault="7FC3C559" w:rsidP="2B9E9F58">
      <w:pPr>
        <w:pStyle w:val="ListParagraph"/>
        <w:numPr>
          <w:ilvl w:val="0"/>
          <w:numId w:val="4"/>
        </w:num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ochronę konsumentów można zapewnić bez ingerowania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str</w:t>
      </w:r>
      <w:r w:rsidRPr="00F97E98">
        <w:rPr>
          <w:rFonts w:ascii="Times New Roman" w:hAnsi="Times New Roman"/>
          <w:noProof/>
          <w:sz w:val="24"/>
          <w:lang w:val="pl-PL"/>
        </w:rPr>
        <w:t>ukturę rynku energii elektrycznej, na przykład przez przyjęcie ukierunkowanej polityki społecznej.</w:t>
      </w:r>
    </w:p>
    <w:p w14:paraId="2EAC158A" w14:textId="1BFB702B" w:rsidR="5775771D" w:rsidRPr="00F97E98" w:rsidRDefault="4A977FA0"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Mniejszość respondentów poparła przedłużenie okresu obowiązywania pułapu dochodów inframarginalnych, czy to</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for</w:t>
      </w:r>
      <w:r w:rsidRPr="00F97E98">
        <w:rPr>
          <w:rFonts w:ascii="Times New Roman" w:hAnsi="Times New Roman"/>
          <w:noProof/>
          <w:sz w:val="24"/>
          <w:lang w:val="pl-PL"/>
        </w:rPr>
        <w:t>mie określonej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Rady, czy też</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nie</w:t>
      </w:r>
      <w:r w:rsidRPr="00F97E98">
        <w:rPr>
          <w:rFonts w:ascii="Times New Roman" w:hAnsi="Times New Roman"/>
          <w:noProof/>
          <w:sz w:val="24"/>
          <w:lang w:val="pl-PL"/>
        </w:rPr>
        <w:t>wielkimi modyfikacjami. Respondenci ci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duż</w:t>
      </w:r>
      <w:r w:rsidRPr="00F97E98">
        <w:rPr>
          <w:rFonts w:ascii="Times New Roman" w:hAnsi="Times New Roman"/>
          <w:noProof/>
          <w:sz w:val="24"/>
          <w:lang w:val="pl-PL"/>
        </w:rPr>
        <w:t>ej mierze oparli swoją opinię na korzyściach płynących ze środka dla konsumentów końcowych.</w:t>
      </w:r>
    </w:p>
    <w:p w14:paraId="1AC32DB2" w14:textId="1247AF4A" w:rsidR="008B2BBA" w:rsidRPr="00F97E98" w:rsidRDefault="17441AB9"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Biorąc pod uwagę informacje obecnie dostępne Komisji, jak określono powyżej, Komisja nie zaleca przedłużenia okresu obowiązywania rozporządzenia Rady</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odn</w:t>
      </w:r>
      <w:r w:rsidRPr="00F97E98">
        <w:rPr>
          <w:rFonts w:ascii="Times New Roman" w:hAnsi="Times New Roman"/>
          <w:noProof/>
          <w:sz w:val="24"/>
          <w:lang w:val="pl-PL"/>
        </w:rPr>
        <w:t xml:space="preserve">iesieniu do pułapu dochodów inframarginalnych. </w:t>
      </w:r>
    </w:p>
    <w:p w14:paraId="4CBCC1FB" w14:textId="56EC4DBA" w:rsidR="7C53B20F" w:rsidRPr="00F97E98" w:rsidRDefault="001A340D"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Komisja zauważa, że aby ograniczyć wpływ wysokich cen energii na rachunki konsumentów,</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ram</w:t>
      </w:r>
      <w:r w:rsidRPr="00F97E98">
        <w:rPr>
          <w:rFonts w:ascii="Times New Roman" w:hAnsi="Times New Roman"/>
          <w:noProof/>
          <w:sz w:val="24"/>
          <w:lang w:val="pl-PL"/>
        </w:rPr>
        <w:t>ach reformy rynku energii elektrycznej zaproponowała wspieranie rozwoju rynków długoterminowych, tak aby dochody wytwórców inframarginalnych</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cen</w:t>
      </w:r>
      <w:r w:rsidRPr="00F97E98">
        <w:rPr>
          <w:rFonts w:ascii="Times New Roman" w:hAnsi="Times New Roman"/>
          <w:noProof/>
          <w:sz w:val="24"/>
          <w:lang w:val="pl-PL"/>
        </w:rPr>
        <w:t>y płacone przez konsumentów końcowych były</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mni</w:t>
      </w:r>
      <w:r w:rsidRPr="00F97E98">
        <w:rPr>
          <w:rFonts w:ascii="Times New Roman" w:hAnsi="Times New Roman"/>
          <w:noProof/>
          <w:sz w:val="24"/>
          <w:lang w:val="pl-PL"/>
        </w:rPr>
        <w:t>ejszym stopniu zależne od zmiennej ceny krótkoterminowej na hurtowym rynku energii elektrycznej. Zgodnie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wni</w:t>
      </w:r>
      <w:r w:rsidRPr="00F97E98">
        <w:rPr>
          <w:rFonts w:ascii="Times New Roman" w:hAnsi="Times New Roman"/>
          <w:noProof/>
          <w:sz w:val="24"/>
          <w:lang w:val="pl-PL"/>
        </w:rPr>
        <w:t>oskiem Komisji te dochody</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cen</w:t>
      </w:r>
      <w:r w:rsidRPr="00F97E98">
        <w:rPr>
          <w:rFonts w:ascii="Times New Roman" w:hAnsi="Times New Roman"/>
          <w:noProof/>
          <w:sz w:val="24"/>
          <w:lang w:val="pl-PL"/>
        </w:rPr>
        <w:t>y będą kształtowane głównie przez odniesienie do umów długoterminowych, takich jak umowy zakupu energii elektrycznej</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tzw</w:t>
      </w:r>
      <w:r w:rsidRPr="00F97E98">
        <w:rPr>
          <w:rFonts w:ascii="Times New Roman" w:hAnsi="Times New Roman"/>
          <w:noProof/>
          <w:sz w:val="24"/>
          <w:lang w:val="pl-PL"/>
        </w:rPr>
        <w:t>. dwukierunkowe kontrakty różnicowe,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zal</w:t>
      </w:r>
      <w:r w:rsidRPr="00F97E98">
        <w:rPr>
          <w:rFonts w:ascii="Times New Roman" w:hAnsi="Times New Roman"/>
          <w:noProof/>
          <w:sz w:val="24"/>
          <w:lang w:val="pl-PL"/>
        </w:rPr>
        <w:t>eżności od tego, czy instalację sfinansowano ze środków prywatnych czy publicznych</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ypadku kontraktów różnicowych wygenerują one wypłatę, gdy ceny rynkowe staną się wysokie. We wniosku określa się, że państwa członkowskie będą musiały wykorzystać tę wypłatę do bezpośredniego obniżenia rachunków za energię elektryczną wszystkich odbiorców energii elektrycznej (w tym przedsiębiorstw</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emysłu), co będzie miało podobny skutek jak pułap dochodów inframarginalnych, ale bez stwarzania niepewności dla inwestorów.</w:t>
      </w:r>
    </w:p>
    <w:p w14:paraId="5FD2A5B6" w14:textId="0A6EACE1" w:rsidR="00432E56" w:rsidRPr="00432E56" w:rsidRDefault="3F7A8071" w:rsidP="00432E56">
      <w:pPr>
        <w:pStyle w:val="Heading1"/>
        <w:keepNext w:val="0"/>
        <w:keepLines w:val="0"/>
        <w:spacing w:before="120" w:after="120" w:line="360" w:lineRule="auto"/>
        <w:rPr>
          <w:rFonts w:ascii="Times New Roman" w:eastAsia="Times New Roman" w:hAnsi="Times New Roman" w:cs="Times New Roman"/>
          <w:noProof/>
          <w:color w:val="auto"/>
        </w:rPr>
      </w:pPr>
      <w:bookmarkStart w:id="15" w:name="_Toc1483017494"/>
      <w:bookmarkStart w:id="16" w:name="_Toc231169309"/>
      <w:bookmarkStart w:id="17" w:name="_Toc137741652"/>
      <w:r w:rsidRPr="00432E56">
        <w:rPr>
          <w:rFonts w:ascii="Times New Roman" w:hAnsi="Times New Roman"/>
          <w:noProof/>
          <w:color w:val="auto"/>
          <w:lang w:val="pl-PL"/>
        </w:rPr>
        <w:t>Wsparcie konsumentów końcowych</w:t>
      </w:r>
      <w:bookmarkEnd w:id="15"/>
      <w:bookmarkEnd w:id="16"/>
      <w:bookmarkEnd w:id="17"/>
    </w:p>
    <w:p w14:paraId="15024D3E" w14:textId="183F05BB" w:rsidR="00E264D6" w:rsidRPr="00F97E98" w:rsidRDefault="670725BB"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Sekcja 3 rozdziału II rozporządzenia Rady jest skierowana do rynku detalicznego</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umo</w:t>
      </w:r>
      <w:r w:rsidRPr="00F97E98">
        <w:rPr>
          <w:rFonts w:ascii="Times New Roman" w:hAnsi="Times New Roman"/>
          <w:noProof/>
          <w:sz w:val="24"/>
          <w:lang w:val="pl-PL"/>
        </w:rPr>
        <w:t>żliwia państwom członkowskim tymczasowe rozszerzenie interwencji publicznej</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ustalania cen za dostawy energii elektrycznej do małych</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śre</w:t>
      </w:r>
      <w:r w:rsidRPr="00F97E98">
        <w:rPr>
          <w:rFonts w:ascii="Times New Roman" w:hAnsi="Times New Roman"/>
          <w:noProof/>
          <w:sz w:val="24"/>
          <w:lang w:val="pl-PL"/>
        </w:rPr>
        <w:t>dnich przedsiębiorstw (MŚP) (</w:t>
      </w:r>
      <w:r w:rsidRPr="00534316">
        <w:rPr>
          <w:rFonts w:ascii="Times New Roman" w:hAnsi="Times New Roman"/>
          <w:noProof/>
          <w:sz w:val="24"/>
          <w:lang w:val="pl-PL"/>
        </w:rPr>
        <w:t>art.</w:t>
      </w:r>
      <w:r w:rsidR="00534316" w:rsidRPr="00534316">
        <w:rPr>
          <w:rFonts w:ascii="Times New Roman" w:hAnsi="Times New Roman"/>
          <w:noProof/>
          <w:sz w:val="24"/>
          <w:lang w:val="pl-PL"/>
        </w:rPr>
        <w:t> </w:t>
      </w:r>
      <w:r w:rsidRPr="00534316">
        <w:rPr>
          <w:rFonts w:ascii="Times New Roman" w:hAnsi="Times New Roman"/>
          <w:noProof/>
          <w:sz w:val="24"/>
          <w:lang w:val="pl-PL"/>
        </w:rPr>
        <w:t>1</w:t>
      </w:r>
      <w:r w:rsidRPr="00F97E98">
        <w:rPr>
          <w:rFonts w:ascii="Times New Roman" w:hAnsi="Times New Roman"/>
          <w:noProof/>
          <w:sz w:val="24"/>
          <w:lang w:val="pl-PL"/>
        </w:rPr>
        <w:t>2) oraz wyjątkowe</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czasowe ustalanie cen detalicznych zarówno dla gospodarstw domowych, jak i MŚP poniżej kosztów (</w:t>
      </w:r>
      <w:r w:rsidRPr="00534316">
        <w:rPr>
          <w:rFonts w:ascii="Times New Roman" w:hAnsi="Times New Roman"/>
          <w:noProof/>
          <w:sz w:val="24"/>
          <w:lang w:val="pl-PL"/>
        </w:rPr>
        <w:t>art.</w:t>
      </w:r>
      <w:r w:rsidR="00534316" w:rsidRPr="00534316">
        <w:rPr>
          <w:rFonts w:ascii="Times New Roman" w:hAnsi="Times New Roman"/>
          <w:noProof/>
          <w:sz w:val="24"/>
          <w:lang w:val="pl-PL"/>
        </w:rPr>
        <w:t> </w:t>
      </w:r>
      <w:r w:rsidRPr="00534316">
        <w:rPr>
          <w:rFonts w:ascii="Times New Roman" w:hAnsi="Times New Roman"/>
          <w:noProof/>
          <w:sz w:val="24"/>
          <w:lang w:val="pl-PL"/>
        </w:rPr>
        <w:t>1</w:t>
      </w:r>
      <w:r w:rsidRPr="00F97E98">
        <w:rPr>
          <w:rFonts w:ascii="Times New Roman" w:hAnsi="Times New Roman"/>
          <w:noProof/>
          <w:sz w:val="24"/>
          <w:lang w:val="pl-PL"/>
        </w:rPr>
        <w:t>3).</w:t>
      </w:r>
    </w:p>
    <w:p w14:paraId="1459F13C" w14:textId="0A78AE75" w:rsidR="5A7171F4" w:rsidRPr="00F97E98" w:rsidRDefault="5A7171F4" w:rsidP="6E35EF87">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Interwencja publiczna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ustalania cen dla gospodarstw domowych istniała przed kryzysem</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1</w:t>
      </w:r>
      <w:r w:rsidRPr="00F97E98">
        <w:rPr>
          <w:rFonts w:ascii="Times New Roman" w:hAnsi="Times New Roman"/>
          <w:noProof/>
          <w:sz w:val="24"/>
          <w:lang w:val="pl-PL"/>
        </w:rPr>
        <w:t>1 państwach, mianowicie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Bel</w:t>
      </w:r>
      <w:r w:rsidRPr="00F97E98">
        <w:rPr>
          <w:rFonts w:ascii="Times New Roman" w:hAnsi="Times New Roman"/>
          <w:noProof/>
          <w:sz w:val="24"/>
          <w:lang w:val="pl-PL"/>
        </w:rPr>
        <w:t>gii, Bułgarii, we Francji,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Gre</w:t>
      </w:r>
      <w:r w:rsidRPr="00F97E98">
        <w:rPr>
          <w:rFonts w:ascii="Times New Roman" w:hAnsi="Times New Roman"/>
          <w:noProof/>
          <w:sz w:val="24"/>
          <w:lang w:val="pl-PL"/>
        </w:rPr>
        <w:t>cji, na Litwie,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Pol</w:t>
      </w:r>
      <w:r w:rsidRPr="00F97E98">
        <w:rPr>
          <w:rFonts w:ascii="Times New Roman" w:hAnsi="Times New Roman"/>
          <w:noProof/>
          <w:sz w:val="24"/>
          <w:lang w:val="pl-PL"/>
        </w:rPr>
        <w:t>sce, Portugalii, Rumunii, na Słowacji, na Węgrzech i we Włoszech</w:t>
      </w:r>
      <w:r w:rsidRPr="00F97E98">
        <w:rPr>
          <w:rStyle w:val="FootnoteReference"/>
          <w:rFonts w:ascii="Times New Roman" w:eastAsia="Times New Roman" w:hAnsi="Times New Roman" w:cs="Times New Roman"/>
          <w:noProof/>
          <w:sz w:val="24"/>
          <w:lang w:val="pl-PL"/>
        </w:rPr>
        <w:footnoteReference w:id="23"/>
      </w:r>
      <w:r w:rsidR="00534316" w:rsidRPr="00534316">
        <w:rPr>
          <w:rFonts w:ascii="Times New Roman" w:hAnsi="Times New Roman"/>
          <w:noProof/>
          <w:sz w:val="24"/>
          <w:lang w:val="pl-PL"/>
        </w:rPr>
        <w:t>,</w:t>
      </w:r>
      <w:r w:rsidR="00534316" w:rsidRPr="00534316">
        <w:rPr>
          <w:rStyle w:val="FootnoteReference"/>
          <w:rFonts w:ascii="Times New Roman" w:eastAsia="Times New Roman" w:hAnsi="Times New Roman" w:cs="Times New Roman"/>
          <w:noProof/>
          <w:sz w:val="24"/>
          <w:lang w:val="pl-PL"/>
        </w:rPr>
        <w:t xml:space="preserve"> </w:t>
      </w:r>
      <w:r w:rsidR="00534316" w:rsidRPr="00F97E98">
        <w:rPr>
          <w:rFonts w:ascii="Times New Roman" w:hAnsi="Times New Roman"/>
          <w:noProof/>
          <w:sz w:val="24"/>
          <w:lang w:val="pl-PL"/>
        </w:rPr>
        <w:t>w</w:t>
      </w:r>
      <w:r w:rsidR="00534316">
        <w:rPr>
          <w:rStyle w:val="FootnoteReference"/>
          <w:rFonts w:ascii="Times New Roman" w:eastAsia="Times New Roman" w:hAnsi="Times New Roman" w:cs="Times New Roman"/>
          <w:noProof/>
          <w:sz w:val="24"/>
          <w:lang w:val="pl-PL"/>
        </w:rPr>
        <w:t> </w:t>
      </w:r>
      <w:r w:rsidR="00534316" w:rsidRPr="00F97E98">
        <w:rPr>
          <w:rFonts w:ascii="Times New Roman" w:hAnsi="Times New Roman"/>
          <w:noProof/>
          <w:sz w:val="24"/>
          <w:lang w:val="pl-PL"/>
        </w:rPr>
        <w:t>for</w:t>
      </w:r>
      <w:r w:rsidRPr="00F97E98">
        <w:rPr>
          <w:rFonts w:ascii="Times New Roman" w:hAnsi="Times New Roman"/>
          <w:noProof/>
          <w:sz w:val="24"/>
          <w:lang w:val="pl-PL"/>
        </w:rPr>
        <w:t>mie cen regulowanych lub taryf socjalnych. Podczas kryzysu kolejne siedem państw członkowskich wprowadziło regulację cen dla gospodarstw domowych, mianowicie Chorwacja, Czechy, Estonia, Finlandia, Niderlandy, Luksemburg</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Sło</w:t>
      </w:r>
      <w:r w:rsidRPr="00F97E98">
        <w:rPr>
          <w:rFonts w:ascii="Times New Roman" w:hAnsi="Times New Roman"/>
          <w:noProof/>
          <w:sz w:val="24"/>
          <w:lang w:val="pl-PL"/>
        </w:rPr>
        <w:t>wenia.</w:t>
      </w:r>
    </w:p>
    <w:p w14:paraId="59884221" w14:textId="2EF31877" w:rsidR="00E264D6" w:rsidRPr="00F97E98" w:rsidRDefault="402A7AF1"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Na 25 otrzymanych ocen 12 państw członkowskich zgłosiło wykorzystanie środków przewidzianych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Rady. Cztery państwa członkowskie, mianowicie Czechy, Estonia, Słowenia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Pol</w:t>
      </w:r>
      <w:r w:rsidRPr="00F97E98">
        <w:rPr>
          <w:rFonts w:ascii="Times New Roman" w:hAnsi="Times New Roman"/>
          <w:noProof/>
          <w:sz w:val="24"/>
          <w:lang w:val="pl-PL"/>
        </w:rPr>
        <w:t xml:space="preserve">ska, zgłosiły wprowadzenie regulowanych cen detalicznych dla MŚP na podstawie </w:t>
      </w:r>
      <w:r w:rsidRPr="00534316">
        <w:rPr>
          <w:rFonts w:ascii="Times New Roman" w:hAnsi="Times New Roman"/>
          <w:noProof/>
          <w:sz w:val="24"/>
          <w:lang w:val="pl-PL"/>
        </w:rPr>
        <w:t>art.</w:t>
      </w:r>
      <w:r w:rsidR="00534316" w:rsidRPr="00534316">
        <w:rPr>
          <w:rFonts w:ascii="Times New Roman" w:hAnsi="Times New Roman"/>
          <w:noProof/>
          <w:sz w:val="24"/>
          <w:lang w:val="pl-PL"/>
        </w:rPr>
        <w:t> </w:t>
      </w:r>
      <w:r w:rsidRPr="00534316">
        <w:rPr>
          <w:rFonts w:ascii="Times New Roman" w:hAnsi="Times New Roman"/>
          <w:noProof/>
          <w:sz w:val="24"/>
          <w:lang w:val="pl-PL"/>
        </w:rPr>
        <w:t>1</w:t>
      </w:r>
      <w:r w:rsidRPr="00F97E98">
        <w:rPr>
          <w:rFonts w:ascii="Times New Roman" w:hAnsi="Times New Roman"/>
          <w:noProof/>
          <w:sz w:val="24"/>
          <w:lang w:val="pl-PL"/>
        </w:rPr>
        <w:t>2 rozporządzenia Rady. Francja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Sło</w:t>
      </w:r>
      <w:r w:rsidRPr="00F97E98">
        <w:rPr>
          <w:rFonts w:ascii="Times New Roman" w:hAnsi="Times New Roman"/>
          <w:noProof/>
          <w:sz w:val="24"/>
          <w:lang w:val="pl-PL"/>
        </w:rPr>
        <w:t>wacja, które regulowały ceny dla gospodarstw domowych, zgłosiły ponadto programy rekompensat dla MŚP zgodnie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czasowymi ramami pomocy państwa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syt</w:t>
      </w:r>
      <w:r w:rsidRPr="00F97E98">
        <w:rPr>
          <w:rFonts w:ascii="Times New Roman" w:hAnsi="Times New Roman"/>
          <w:noProof/>
          <w:sz w:val="24"/>
          <w:lang w:val="pl-PL"/>
        </w:rPr>
        <w:t>uacjach kryzysowych</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w</w:t>
      </w:r>
      <w:r w:rsidR="00534316">
        <w:rPr>
          <w:rFonts w:ascii="Times New Roman" w:hAnsi="Times New Roman"/>
          <w:noProof/>
          <w:sz w:val="24"/>
          <w:lang w:val="pl-PL"/>
        </w:rPr>
        <w:t> </w:t>
      </w:r>
      <w:r w:rsidR="00534316" w:rsidRPr="00F97E98">
        <w:rPr>
          <w:rFonts w:ascii="Times New Roman" w:hAnsi="Times New Roman"/>
          <w:noProof/>
          <w:sz w:val="24"/>
          <w:lang w:val="pl-PL"/>
        </w:rPr>
        <w:t>okr</w:t>
      </w:r>
      <w:r w:rsidRPr="00F97E98">
        <w:rPr>
          <w:rFonts w:ascii="Times New Roman" w:hAnsi="Times New Roman"/>
          <w:noProof/>
          <w:sz w:val="24"/>
          <w:lang w:val="pl-PL"/>
        </w:rPr>
        <w:t>esie transformacji</w:t>
      </w:r>
      <w:r w:rsidRPr="00534316">
        <w:rPr>
          <w:rStyle w:val="FootnoteReference"/>
          <w:rFonts w:ascii="Times New Roman" w:eastAsia="Times New Roman" w:hAnsi="Times New Roman" w:cs="Times New Roman"/>
          <w:noProof/>
          <w:sz w:val="24"/>
          <w:lang w:val="pl-PL"/>
        </w:rPr>
        <w:footnoteReference w:id="24"/>
      </w:r>
      <w:r w:rsidR="00534316" w:rsidRPr="00534316">
        <w:rPr>
          <w:rStyle w:val="FootnoteReference"/>
          <w:rFonts w:ascii="Times New Roman" w:eastAsia="Times New Roman" w:hAnsi="Times New Roman" w:cs="Times New Roman"/>
          <w:noProof/>
          <w:sz w:val="24"/>
          <w:lang w:val="pl-PL"/>
        </w:rPr>
        <w:t xml:space="preserve"> </w:t>
      </w:r>
      <w:r w:rsidRPr="00534316">
        <w:rPr>
          <w:rFonts w:ascii="Times New Roman" w:hAnsi="Times New Roman"/>
          <w:noProof/>
          <w:sz w:val="24"/>
          <w:lang w:val="pl-PL"/>
        </w:rPr>
        <w:t>n</w:t>
      </w:r>
      <w:r w:rsidRPr="00F97E98">
        <w:rPr>
          <w:rFonts w:ascii="Times New Roman" w:hAnsi="Times New Roman"/>
          <w:noProof/>
          <w:sz w:val="24"/>
          <w:lang w:val="pl-PL"/>
        </w:rPr>
        <w:t>a podstawie zasad pomocy państwa. Niderlandy zastosowały interwencję</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ustalania cen, aby zapewnić gospodarstwom domowym</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edsiębiorstwom niższe ceny energii elektrycznej. Program ten został zgłoszony Komisji</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zat</w:t>
      </w:r>
      <w:r w:rsidRPr="00F97E98">
        <w:rPr>
          <w:rFonts w:ascii="Times New Roman" w:hAnsi="Times New Roman"/>
          <w:noProof/>
          <w:sz w:val="24"/>
          <w:lang w:val="pl-PL"/>
        </w:rPr>
        <w:t>wierdzony zgodnie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obo</w:t>
      </w:r>
      <w:r w:rsidRPr="00F97E98">
        <w:rPr>
          <w:rFonts w:ascii="Times New Roman" w:hAnsi="Times New Roman"/>
          <w:noProof/>
          <w:sz w:val="24"/>
          <w:lang w:val="pl-PL"/>
        </w:rPr>
        <w:t>wiązującymi ramami pomocy państwa</w:t>
      </w:r>
      <w:r w:rsidRPr="00F97E98">
        <w:rPr>
          <w:rStyle w:val="FootnoteReference"/>
          <w:rFonts w:ascii="Times New Roman" w:eastAsia="Times New Roman" w:hAnsi="Times New Roman" w:cs="Times New Roman"/>
          <w:noProof/>
          <w:sz w:val="24"/>
          <w:lang w:val="pl-PL"/>
        </w:rPr>
        <w:footnoteReference w:id="25"/>
      </w:r>
      <w:r w:rsidRPr="00F97E98">
        <w:rPr>
          <w:noProof/>
          <w:lang w:val="pl-PL"/>
        </w:rPr>
        <w:t>.</w:t>
      </w:r>
      <w:r w:rsidRPr="00F97E98">
        <w:rPr>
          <w:rFonts w:ascii="Times New Roman" w:hAnsi="Times New Roman"/>
          <w:noProof/>
          <w:sz w:val="24"/>
          <w:lang w:val="pl-PL"/>
        </w:rPr>
        <w:t xml:space="preserve"> </w:t>
      </w:r>
    </w:p>
    <w:p w14:paraId="5B5DDE71" w14:textId="35F371A9" w:rsidR="00E264D6" w:rsidRPr="00534316" w:rsidRDefault="670725BB"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Chociaż</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534316">
        <w:rPr>
          <w:rFonts w:ascii="Times New Roman" w:hAnsi="Times New Roman"/>
          <w:noProof/>
          <w:sz w:val="24"/>
          <w:lang w:val="pl-PL"/>
        </w:rPr>
        <w:t>art</w:t>
      </w:r>
      <w:r w:rsidRPr="00534316">
        <w:rPr>
          <w:rFonts w:ascii="Times New Roman" w:hAnsi="Times New Roman"/>
          <w:noProof/>
          <w:sz w:val="24"/>
          <w:lang w:val="pl-PL"/>
        </w:rPr>
        <w:t>.</w:t>
      </w:r>
      <w:r w:rsidR="00534316" w:rsidRPr="00534316">
        <w:rPr>
          <w:rFonts w:ascii="Times New Roman" w:hAnsi="Times New Roman"/>
          <w:noProof/>
          <w:sz w:val="24"/>
          <w:lang w:val="pl-PL"/>
        </w:rPr>
        <w:t> </w:t>
      </w:r>
      <w:r w:rsidRPr="00534316">
        <w:rPr>
          <w:rFonts w:ascii="Times New Roman" w:hAnsi="Times New Roman"/>
          <w:noProof/>
          <w:sz w:val="24"/>
          <w:lang w:val="pl-PL"/>
        </w:rPr>
        <w:t>1</w:t>
      </w:r>
      <w:r w:rsidRPr="00F97E98">
        <w:rPr>
          <w:rFonts w:ascii="Times New Roman" w:hAnsi="Times New Roman"/>
          <w:noProof/>
          <w:sz w:val="24"/>
          <w:lang w:val="pl-PL"/>
        </w:rPr>
        <w:t xml:space="preserve">3 </w:t>
      </w:r>
      <w:r w:rsidRPr="00534316">
        <w:rPr>
          <w:rFonts w:ascii="Times New Roman" w:hAnsi="Times New Roman"/>
          <w:noProof/>
          <w:sz w:val="24"/>
          <w:lang w:val="pl-PL"/>
        </w:rPr>
        <w:t>lit.</w:t>
      </w:r>
      <w:r w:rsidR="00534316" w:rsidRPr="00534316">
        <w:rPr>
          <w:rFonts w:ascii="Times New Roman" w:hAnsi="Times New Roman"/>
          <w:noProof/>
          <w:sz w:val="24"/>
          <w:lang w:val="pl-PL"/>
        </w:rPr>
        <w:t> </w:t>
      </w:r>
      <w:r w:rsidRPr="00534316">
        <w:rPr>
          <w:rFonts w:ascii="Times New Roman" w:hAnsi="Times New Roman"/>
          <w:noProof/>
          <w:sz w:val="24"/>
          <w:lang w:val="pl-PL"/>
        </w:rPr>
        <w:t>c)</w:t>
      </w:r>
      <w:r w:rsidRPr="00F97E98">
        <w:rPr>
          <w:rFonts w:ascii="Times New Roman" w:hAnsi="Times New Roman"/>
          <w:noProof/>
          <w:sz w:val="24"/>
          <w:lang w:val="pl-PL"/>
        </w:rPr>
        <w:t xml:space="preserve"> rozporządzenia Rady zobowiązuje się państwa członkowskie do zrekompensowania dostawcom kosztów dostaw energii elektrycznej poniżej kosztów, państwa członkowskie nie uwzględniły</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swo</w:t>
      </w:r>
      <w:r w:rsidRPr="00F97E98">
        <w:rPr>
          <w:rFonts w:ascii="Times New Roman" w:hAnsi="Times New Roman"/>
          <w:noProof/>
          <w:sz w:val="24"/>
          <w:lang w:val="pl-PL"/>
        </w:rPr>
        <w:t>ich sprawozdaniach szczegółowych informacji na ten temat</w:t>
      </w:r>
      <w:r w:rsidRPr="00534316">
        <w:rPr>
          <w:rFonts w:ascii="Times New Roman" w:hAnsi="Times New Roman"/>
          <w:noProof/>
          <w:sz w:val="24"/>
          <w:lang w:val="pl-PL"/>
        </w:rPr>
        <w:t>.</w:t>
      </w:r>
      <w:r w:rsidR="00534316" w:rsidRPr="00534316">
        <w:rPr>
          <w:rFonts w:ascii="Times New Roman" w:hAnsi="Times New Roman"/>
          <w:noProof/>
          <w:sz w:val="24"/>
          <w:lang w:val="pl-PL"/>
        </w:rPr>
        <w:t xml:space="preserve"> </w:t>
      </w:r>
    </w:p>
    <w:p w14:paraId="3B2B6D2B" w14:textId="37C810C5" w:rsidR="00E264D6" w:rsidRPr="00F97E98" w:rsidRDefault="670725BB" w:rsidP="6E35EF87">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Niektóre państwa członkowskie wspomniały ponadto</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inn</w:t>
      </w:r>
      <w:r w:rsidRPr="00F97E98">
        <w:rPr>
          <w:rFonts w:ascii="Times New Roman" w:hAnsi="Times New Roman"/>
          <w:noProof/>
          <w:sz w:val="24"/>
          <w:lang w:val="pl-PL"/>
        </w:rPr>
        <w:t>ych rodzajach interwencji na rzecz MŚP. Na przykład Portugalia wspomniała</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obn</w:t>
      </w:r>
      <w:r w:rsidRPr="00F97E98">
        <w:rPr>
          <w:rFonts w:ascii="Times New Roman" w:hAnsi="Times New Roman"/>
          <w:noProof/>
          <w:sz w:val="24"/>
          <w:lang w:val="pl-PL"/>
        </w:rPr>
        <w:t>iżeniu taryf sieciowych jako interwencji cenowej dostosowanej do potrzeb MŚP. Dania, Łotwa</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Szw</w:t>
      </w:r>
      <w:r w:rsidRPr="00F97E98">
        <w:rPr>
          <w:rFonts w:ascii="Times New Roman" w:hAnsi="Times New Roman"/>
          <w:noProof/>
          <w:sz w:val="24"/>
          <w:lang w:val="pl-PL"/>
        </w:rPr>
        <w:t>ecja wprowadziły różne interwencje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ustalania cen dla różnych grup konsumentów (działania dotyczące podatków, opłat, rabatów, systemów rekompensat itp.). Niemcy wprowadziły ogólnogospodarczy system rekompensat zwiększonych kosztów energii elektrycznej ponoszonych przez przedsiębiorstwa, nie naruszając jednak swobody działania dostawców na rynku</w:t>
      </w:r>
      <w:r w:rsidRPr="00F97E98">
        <w:rPr>
          <w:rStyle w:val="FootnoteReference"/>
          <w:rFonts w:ascii="Times New Roman" w:eastAsia="Times New Roman" w:hAnsi="Times New Roman" w:cs="Times New Roman"/>
          <w:noProof/>
          <w:sz w:val="24"/>
          <w:lang w:val="pl-PL"/>
        </w:rPr>
        <w:footnoteReference w:id="26"/>
      </w:r>
      <w:r w:rsidRPr="00F97E98">
        <w:rPr>
          <w:noProof/>
          <w:lang w:val="pl-PL"/>
        </w:rPr>
        <w:t>.</w:t>
      </w:r>
    </w:p>
    <w:p w14:paraId="0C07D57A" w14:textId="3A36F272" w:rsidR="00E264D6" w:rsidRPr="00F97E98" w:rsidRDefault="670725BB" w:rsidP="6E35EF87">
      <w:pPr>
        <w:spacing w:before="120" w:after="120" w:line="360" w:lineRule="auto"/>
        <w:jc w:val="both"/>
        <w:rPr>
          <w:rStyle w:val="FootnoteReference"/>
          <w:rFonts w:ascii="Times New Roman" w:eastAsia="Times New Roman" w:hAnsi="Times New Roman" w:cs="Times New Roman"/>
          <w:noProof/>
          <w:sz w:val="24"/>
          <w:lang w:val="pl-PL"/>
        </w:rPr>
      </w:pPr>
      <w:r w:rsidRPr="00F97E98">
        <w:rPr>
          <w:rFonts w:ascii="Times New Roman" w:hAnsi="Times New Roman"/>
          <w:noProof/>
          <w:sz w:val="24"/>
          <w:lang w:val="pl-PL"/>
        </w:rPr>
        <w:t xml:space="preserve">W </w:t>
      </w:r>
      <w:r w:rsidRPr="00534316">
        <w:rPr>
          <w:rFonts w:ascii="Times New Roman" w:hAnsi="Times New Roman"/>
          <w:noProof/>
          <w:sz w:val="24"/>
          <w:lang w:val="pl-PL"/>
        </w:rPr>
        <w:t>art.</w:t>
      </w:r>
      <w:r w:rsidR="00534316" w:rsidRPr="00534316">
        <w:rPr>
          <w:rFonts w:ascii="Times New Roman" w:hAnsi="Times New Roman"/>
          <w:noProof/>
          <w:sz w:val="24"/>
          <w:lang w:val="pl-PL"/>
        </w:rPr>
        <w:t> </w:t>
      </w:r>
      <w:r w:rsidRPr="00534316">
        <w:rPr>
          <w:rFonts w:ascii="Times New Roman" w:hAnsi="Times New Roman"/>
          <w:noProof/>
          <w:sz w:val="24"/>
          <w:lang w:val="pl-PL"/>
        </w:rPr>
        <w:t>1</w:t>
      </w:r>
      <w:r w:rsidRPr="00F97E98">
        <w:rPr>
          <w:rFonts w:ascii="Times New Roman" w:hAnsi="Times New Roman"/>
          <w:noProof/>
          <w:sz w:val="24"/>
          <w:lang w:val="pl-PL"/>
        </w:rPr>
        <w:t>2</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1</w:t>
      </w:r>
      <w:r w:rsidRPr="00F97E98">
        <w:rPr>
          <w:rFonts w:ascii="Times New Roman" w:hAnsi="Times New Roman"/>
          <w:noProof/>
          <w:sz w:val="24"/>
          <w:lang w:val="pl-PL"/>
        </w:rPr>
        <w:t>3 wymaga się również, aby każda interwencja publiczna na rynku detalicznym obejmowała zachętę do zmniejszania zapotrzebowania na energię elektryczną</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 xml:space="preserve"> względzie szereg państw członkowskich,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 xml:space="preserve"> Austria, Niemcy, Chorwacja, Niderlandy</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Rum</w:t>
      </w:r>
      <w:r w:rsidRPr="00F97E98">
        <w:rPr>
          <w:rFonts w:ascii="Times New Roman" w:hAnsi="Times New Roman"/>
          <w:noProof/>
          <w:sz w:val="24"/>
          <w:lang w:val="pl-PL"/>
        </w:rPr>
        <w:t>unia, zgłosiło systemy oparte na pułapach zużycia,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 xml:space="preserve"> interwencje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 xml:space="preserve">resie ustalania cen lub systemy rekompensat bezpośrednich lub pośrednich dla konsumentów końcowych. </w:t>
      </w:r>
    </w:p>
    <w:p w14:paraId="23956E68" w14:textId="211E301F" w:rsidR="50D6F801" w:rsidRPr="00F97E98" w:rsidRDefault="50D6F801" w:rsidP="00033E4E">
      <w:pPr>
        <w:spacing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Ceny regulowane mają istotne wady</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szc</w:t>
      </w:r>
      <w:r w:rsidRPr="00F97E98">
        <w:rPr>
          <w:rFonts w:ascii="Times New Roman" w:hAnsi="Times New Roman"/>
          <w:noProof/>
          <w:sz w:val="24"/>
          <w:lang w:val="pl-PL"/>
        </w:rPr>
        <w:t>zególności mogą one ograniczać zachęty</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efektywności energetycznej</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osł</w:t>
      </w:r>
      <w:r w:rsidRPr="00F97E98">
        <w:rPr>
          <w:rFonts w:ascii="Times New Roman" w:hAnsi="Times New Roman"/>
          <w:noProof/>
          <w:sz w:val="24"/>
          <w:lang w:val="pl-PL"/>
        </w:rPr>
        <w:t>abić konkurencję ze szkodą dla konsumentów</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dłu</w:t>
      </w:r>
      <w:r w:rsidRPr="00F97E98">
        <w:rPr>
          <w:rFonts w:ascii="Times New Roman" w:hAnsi="Times New Roman"/>
          <w:noProof/>
          <w:sz w:val="24"/>
          <w:lang w:val="pl-PL"/>
        </w:rPr>
        <w:t>ższej perspektywie. Obawy te uwydatniają znaczenie przepisów mających zastosowanie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dyr</w:t>
      </w:r>
      <w:r w:rsidRPr="00F97E98">
        <w:rPr>
          <w:rFonts w:ascii="Times New Roman" w:hAnsi="Times New Roman"/>
          <w:noProof/>
          <w:sz w:val="24"/>
          <w:lang w:val="pl-PL"/>
        </w:rPr>
        <w:t>ektywie 2019/944</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spr</w:t>
      </w:r>
      <w:r w:rsidRPr="00F97E98">
        <w:rPr>
          <w:rFonts w:ascii="Times New Roman" w:hAnsi="Times New Roman"/>
          <w:noProof/>
          <w:sz w:val="24"/>
          <w:lang w:val="pl-PL"/>
        </w:rPr>
        <w:t>awie energii elektrycznej, od których rozporządzeniem Rady wprowadza się odstępstwa.</w:t>
      </w:r>
    </w:p>
    <w:p w14:paraId="36B95164" w14:textId="77777777" w:rsidR="00E264D6" w:rsidRPr="00F97E98" w:rsidRDefault="670725BB" w:rsidP="6E35EF87">
      <w:pPr>
        <w:spacing w:before="120" w:after="120" w:line="360" w:lineRule="auto"/>
        <w:jc w:val="both"/>
        <w:rPr>
          <w:rFonts w:ascii="Times New Roman" w:eastAsia="Times New Roman" w:hAnsi="Times New Roman" w:cs="Times New Roman"/>
          <w:i/>
          <w:noProof/>
          <w:sz w:val="24"/>
          <w:lang w:val="pl-PL"/>
        </w:rPr>
      </w:pPr>
      <w:r w:rsidRPr="00F97E98">
        <w:rPr>
          <w:rFonts w:ascii="Times New Roman" w:hAnsi="Times New Roman"/>
          <w:i/>
          <w:noProof/>
          <w:sz w:val="24"/>
          <w:lang w:val="pl-PL"/>
        </w:rPr>
        <w:t>Ocena dotycząca przedłużenia okresu obowiązywania środka</w:t>
      </w:r>
    </w:p>
    <w:p w14:paraId="7E743959" w14:textId="08BB5E1D" w:rsidR="00E264D6" w:rsidRPr="00F97E98" w:rsidRDefault="670725BB"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Środek kryzysowy dający państwom członkowskim możliwość ograniczenia cen dla gospodarstw domowych i MŚP wyraźnie okazał się przydatny, ponieważ szereg państw członkowskich skorzystało</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moż</w:t>
      </w:r>
      <w:r w:rsidRPr="00F97E98">
        <w:rPr>
          <w:rFonts w:ascii="Times New Roman" w:hAnsi="Times New Roman"/>
          <w:noProof/>
          <w:sz w:val="24"/>
          <w:lang w:val="pl-PL"/>
        </w:rPr>
        <w:t>liwości rozszerzenia istniejących systemów lub stworzenia nowych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bar</w:t>
      </w:r>
      <w:r w:rsidRPr="00F97E98">
        <w:rPr>
          <w:rFonts w:ascii="Times New Roman" w:hAnsi="Times New Roman"/>
          <w:noProof/>
          <w:sz w:val="24"/>
          <w:lang w:val="pl-PL"/>
        </w:rPr>
        <w:t xml:space="preserve">dzo krótkim czasie. </w:t>
      </w:r>
    </w:p>
    <w:p w14:paraId="4BC90B3C" w14:textId="0C3D5739" w:rsidR="00E264D6" w:rsidRPr="00F97E98" w:rsidRDefault="670725BB"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Po ocenie zalet</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wad</w:t>
      </w:r>
      <w:r w:rsidRPr="00F97E98">
        <w:rPr>
          <w:rFonts w:ascii="Times New Roman" w:hAnsi="Times New Roman"/>
          <w:noProof/>
          <w:sz w:val="24"/>
          <w:lang w:val="pl-PL"/>
        </w:rPr>
        <w:t xml:space="preserve"> środków na rynku detalicznym zgłoszonych przez państwa członkowskie, wyników konsultacji publicznych oraz</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świ</w:t>
      </w:r>
      <w:r w:rsidRPr="00F97E98">
        <w:rPr>
          <w:rFonts w:ascii="Times New Roman" w:hAnsi="Times New Roman"/>
          <w:noProof/>
          <w:sz w:val="24"/>
          <w:lang w:val="pl-PL"/>
        </w:rPr>
        <w:t xml:space="preserve">etle wytycznych dotyczących polityki fiskalnej dla państw członkowskich </w:t>
      </w:r>
      <w:r w:rsidRPr="00534316">
        <w:rPr>
          <w:rFonts w:ascii="Times New Roman" w:hAnsi="Times New Roman"/>
          <w:noProof/>
          <w:sz w:val="24"/>
          <w:lang w:val="pl-PL"/>
        </w:rPr>
        <w:t>na</w:t>
      </w:r>
      <w:r w:rsidR="00534316" w:rsidRPr="00534316">
        <w:rPr>
          <w:rFonts w:ascii="Times New Roman" w:hAnsi="Times New Roman"/>
          <w:noProof/>
          <w:sz w:val="24"/>
          <w:lang w:val="pl-PL"/>
        </w:rPr>
        <w:t> </w:t>
      </w:r>
      <w:r w:rsidRPr="00534316">
        <w:rPr>
          <w:rFonts w:ascii="Times New Roman" w:hAnsi="Times New Roman"/>
          <w:noProof/>
          <w:sz w:val="24"/>
          <w:lang w:val="pl-PL"/>
        </w:rPr>
        <w:t>2</w:t>
      </w:r>
      <w:r w:rsidRPr="00F97E98">
        <w:rPr>
          <w:rFonts w:ascii="Times New Roman" w:hAnsi="Times New Roman"/>
          <w:noProof/>
          <w:sz w:val="24"/>
          <w:lang w:val="pl-PL"/>
        </w:rPr>
        <w:t>0</w:t>
      </w:r>
      <w:r w:rsidRPr="00534316">
        <w:rPr>
          <w:rFonts w:ascii="Times New Roman" w:hAnsi="Times New Roman"/>
          <w:noProof/>
          <w:sz w:val="24"/>
          <w:lang w:val="pl-PL"/>
        </w:rPr>
        <w:t>24</w:t>
      </w:r>
      <w:r w:rsidR="00534316" w:rsidRPr="00534316">
        <w:rPr>
          <w:rFonts w:ascii="Times New Roman" w:hAnsi="Times New Roman"/>
          <w:noProof/>
          <w:sz w:val="24"/>
          <w:lang w:val="pl-PL"/>
        </w:rPr>
        <w:t> </w:t>
      </w:r>
      <w:r w:rsidRPr="00534316">
        <w:rPr>
          <w:rFonts w:ascii="Times New Roman" w:hAnsi="Times New Roman"/>
          <w:noProof/>
          <w:sz w:val="24"/>
          <w:lang w:val="pl-PL"/>
        </w:rPr>
        <w:t>r.</w:t>
      </w:r>
      <w:r w:rsidRPr="00534316">
        <w:rPr>
          <w:rStyle w:val="FootnoteReference"/>
          <w:rFonts w:ascii="Times New Roman" w:eastAsia="Times New Roman" w:hAnsi="Times New Roman" w:cs="Times New Roman"/>
          <w:noProof/>
          <w:sz w:val="24"/>
          <w:lang w:val="pl-PL"/>
        </w:rPr>
        <w:footnoteReference w:id="27"/>
      </w:r>
      <w:r w:rsidR="00534316" w:rsidRPr="00534316">
        <w:rPr>
          <w:rStyle w:val="FootnoteReference"/>
          <w:rFonts w:ascii="Times New Roman" w:eastAsia="Times New Roman" w:hAnsi="Times New Roman" w:cs="Times New Roman"/>
          <w:noProof/>
          <w:sz w:val="24"/>
          <w:lang w:val="pl-PL"/>
        </w:rPr>
        <w:t xml:space="preserve"> </w:t>
      </w:r>
      <w:r w:rsidRPr="00534316">
        <w:rPr>
          <w:rFonts w:ascii="Times New Roman" w:hAnsi="Times New Roman"/>
          <w:noProof/>
          <w:sz w:val="24"/>
          <w:lang w:val="pl-PL"/>
        </w:rPr>
        <w:t>K</w:t>
      </w:r>
      <w:r w:rsidRPr="00F97E98">
        <w:rPr>
          <w:rFonts w:ascii="Times New Roman" w:hAnsi="Times New Roman"/>
          <w:noProof/>
          <w:sz w:val="24"/>
          <w:lang w:val="pl-PL"/>
        </w:rPr>
        <w:t>omisja we wniosku dotyczącym reformy struktury rynku zaproponowała nowe przepisy podobne do przepisów rozporządzenia Rady</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szc</w:t>
      </w:r>
      <w:r w:rsidRPr="00F97E98">
        <w:rPr>
          <w:rFonts w:ascii="Times New Roman" w:hAnsi="Times New Roman"/>
          <w:noProof/>
          <w:sz w:val="24"/>
          <w:lang w:val="pl-PL"/>
        </w:rPr>
        <w:t>zególności Komisja zaproponowała, aby</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cza</w:t>
      </w:r>
      <w:r w:rsidRPr="00F97E98">
        <w:rPr>
          <w:rFonts w:ascii="Times New Roman" w:hAnsi="Times New Roman"/>
          <w:noProof/>
          <w:sz w:val="24"/>
          <w:lang w:val="pl-PL"/>
        </w:rPr>
        <w:t>sie kryzysu związanego</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cen</w:t>
      </w:r>
      <w:r w:rsidRPr="00F97E98">
        <w:rPr>
          <w:rFonts w:ascii="Times New Roman" w:hAnsi="Times New Roman"/>
          <w:noProof/>
          <w:sz w:val="24"/>
          <w:lang w:val="pl-PL"/>
        </w:rPr>
        <w:t>ami energii elektrycznej państwa członkowskie mogły wprowadzić ukierunkowaną interwencję cenową na rzecz gospodarstw domowych i MŚP,</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 xml:space="preserve"> dostawy poniżej kosztów,</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odn</w:t>
      </w:r>
      <w:r w:rsidRPr="00F97E98">
        <w:rPr>
          <w:rFonts w:ascii="Times New Roman" w:hAnsi="Times New Roman"/>
          <w:noProof/>
          <w:sz w:val="24"/>
          <w:lang w:val="pl-PL"/>
        </w:rPr>
        <w:t xml:space="preserve">iesieniu do ograniczonego zużycia energii elektrycznej i na ograniczony czas. </w:t>
      </w:r>
    </w:p>
    <w:p w14:paraId="7AC0D908" w14:textId="245469F1" w:rsidR="00E264D6" w:rsidRPr="00F97E98" w:rsidRDefault="670725BB"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Możliwość ta stanowi uzupełnienie istniejących ram ochrony konsumentów dotkniętych ubóstwem energetycznym</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pod</w:t>
      </w:r>
      <w:r w:rsidRPr="00F97E98">
        <w:rPr>
          <w:rFonts w:ascii="Times New Roman" w:hAnsi="Times New Roman"/>
          <w:noProof/>
          <w:sz w:val="24"/>
          <w:lang w:val="pl-PL"/>
        </w:rPr>
        <w:t>atnych na zagrożenia, które to ramy określone są</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dyr</w:t>
      </w:r>
      <w:r w:rsidRPr="00F97E98">
        <w:rPr>
          <w:rFonts w:ascii="Times New Roman" w:hAnsi="Times New Roman"/>
          <w:noProof/>
          <w:sz w:val="24"/>
          <w:lang w:val="pl-PL"/>
        </w:rPr>
        <w:t>ektywie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spr</w:t>
      </w:r>
      <w:r w:rsidRPr="00F97E98">
        <w:rPr>
          <w:rFonts w:ascii="Times New Roman" w:hAnsi="Times New Roman"/>
          <w:noProof/>
          <w:sz w:val="24"/>
          <w:lang w:val="pl-PL"/>
        </w:rPr>
        <w:t>awie energii elektrycznej. Zgodnie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nim</w:t>
      </w:r>
      <w:r w:rsidRPr="00F97E98">
        <w:rPr>
          <w:rFonts w:ascii="Times New Roman" w:hAnsi="Times New Roman"/>
          <w:noProof/>
          <w:sz w:val="24"/>
          <w:lang w:val="pl-PL"/>
        </w:rPr>
        <w:t>i państwa członkowskie mogą stosować taryfy socjalne wobec konsumentów dotkniętych ubóstwem energetycznym</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pod</w:t>
      </w:r>
      <w:r w:rsidRPr="00F97E98">
        <w:rPr>
          <w:rFonts w:ascii="Times New Roman" w:hAnsi="Times New Roman"/>
          <w:noProof/>
          <w:sz w:val="24"/>
          <w:lang w:val="pl-PL"/>
        </w:rPr>
        <w:t>atnych na zagrożenia oraz tymczasowo regulować ceny detaliczne dla gospodarstw domowych</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mik</w:t>
      </w:r>
      <w:r w:rsidRPr="00F97E98">
        <w:rPr>
          <w:rFonts w:ascii="Times New Roman" w:hAnsi="Times New Roman"/>
          <w:noProof/>
          <w:sz w:val="24"/>
          <w:lang w:val="pl-PL"/>
        </w:rPr>
        <w:t xml:space="preserve">roprzedsiębiorstw do czasu pełnego ustanowienia konkurencji rynkowej. </w:t>
      </w:r>
    </w:p>
    <w:p w14:paraId="5352F8BF" w14:textId="77777777" w:rsidR="21A73C1B" w:rsidRPr="00F97E98" w:rsidRDefault="21A73C1B" w:rsidP="6E35EF87">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Ponieważ przedmiotowy środek jest zasadniczo uwzględniony we wniosku Komisji dotyczącym struktury rynku oraz biorąc pod uwagę informacje obecnie dostępne Komisji, jak określono powyżej, Komisja nie widzi potrzeby przedłużania okresu obowiązywania środka na tym etapie.</w:t>
      </w:r>
    </w:p>
    <w:p w14:paraId="143D982D" w14:textId="570F9F77" w:rsidR="007929AB" w:rsidRPr="007929AB" w:rsidRDefault="4902415C" w:rsidP="007929AB">
      <w:pPr>
        <w:pStyle w:val="Heading1"/>
        <w:keepNext w:val="0"/>
        <w:keepLines w:val="0"/>
        <w:spacing w:before="120" w:after="120" w:line="360" w:lineRule="auto"/>
        <w:rPr>
          <w:rFonts w:ascii="Times New Roman" w:eastAsia="Times New Roman" w:hAnsi="Times New Roman" w:cs="Times New Roman"/>
          <w:noProof/>
          <w:color w:val="auto"/>
        </w:rPr>
      </w:pPr>
      <w:bookmarkStart w:id="18" w:name="_Toc514839106"/>
      <w:bookmarkStart w:id="19" w:name="_Toc137741653"/>
      <w:bookmarkStart w:id="20" w:name="_Toc148742145"/>
      <w:bookmarkStart w:id="21" w:name="_Toc2081564879"/>
      <w:bookmarkEnd w:id="18"/>
      <w:r w:rsidRPr="007929AB">
        <w:rPr>
          <w:rFonts w:ascii="Times New Roman" w:hAnsi="Times New Roman"/>
          <w:noProof/>
          <w:color w:val="auto"/>
          <w:lang w:val="pl-PL"/>
        </w:rPr>
        <w:t>Wstępne wnioski</w:t>
      </w:r>
      <w:bookmarkEnd w:id="19"/>
      <w:bookmarkEnd w:id="20"/>
      <w:bookmarkEnd w:id="21"/>
    </w:p>
    <w:p w14:paraId="59898B03" w14:textId="76AC667A" w:rsidR="450F0284" w:rsidRPr="00F97E98" w:rsidRDefault="60038A52"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 xml:space="preserve">W niniejszym sprawozdaniu przedstawiono przegląd odpowiedzi, które państwa członkowskie otrzymały na temat (i) ich środków na rzecz ograniczenia zapotrzebowania; (ii) </w:t>
      </w:r>
      <w:r w:rsidRPr="00F97E98">
        <w:rPr>
          <w:rStyle w:val="normaltextrun"/>
          <w:rFonts w:ascii="Times New Roman" w:hAnsi="Times New Roman"/>
          <w:noProof/>
          <w:sz w:val="24"/>
          <w:lang w:val="pl-PL"/>
        </w:rPr>
        <w:t>wprowadzenia pułapu dochodów inframarginalnych oraz (iii) interwencji</w:t>
      </w:r>
      <w:r w:rsidR="00534316" w:rsidRPr="00F97E98">
        <w:rPr>
          <w:rStyle w:val="normaltextrun"/>
          <w:rFonts w:ascii="Times New Roman" w:hAnsi="Times New Roman"/>
          <w:noProof/>
          <w:sz w:val="24"/>
          <w:lang w:val="pl-PL"/>
        </w:rPr>
        <w:t xml:space="preserve"> w</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zak</w:t>
      </w:r>
      <w:r w:rsidRPr="00F97E98">
        <w:rPr>
          <w:rStyle w:val="normaltextrun"/>
          <w:rFonts w:ascii="Times New Roman" w:hAnsi="Times New Roman"/>
          <w:noProof/>
          <w:sz w:val="24"/>
          <w:lang w:val="pl-PL"/>
        </w:rPr>
        <w:t>resie ustalania cen detalicznych określonych</w:t>
      </w:r>
      <w:r w:rsidR="00534316" w:rsidRPr="00F97E98">
        <w:rPr>
          <w:rStyle w:val="normaltextrun"/>
          <w:rFonts w:ascii="Times New Roman" w:hAnsi="Times New Roman"/>
          <w:noProof/>
          <w:sz w:val="24"/>
          <w:lang w:val="pl-PL"/>
        </w:rPr>
        <w:t xml:space="preserve"> w</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roz</w:t>
      </w:r>
      <w:r w:rsidRPr="00F97E98">
        <w:rPr>
          <w:rStyle w:val="normaltextrun"/>
          <w:rFonts w:ascii="Times New Roman" w:hAnsi="Times New Roman"/>
          <w:noProof/>
          <w:sz w:val="24"/>
          <w:lang w:val="pl-PL"/>
        </w:rPr>
        <w:t>dziale II rozporządzenia Rady</w:t>
      </w:r>
      <w:r w:rsidR="00534316" w:rsidRPr="00F97E98">
        <w:rPr>
          <w:rStyle w:val="normaltextrun"/>
          <w:rFonts w:ascii="Times New Roman" w:hAnsi="Times New Roman"/>
          <w:noProof/>
          <w:sz w:val="24"/>
          <w:lang w:val="pl-PL"/>
        </w:rPr>
        <w:t>. W</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spr</w:t>
      </w:r>
      <w:r w:rsidRPr="00F97E98">
        <w:rPr>
          <w:rStyle w:val="normaltextrun"/>
          <w:rFonts w:ascii="Times New Roman" w:hAnsi="Times New Roman"/>
          <w:noProof/>
          <w:sz w:val="24"/>
          <w:lang w:val="pl-PL"/>
        </w:rPr>
        <w:t>awozdaniu przedstawiono również przegląd uwag, które przekazali respondenci biorący udział</w:t>
      </w:r>
      <w:r w:rsidR="00534316" w:rsidRPr="00F97E98">
        <w:rPr>
          <w:rStyle w:val="normaltextrun"/>
          <w:rFonts w:ascii="Times New Roman" w:hAnsi="Times New Roman"/>
          <w:noProof/>
          <w:sz w:val="24"/>
          <w:lang w:val="pl-PL"/>
        </w:rPr>
        <w:t xml:space="preserve"> w</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kon</w:t>
      </w:r>
      <w:r w:rsidRPr="00F97E98">
        <w:rPr>
          <w:rStyle w:val="normaltextrun"/>
          <w:rFonts w:ascii="Times New Roman" w:hAnsi="Times New Roman"/>
          <w:noProof/>
          <w:sz w:val="24"/>
          <w:lang w:val="pl-PL"/>
        </w:rPr>
        <w:t>sultacjach publicznych na te same tematy. Informacje ocenione</w:t>
      </w:r>
      <w:r w:rsidR="00534316" w:rsidRPr="00F97E98">
        <w:rPr>
          <w:rStyle w:val="normaltextrun"/>
          <w:rFonts w:ascii="Times New Roman" w:hAnsi="Times New Roman"/>
          <w:noProof/>
          <w:sz w:val="24"/>
          <w:lang w:val="pl-PL"/>
        </w:rPr>
        <w:t xml:space="preserve"> w</w:t>
      </w:r>
      <w:r w:rsidR="00534316">
        <w:rPr>
          <w:rStyle w:val="normaltextrun"/>
          <w:rFonts w:ascii="Times New Roman" w:hAnsi="Times New Roman"/>
          <w:noProof/>
          <w:sz w:val="24"/>
          <w:lang w:val="pl-PL"/>
        </w:rPr>
        <w:t> </w:t>
      </w:r>
      <w:r w:rsidR="00534316" w:rsidRPr="00F97E98">
        <w:rPr>
          <w:rStyle w:val="normaltextrun"/>
          <w:rFonts w:ascii="Times New Roman" w:hAnsi="Times New Roman"/>
          <w:noProof/>
          <w:sz w:val="24"/>
          <w:lang w:val="pl-PL"/>
        </w:rPr>
        <w:t>nin</w:t>
      </w:r>
      <w:r w:rsidRPr="00F97E98">
        <w:rPr>
          <w:rStyle w:val="normaltextrun"/>
          <w:rFonts w:ascii="Times New Roman" w:hAnsi="Times New Roman"/>
          <w:noProof/>
          <w:sz w:val="24"/>
          <w:lang w:val="pl-PL"/>
        </w:rPr>
        <w:t xml:space="preserve">iejszym sprawozdaniu oraz </w:t>
      </w:r>
      <w:r w:rsidRPr="00F97E98">
        <w:rPr>
          <w:rFonts w:ascii="Times New Roman" w:hAnsi="Times New Roman"/>
          <w:noProof/>
          <w:sz w:val="24"/>
          <w:lang w:val="pl-PL"/>
        </w:rPr>
        <w:t>warunki dostaw</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cen</w:t>
      </w:r>
      <w:r w:rsidRPr="00F97E98">
        <w:rPr>
          <w:rFonts w:ascii="Times New Roman" w:hAnsi="Times New Roman"/>
          <w:noProof/>
          <w:sz w:val="24"/>
          <w:lang w:val="pl-PL"/>
        </w:rPr>
        <w:t>y energii elektrycznej w UE, obecnie</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jak</w:t>
      </w:r>
      <w:r w:rsidRPr="00F97E98">
        <w:rPr>
          <w:rFonts w:ascii="Times New Roman" w:hAnsi="Times New Roman"/>
          <w:noProof/>
          <w:sz w:val="24"/>
          <w:lang w:val="pl-PL"/>
        </w:rPr>
        <w:t>o możliwe do przewidzenia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nor</w:t>
      </w:r>
      <w:r w:rsidRPr="00F97E98">
        <w:rPr>
          <w:rFonts w:ascii="Times New Roman" w:hAnsi="Times New Roman"/>
          <w:noProof/>
          <w:sz w:val="24"/>
          <w:lang w:val="pl-PL"/>
        </w:rPr>
        <w:t>malnych okolicznościach, nie dostarczają dowodów na to, że przedłużenie obowiązywania każdego ze środków na rzecz ograniczenia zapotrzebowania, pułapu dochodów inframarginalnych</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int</w:t>
      </w:r>
      <w:r w:rsidRPr="00F97E98">
        <w:rPr>
          <w:rFonts w:ascii="Times New Roman" w:hAnsi="Times New Roman"/>
          <w:noProof/>
          <w:sz w:val="24"/>
          <w:lang w:val="pl-PL"/>
        </w:rPr>
        <w:t xml:space="preserve">erwencji na rynku detalicznym byłoby konieczne lub wskazane. </w:t>
      </w:r>
    </w:p>
    <w:p w14:paraId="0CA6DE5D" w14:textId="5A7FEF15" w:rsidR="00221A36" w:rsidRPr="00534316" w:rsidRDefault="125B7398"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i/>
          <w:noProof/>
          <w:sz w:val="24"/>
          <w:lang w:val="pl-PL"/>
        </w:rPr>
        <w:t>Po pierwsze</w:t>
      </w:r>
      <w:r w:rsidRPr="00F97E98">
        <w:rPr>
          <w:rFonts w:ascii="Times New Roman" w:hAnsi="Times New Roman"/>
          <w:noProof/>
          <w:sz w:val="24"/>
          <w:lang w:val="pl-PL"/>
        </w:rPr>
        <w:t>, jeżeli chodzi</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śro</w:t>
      </w:r>
      <w:r w:rsidRPr="00F97E98">
        <w:rPr>
          <w:rFonts w:ascii="Times New Roman" w:hAnsi="Times New Roman"/>
          <w:noProof/>
          <w:sz w:val="24"/>
          <w:lang w:val="pl-PL"/>
        </w:rPr>
        <w:t>dki na rzecz ograniczenia zapotrzebowania, wydaje się, że wszystkie państwa członkowskie składające sprawozdania wdrożyły środki mające na celu zmniejszenie zapotrzebowania na energię elektryczną, głównie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dro</w:t>
      </w:r>
      <w:r w:rsidRPr="00F97E98">
        <w:rPr>
          <w:rFonts w:ascii="Times New Roman" w:hAnsi="Times New Roman"/>
          <w:noProof/>
          <w:sz w:val="24"/>
          <w:lang w:val="pl-PL"/>
        </w:rPr>
        <w:t>dze kampanii podnoszących świadomość</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uki</w:t>
      </w:r>
      <w:r w:rsidRPr="00F97E98">
        <w:rPr>
          <w:rFonts w:ascii="Times New Roman" w:hAnsi="Times New Roman"/>
          <w:noProof/>
          <w:sz w:val="24"/>
          <w:lang w:val="pl-PL"/>
        </w:rPr>
        <w:t>erunkowanych środków służących oszczędzaniu energii. Chociaż państwa członkowskie zgłaszają, że ogólnie przestrzegają wiążącego celu, jakim jest zmniejszenie zużycia energii elektrycznej</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534316">
        <w:rPr>
          <w:rFonts w:ascii="Times New Roman" w:hAnsi="Times New Roman"/>
          <w:noProof/>
          <w:sz w:val="24"/>
          <w:lang w:val="pl-PL"/>
        </w:rPr>
        <w:t>5 </w:t>
      </w:r>
      <w:r w:rsidRPr="00534316">
        <w:rPr>
          <w:rFonts w:ascii="Times New Roman" w:hAnsi="Times New Roman"/>
          <w:noProof/>
          <w:sz w:val="24"/>
          <w:lang w:val="pl-PL"/>
        </w:rPr>
        <w:t>%</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god</w:t>
      </w:r>
      <w:r w:rsidRPr="00F97E98">
        <w:rPr>
          <w:rFonts w:ascii="Times New Roman" w:hAnsi="Times New Roman"/>
          <w:noProof/>
          <w:sz w:val="24"/>
          <w:lang w:val="pl-PL"/>
        </w:rPr>
        <w:t>zinach szczytu, wydaje się, że zmniejszenie miesięcznego zużycia energii elektrycznej brutto</w:t>
      </w:r>
      <w:r w:rsidR="00534316" w:rsidRPr="00F97E98">
        <w:rPr>
          <w:rFonts w:ascii="Times New Roman" w:hAnsi="Times New Roman"/>
          <w:noProof/>
          <w:sz w:val="24"/>
          <w:lang w:val="pl-PL"/>
        </w:rPr>
        <w:t xml:space="preserve"> o</w:t>
      </w:r>
      <w:r w:rsidR="00534316">
        <w:rPr>
          <w:rFonts w:ascii="Times New Roman" w:hAnsi="Times New Roman"/>
          <w:noProof/>
          <w:sz w:val="24"/>
          <w:lang w:val="pl-PL"/>
        </w:rPr>
        <w:t> </w:t>
      </w:r>
      <w:r w:rsidR="00534316" w:rsidRPr="00F97E98">
        <w:rPr>
          <w:rFonts w:ascii="Times New Roman" w:hAnsi="Times New Roman"/>
          <w:noProof/>
          <w:sz w:val="24"/>
          <w:lang w:val="pl-PL"/>
        </w:rPr>
        <w:t>1</w:t>
      </w:r>
      <w:r w:rsidRPr="00534316">
        <w:rPr>
          <w:rFonts w:ascii="Times New Roman" w:hAnsi="Times New Roman"/>
          <w:noProof/>
          <w:sz w:val="24"/>
          <w:lang w:val="pl-PL"/>
        </w:rPr>
        <w:t>0</w:t>
      </w:r>
      <w:r w:rsidR="00534316" w:rsidRPr="00534316">
        <w:rPr>
          <w:rFonts w:ascii="Times New Roman" w:hAnsi="Times New Roman"/>
          <w:noProof/>
          <w:sz w:val="24"/>
          <w:lang w:val="pl-PL"/>
        </w:rPr>
        <w:t> </w:t>
      </w:r>
      <w:r w:rsidRPr="00534316">
        <w:rPr>
          <w:rFonts w:ascii="Times New Roman" w:hAnsi="Times New Roman"/>
          <w:noProof/>
          <w:sz w:val="24"/>
          <w:lang w:val="pl-PL"/>
        </w:rPr>
        <w:t>%</w:t>
      </w:r>
      <w:r w:rsidRPr="00F97E98">
        <w:rPr>
          <w:rFonts w:ascii="Times New Roman" w:hAnsi="Times New Roman"/>
          <w:noProof/>
          <w:sz w:val="24"/>
          <w:lang w:val="pl-PL"/>
        </w:rPr>
        <w:t xml:space="preserve"> stanowiło wyzwanie, ale nie przeszkodziło to</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zao</w:t>
      </w:r>
      <w:r w:rsidRPr="00F97E98">
        <w:rPr>
          <w:rFonts w:ascii="Times New Roman" w:hAnsi="Times New Roman"/>
          <w:noProof/>
          <w:sz w:val="24"/>
          <w:lang w:val="pl-PL"/>
        </w:rPr>
        <w:t>bserwowanej obniżce cen energii elektrycznej</w:t>
      </w:r>
      <w:r w:rsidRPr="00534316">
        <w:rPr>
          <w:rFonts w:ascii="Times New Roman" w:hAnsi="Times New Roman"/>
          <w:noProof/>
          <w:sz w:val="24"/>
          <w:lang w:val="pl-PL"/>
        </w:rPr>
        <w:t>.</w:t>
      </w:r>
      <w:r w:rsidR="00534316" w:rsidRPr="00534316">
        <w:rPr>
          <w:rFonts w:ascii="Times New Roman" w:hAnsi="Times New Roman"/>
          <w:noProof/>
          <w:sz w:val="24"/>
          <w:lang w:val="pl-PL"/>
        </w:rPr>
        <w:t xml:space="preserve"> </w:t>
      </w:r>
    </w:p>
    <w:p w14:paraId="78AD5B51" w14:textId="115B333E" w:rsidR="002B6577" w:rsidRPr="00F97E98" w:rsidRDefault="7AD1F763" w:rsidP="6E35EF87">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Na podstawie dostępnych informacji Komisja nie widzi obecnie potrzeby przedłużania okresu obowiązywania środków na rzecz ograniczenia zapotrzebowania określonych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Rady</w:t>
      </w:r>
      <w:r w:rsidR="00534316" w:rsidRPr="00F97E98">
        <w:rPr>
          <w:rFonts w:ascii="Times New Roman" w:hAnsi="Times New Roman"/>
          <w:noProof/>
          <w:sz w:val="24"/>
          <w:lang w:val="pl-PL"/>
        </w:rPr>
        <w:t>. O</w:t>
      </w:r>
      <w:r w:rsidR="00534316">
        <w:rPr>
          <w:rFonts w:ascii="Times New Roman" w:hAnsi="Times New Roman"/>
          <w:noProof/>
          <w:sz w:val="24"/>
          <w:lang w:val="pl-PL"/>
        </w:rPr>
        <w:t> </w:t>
      </w:r>
      <w:r w:rsidR="00534316" w:rsidRPr="00F97E98">
        <w:rPr>
          <w:rFonts w:ascii="Times New Roman" w:hAnsi="Times New Roman"/>
          <w:noProof/>
          <w:sz w:val="24"/>
          <w:lang w:val="pl-PL"/>
        </w:rPr>
        <w:t>ile</w:t>
      </w:r>
      <w:r w:rsidRPr="00F97E98">
        <w:rPr>
          <w:rFonts w:ascii="Times New Roman" w:hAnsi="Times New Roman"/>
          <w:noProof/>
          <w:sz w:val="24"/>
          <w:lang w:val="pl-PL"/>
        </w:rPr>
        <w:t xml:space="preserve"> nie nastąpią nieprzewidziane zmiany, obecne warunki na rynku energii elektrycznej nie wymagają takiego przedłużenia. Jest to również zgodne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inf</w:t>
      </w:r>
      <w:r w:rsidRPr="00F97E98">
        <w:rPr>
          <w:rFonts w:ascii="Times New Roman" w:hAnsi="Times New Roman"/>
          <w:noProof/>
          <w:sz w:val="24"/>
          <w:lang w:val="pl-PL"/>
        </w:rPr>
        <w:t>ormacjami zwrotnymi otrzymanymi od większości respondentów biorących udział</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kon</w:t>
      </w:r>
      <w:r w:rsidRPr="00F97E98">
        <w:rPr>
          <w:rFonts w:ascii="Times New Roman" w:hAnsi="Times New Roman"/>
          <w:noProof/>
          <w:sz w:val="24"/>
          <w:lang w:val="pl-PL"/>
        </w:rPr>
        <w:t>sultacjach publicznych. Odpowiedź odbioru, choć nie jest już konieczna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per</w:t>
      </w:r>
      <w:r w:rsidRPr="00F97E98">
        <w:rPr>
          <w:rFonts w:ascii="Times New Roman" w:hAnsi="Times New Roman"/>
          <w:noProof/>
          <w:sz w:val="24"/>
          <w:lang w:val="pl-PL"/>
        </w:rPr>
        <w:t>spektywie krótkoterminowej i za pomocą narzędzi ustanowionych rozporządzeniem Rady, jest ważna dla prawidłowego funkcjonowania rynków energii elektrycznej</w:t>
      </w:r>
      <w:r w:rsidR="00534316" w:rsidRPr="00F97E98">
        <w:rPr>
          <w:rFonts w:ascii="Times New Roman" w:hAnsi="Times New Roman"/>
          <w:noProof/>
          <w:sz w:val="24"/>
          <w:lang w:val="pl-PL"/>
        </w:rPr>
        <w:t>. Z</w:t>
      </w:r>
      <w:r w:rsidR="00534316">
        <w:rPr>
          <w:rFonts w:ascii="Times New Roman" w:hAnsi="Times New Roman"/>
          <w:noProof/>
          <w:sz w:val="24"/>
          <w:lang w:val="pl-PL"/>
        </w:rPr>
        <w:t> </w:t>
      </w:r>
      <w:r w:rsidR="00534316" w:rsidRPr="00F97E98">
        <w:rPr>
          <w:rFonts w:ascii="Times New Roman" w:hAnsi="Times New Roman"/>
          <w:noProof/>
          <w:sz w:val="24"/>
          <w:lang w:val="pl-PL"/>
        </w:rPr>
        <w:t>teg</w:t>
      </w:r>
      <w:r w:rsidRPr="00F97E98">
        <w:rPr>
          <w:rFonts w:ascii="Times New Roman" w:hAnsi="Times New Roman"/>
          <w:noProof/>
          <w:sz w:val="24"/>
          <w:lang w:val="pl-PL"/>
        </w:rPr>
        <w:t>o powodu Komisja wprowadziła ją strukturalnie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swo</w:t>
      </w:r>
      <w:r w:rsidRPr="00F97E98">
        <w:rPr>
          <w:rFonts w:ascii="Times New Roman" w:hAnsi="Times New Roman"/>
          <w:noProof/>
          <w:sz w:val="24"/>
          <w:lang w:val="pl-PL"/>
        </w:rPr>
        <w:t xml:space="preserve">im wniosku dotyczącym struktury rynku energii elektrycznej. </w:t>
      </w:r>
    </w:p>
    <w:p w14:paraId="2D9521D8" w14:textId="47063011" w:rsidR="002B6577" w:rsidRPr="00F97E98" w:rsidRDefault="041C5A05"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i/>
          <w:noProof/>
          <w:sz w:val="24"/>
          <w:lang w:val="pl-PL"/>
        </w:rPr>
        <w:t>Po drugie</w:t>
      </w:r>
      <w:r w:rsidRPr="00F97E98">
        <w:rPr>
          <w:rFonts w:ascii="Times New Roman" w:hAnsi="Times New Roman"/>
          <w:noProof/>
          <w:sz w:val="24"/>
          <w:lang w:val="pl-PL"/>
        </w:rPr>
        <w:t>,</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eglądzie stwierdzono, że wdrożenie pułapu dochodów różni się znacznie</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pos</w:t>
      </w:r>
      <w:r w:rsidRPr="00F97E98">
        <w:rPr>
          <w:rFonts w:ascii="Times New Roman" w:hAnsi="Times New Roman"/>
          <w:noProof/>
          <w:sz w:val="24"/>
          <w:lang w:val="pl-PL"/>
        </w:rPr>
        <w:t>zczególnych państwach członkowskich. Jak wynika</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otr</w:t>
      </w:r>
      <w:r w:rsidRPr="00F97E98">
        <w:rPr>
          <w:rFonts w:ascii="Times New Roman" w:hAnsi="Times New Roman"/>
          <w:noProof/>
          <w:sz w:val="24"/>
          <w:lang w:val="pl-PL"/>
        </w:rPr>
        <w:t>zymanych informacji, rozbieżne strategie wdrażania</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pos</w:t>
      </w:r>
      <w:r w:rsidRPr="00F97E98">
        <w:rPr>
          <w:rFonts w:ascii="Times New Roman" w:hAnsi="Times New Roman"/>
          <w:noProof/>
          <w:sz w:val="24"/>
          <w:lang w:val="pl-PL"/>
        </w:rPr>
        <w:t>zczególnych państwach członkowskich doprowadziły do znacznej niepewności dla inwestorów. Sytuację pogarsza fakt, że według doniesień</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nie</w:t>
      </w:r>
      <w:r w:rsidRPr="00F97E98">
        <w:rPr>
          <w:rFonts w:ascii="Times New Roman" w:hAnsi="Times New Roman"/>
          <w:noProof/>
          <w:sz w:val="24"/>
          <w:lang w:val="pl-PL"/>
        </w:rPr>
        <w:t>których państwach członkowskich wdrożenie pułapu miało wpływ na zawieranie umów zakupu energii elektrycznej</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inn</w:t>
      </w:r>
      <w:r w:rsidRPr="00F97E98">
        <w:rPr>
          <w:rFonts w:ascii="Times New Roman" w:hAnsi="Times New Roman"/>
          <w:noProof/>
          <w:sz w:val="24"/>
          <w:lang w:val="pl-PL"/>
        </w:rPr>
        <w:t xml:space="preserve">ych umów długoterminowych. </w:t>
      </w:r>
    </w:p>
    <w:p w14:paraId="4D403934" w14:textId="168039B3" w:rsidR="71C09974" w:rsidRPr="00F97E98" w:rsidRDefault="3976DC95"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Na podstawie dostępnych informacji oraz biorąc pod uwagę obecne</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moż</w:t>
      </w:r>
      <w:r w:rsidRPr="00F97E98">
        <w:rPr>
          <w:rFonts w:ascii="Times New Roman" w:hAnsi="Times New Roman"/>
          <w:noProof/>
          <w:sz w:val="24"/>
          <w:lang w:val="pl-PL"/>
        </w:rPr>
        <w:t>liwe do przewidzenia warunki rynkowe, Komisja uważa, że korzyści płynące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obe</w:t>
      </w:r>
      <w:r w:rsidRPr="00F97E98">
        <w:rPr>
          <w:rFonts w:ascii="Times New Roman" w:hAnsi="Times New Roman"/>
          <w:noProof/>
          <w:sz w:val="24"/>
          <w:lang w:val="pl-PL"/>
        </w:rPr>
        <w:t>cnego pułapu dochodów inframarginalnych nie przeważyłyby nad wpływem na pewność dla inwestorów</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ryz</w:t>
      </w:r>
      <w:r w:rsidRPr="00F97E98">
        <w:rPr>
          <w:rFonts w:ascii="Times New Roman" w:hAnsi="Times New Roman"/>
          <w:noProof/>
          <w:sz w:val="24"/>
          <w:lang w:val="pl-PL"/>
        </w:rPr>
        <w:t>ykiem dla funkcjonowania rynku</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tra</w:t>
      </w:r>
      <w:r w:rsidRPr="00F97E98">
        <w:rPr>
          <w:rFonts w:ascii="Times New Roman" w:hAnsi="Times New Roman"/>
          <w:noProof/>
          <w:sz w:val="24"/>
          <w:lang w:val="pl-PL"/>
        </w:rPr>
        <w:t>nsformacji. Wyzwania związane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pro</w:t>
      </w:r>
      <w:r w:rsidRPr="00F97E98">
        <w:rPr>
          <w:rFonts w:ascii="Times New Roman" w:hAnsi="Times New Roman"/>
          <w:noProof/>
          <w:sz w:val="24"/>
          <w:lang w:val="pl-PL"/>
        </w:rPr>
        <w:t>cesem wdrażania również zniechęcają do przedłużenia okresu obowiązywania pułapu dochodów inframarginalnych określonego</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Rady. Wniosek Komisji jest zgodny</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inf</w:t>
      </w:r>
      <w:r w:rsidRPr="00F97E98">
        <w:rPr>
          <w:rFonts w:ascii="Times New Roman" w:hAnsi="Times New Roman"/>
          <w:noProof/>
          <w:sz w:val="24"/>
          <w:lang w:val="pl-PL"/>
        </w:rPr>
        <w:t>ormacjami zwrotnymi otrzymanymi od większości respondentów biorących udział</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kon</w:t>
      </w:r>
      <w:r w:rsidRPr="00F97E98">
        <w:rPr>
          <w:rFonts w:ascii="Times New Roman" w:hAnsi="Times New Roman"/>
          <w:noProof/>
          <w:sz w:val="24"/>
          <w:lang w:val="pl-PL"/>
        </w:rPr>
        <w:t>sultacjach publicznych, którzy byli przeciwni przedłużeniu okresu obowiązywania tego środka ze względu na obawy związane</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nie</w:t>
      </w:r>
      <w:r w:rsidRPr="00F97E98">
        <w:rPr>
          <w:rFonts w:ascii="Times New Roman" w:hAnsi="Times New Roman"/>
          <w:noProof/>
          <w:sz w:val="24"/>
          <w:lang w:val="pl-PL"/>
        </w:rPr>
        <w:t xml:space="preserve">pewnością dla inwestorów. </w:t>
      </w:r>
    </w:p>
    <w:p w14:paraId="33DF62A6" w14:textId="4E72792C" w:rsidR="00A668E6" w:rsidRPr="00534316" w:rsidRDefault="1514CAD6" w:rsidP="00A668E6">
      <w:pPr>
        <w:spacing w:before="120" w:after="120" w:line="360" w:lineRule="auto"/>
        <w:jc w:val="both"/>
        <w:rPr>
          <w:rFonts w:ascii="Times New Roman" w:hAnsi="Times New Roman"/>
          <w:noProof/>
          <w:sz w:val="24"/>
          <w:lang w:val="pl-PL"/>
        </w:rPr>
      </w:pPr>
      <w:r w:rsidRPr="00F97E98">
        <w:rPr>
          <w:rFonts w:ascii="Times New Roman" w:hAnsi="Times New Roman"/>
          <w:i/>
          <w:noProof/>
          <w:sz w:val="24"/>
          <w:lang w:val="pl-PL"/>
        </w:rPr>
        <w:t>Po trzecie</w:t>
      </w:r>
      <w:r w:rsidRPr="00F97E98">
        <w:rPr>
          <w:rFonts w:ascii="Times New Roman" w:hAnsi="Times New Roman"/>
          <w:noProof/>
          <w:sz w:val="24"/>
          <w:lang w:val="pl-PL"/>
        </w:rPr>
        <w:t>,</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prz</w:t>
      </w:r>
      <w:r w:rsidRPr="00F97E98">
        <w:rPr>
          <w:rFonts w:ascii="Times New Roman" w:hAnsi="Times New Roman"/>
          <w:noProof/>
          <w:sz w:val="24"/>
          <w:lang w:val="pl-PL"/>
        </w:rPr>
        <w:t>eglądzie stwierdzono, że szereg państw członkowskich skorzystało</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moż</w:t>
      </w:r>
      <w:r w:rsidRPr="00F97E98">
        <w:rPr>
          <w:rFonts w:ascii="Times New Roman" w:hAnsi="Times New Roman"/>
          <w:noProof/>
          <w:sz w:val="24"/>
          <w:lang w:val="pl-PL"/>
        </w:rPr>
        <w:t>liwości rozszerzenia zakresu regulacji cen detalicznych na MŚP</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cza</w:t>
      </w:r>
      <w:r w:rsidRPr="00F97E98">
        <w:rPr>
          <w:rFonts w:ascii="Times New Roman" w:hAnsi="Times New Roman"/>
          <w:noProof/>
          <w:sz w:val="24"/>
          <w:lang w:val="pl-PL"/>
        </w:rPr>
        <w:t>sach kryzysu</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sto</w:t>
      </w:r>
      <w:r w:rsidRPr="00F97E98">
        <w:rPr>
          <w:rFonts w:ascii="Times New Roman" w:hAnsi="Times New Roman"/>
          <w:noProof/>
          <w:sz w:val="24"/>
          <w:lang w:val="pl-PL"/>
        </w:rPr>
        <w:t>sowania regulacji cen poniżej kosztów pod pewnymi warunkami. We wniosku dotyczącym struktury rynku energii elektrycznej Komisja zawarła równoważne przepisy, które umożliwiają państwom członkowskim wyjątkową</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tym</w:t>
      </w:r>
      <w:r w:rsidRPr="00F97E98">
        <w:rPr>
          <w:rFonts w:ascii="Times New Roman" w:hAnsi="Times New Roman"/>
          <w:noProof/>
          <w:sz w:val="24"/>
          <w:lang w:val="pl-PL"/>
        </w:rPr>
        <w:t>czasową interwencję na rynkach detalicznych przez ustalenie ceny poniżej kosztów zarówno dla gospodarstw domowych, jak</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dla</w:t>
      </w:r>
      <w:r w:rsidRPr="00F97E98">
        <w:rPr>
          <w:rFonts w:ascii="Times New Roman" w:hAnsi="Times New Roman"/>
          <w:noProof/>
          <w:sz w:val="24"/>
          <w:lang w:val="pl-PL"/>
        </w:rPr>
        <w:t xml:space="preserve"> MŚP</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ewe</w:t>
      </w:r>
      <w:r w:rsidRPr="00F97E98">
        <w:rPr>
          <w:rFonts w:ascii="Times New Roman" w:hAnsi="Times New Roman"/>
          <w:noProof/>
          <w:sz w:val="24"/>
          <w:lang w:val="pl-PL"/>
        </w:rPr>
        <w:t>ntualnych przyszłych sytuacjach kryzysowych. Przyjęcie wniosku</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spr</w:t>
      </w:r>
      <w:r w:rsidRPr="00F97E98">
        <w:rPr>
          <w:rFonts w:ascii="Times New Roman" w:hAnsi="Times New Roman"/>
          <w:noProof/>
          <w:sz w:val="24"/>
          <w:lang w:val="pl-PL"/>
        </w:rPr>
        <w:t>awie struktury rynku energii elektrycznej posłużyłoby zapewnieniu, aby takie środki strukturalne były częścią ram regulacyjnych UE, gdy tylko wniosek zostanie przyjęty</w:t>
      </w:r>
      <w:r w:rsidR="00534316" w:rsidRPr="00F97E98">
        <w:rPr>
          <w:rFonts w:ascii="Times New Roman" w:hAnsi="Times New Roman"/>
          <w:noProof/>
          <w:sz w:val="24"/>
          <w:lang w:val="pl-PL"/>
        </w:rPr>
        <w:t>. W</w:t>
      </w:r>
      <w:r w:rsidR="00534316">
        <w:rPr>
          <w:rFonts w:ascii="Times New Roman" w:hAnsi="Times New Roman"/>
          <w:noProof/>
          <w:sz w:val="24"/>
          <w:lang w:val="pl-PL"/>
        </w:rPr>
        <w:t> </w:t>
      </w:r>
      <w:r w:rsidR="00534316" w:rsidRPr="00F97E98">
        <w:rPr>
          <w:rFonts w:ascii="Times New Roman" w:hAnsi="Times New Roman"/>
          <w:noProof/>
          <w:sz w:val="24"/>
          <w:lang w:val="pl-PL"/>
        </w:rPr>
        <w:t>zwi</w:t>
      </w:r>
      <w:r w:rsidRPr="00F97E98">
        <w:rPr>
          <w:rFonts w:ascii="Times New Roman" w:hAnsi="Times New Roman"/>
          <w:noProof/>
          <w:sz w:val="24"/>
          <w:lang w:val="pl-PL"/>
        </w:rPr>
        <w:t>ązku</w:t>
      </w:r>
      <w:r w:rsidR="00534316" w:rsidRPr="00F97E98">
        <w:rPr>
          <w:rFonts w:ascii="Times New Roman" w:hAnsi="Times New Roman"/>
          <w:noProof/>
          <w:sz w:val="24"/>
          <w:lang w:val="pl-PL"/>
        </w:rPr>
        <w:t xml:space="preserve"> z</w:t>
      </w:r>
      <w:r w:rsidR="00534316">
        <w:rPr>
          <w:rFonts w:ascii="Times New Roman" w:hAnsi="Times New Roman"/>
          <w:noProof/>
          <w:sz w:val="24"/>
          <w:lang w:val="pl-PL"/>
        </w:rPr>
        <w:t> </w:t>
      </w:r>
      <w:r w:rsidR="00534316" w:rsidRPr="00F97E98">
        <w:rPr>
          <w:rFonts w:ascii="Times New Roman" w:hAnsi="Times New Roman"/>
          <w:noProof/>
          <w:sz w:val="24"/>
          <w:lang w:val="pl-PL"/>
        </w:rPr>
        <w:t>pow</w:t>
      </w:r>
      <w:r w:rsidRPr="00F97E98">
        <w:rPr>
          <w:rFonts w:ascii="Times New Roman" w:hAnsi="Times New Roman"/>
          <w:noProof/>
          <w:sz w:val="24"/>
          <w:lang w:val="pl-PL"/>
        </w:rPr>
        <w:t>yższym oraz</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kon</w:t>
      </w:r>
      <w:r w:rsidRPr="00F97E98">
        <w:rPr>
          <w:rFonts w:ascii="Times New Roman" w:hAnsi="Times New Roman"/>
          <w:noProof/>
          <w:sz w:val="24"/>
          <w:lang w:val="pl-PL"/>
        </w:rPr>
        <w:t>tekście obecnych</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ocz</w:t>
      </w:r>
      <w:r w:rsidRPr="00F97E98">
        <w:rPr>
          <w:rFonts w:ascii="Times New Roman" w:hAnsi="Times New Roman"/>
          <w:noProof/>
          <w:sz w:val="24"/>
          <w:lang w:val="pl-PL"/>
        </w:rPr>
        <w:t>ekiwanych warunków dostaw</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cen</w:t>
      </w:r>
      <w:r w:rsidRPr="00F97E98">
        <w:rPr>
          <w:rFonts w:ascii="Times New Roman" w:hAnsi="Times New Roman"/>
          <w:noProof/>
          <w:sz w:val="24"/>
          <w:lang w:val="pl-PL"/>
        </w:rPr>
        <w:t xml:space="preserve"> energii elektrycznej Komisja uważa zatem, że przedłużenie obowiązywania przepisów </w:t>
      </w:r>
      <w:r w:rsidRPr="00534316">
        <w:rPr>
          <w:rFonts w:ascii="Times New Roman" w:hAnsi="Times New Roman"/>
          <w:noProof/>
          <w:sz w:val="24"/>
          <w:lang w:val="pl-PL"/>
        </w:rPr>
        <w:t>art.</w:t>
      </w:r>
      <w:r w:rsidR="00534316" w:rsidRPr="00534316">
        <w:rPr>
          <w:rFonts w:ascii="Times New Roman" w:hAnsi="Times New Roman"/>
          <w:noProof/>
          <w:sz w:val="24"/>
          <w:lang w:val="pl-PL"/>
        </w:rPr>
        <w:t> </w:t>
      </w:r>
      <w:r w:rsidRPr="00534316">
        <w:rPr>
          <w:rFonts w:ascii="Times New Roman" w:hAnsi="Times New Roman"/>
          <w:noProof/>
          <w:sz w:val="24"/>
          <w:lang w:val="pl-PL"/>
        </w:rPr>
        <w:t>1</w:t>
      </w:r>
      <w:r w:rsidRPr="00F97E98">
        <w:rPr>
          <w:rFonts w:ascii="Times New Roman" w:hAnsi="Times New Roman"/>
          <w:noProof/>
          <w:sz w:val="24"/>
          <w:lang w:val="pl-PL"/>
        </w:rPr>
        <w:t>2</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1</w:t>
      </w:r>
      <w:r w:rsidRPr="00F97E98">
        <w:rPr>
          <w:rFonts w:ascii="Times New Roman" w:hAnsi="Times New Roman"/>
          <w:noProof/>
          <w:sz w:val="24"/>
          <w:lang w:val="pl-PL"/>
        </w:rPr>
        <w:t>3 rozporządzenia Rady nie jest konieczne</w:t>
      </w:r>
      <w:r w:rsidRPr="00534316">
        <w:rPr>
          <w:rFonts w:ascii="Times New Roman" w:hAnsi="Times New Roman"/>
          <w:noProof/>
          <w:sz w:val="24"/>
          <w:lang w:val="pl-PL"/>
        </w:rPr>
        <w:t>.</w:t>
      </w:r>
      <w:r w:rsidR="00534316" w:rsidRPr="00534316">
        <w:rPr>
          <w:rFonts w:ascii="Times New Roman" w:hAnsi="Times New Roman"/>
          <w:noProof/>
          <w:sz w:val="24"/>
          <w:lang w:val="pl-PL"/>
        </w:rPr>
        <w:t xml:space="preserve"> </w:t>
      </w:r>
    </w:p>
    <w:p w14:paraId="1BD83D38" w14:textId="71D7A302" w:rsidR="7E5AA0D8" w:rsidRPr="00F97E98" w:rsidRDefault="20A7D633" w:rsidP="2B9E9F58">
      <w:pPr>
        <w:spacing w:before="120" w:after="120" w:line="360" w:lineRule="auto"/>
        <w:jc w:val="both"/>
        <w:rPr>
          <w:rFonts w:ascii="Times New Roman" w:eastAsia="Times New Roman" w:hAnsi="Times New Roman" w:cs="Times New Roman"/>
          <w:noProof/>
          <w:sz w:val="24"/>
          <w:lang w:val="pl-PL"/>
        </w:rPr>
      </w:pPr>
      <w:r w:rsidRPr="00F97E98">
        <w:rPr>
          <w:rFonts w:ascii="Times New Roman" w:hAnsi="Times New Roman"/>
          <w:noProof/>
          <w:sz w:val="24"/>
          <w:lang w:val="pl-PL"/>
        </w:rPr>
        <w:t>Z uwagi na fakt, że niniejsze sprawozdanie opiera się na informacjach, które państwa członkowskie przekazały zaledwie kilka miesięcy po wejściu</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życ</w:t>
      </w:r>
      <w:r w:rsidRPr="00F97E98">
        <w:rPr>
          <w:rFonts w:ascii="Times New Roman" w:hAnsi="Times New Roman"/>
          <w:noProof/>
          <w:sz w:val="24"/>
          <w:lang w:val="pl-PL"/>
        </w:rPr>
        <w:t>ie środków przewidzianych</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roz</w:t>
      </w:r>
      <w:r w:rsidRPr="00F97E98">
        <w:rPr>
          <w:rFonts w:ascii="Times New Roman" w:hAnsi="Times New Roman"/>
          <w:noProof/>
          <w:sz w:val="24"/>
          <w:lang w:val="pl-PL"/>
        </w:rPr>
        <w:t>porządzeniu Rady, ustalenia Komisji pozostają zatem bez uszczerbku dla jakichkolwiek dodatkowych informacji, które Komisja może otrzymać od państw członkowskich, lub dla jakichkolwiek nieprzewidzianych zmian ogólnej sytuacji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zak</w:t>
      </w:r>
      <w:r w:rsidRPr="00F97E98">
        <w:rPr>
          <w:rFonts w:ascii="Times New Roman" w:hAnsi="Times New Roman"/>
          <w:noProof/>
          <w:sz w:val="24"/>
          <w:lang w:val="pl-PL"/>
        </w:rPr>
        <w:t>resie dostaw</w:t>
      </w:r>
      <w:r w:rsidR="00534316" w:rsidRPr="00F97E98">
        <w:rPr>
          <w:rFonts w:ascii="Times New Roman" w:hAnsi="Times New Roman"/>
          <w:noProof/>
          <w:sz w:val="24"/>
          <w:lang w:val="pl-PL"/>
        </w:rPr>
        <w:t xml:space="preserve"> i</w:t>
      </w:r>
      <w:r w:rsidR="00534316">
        <w:rPr>
          <w:rFonts w:ascii="Times New Roman" w:hAnsi="Times New Roman"/>
          <w:noProof/>
          <w:sz w:val="24"/>
          <w:lang w:val="pl-PL"/>
        </w:rPr>
        <w:t> </w:t>
      </w:r>
      <w:r w:rsidR="00534316" w:rsidRPr="00F97E98">
        <w:rPr>
          <w:rFonts w:ascii="Times New Roman" w:hAnsi="Times New Roman"/>
          <w:noProof/>
          <w:sz w:val="24"/>
          <w:lang w:val="pl-PL"/>
        </w:rPr>
        <w:t>cen</w:t>
      </w:r>
      <w:r w:rsidRPr="00F97E98">
        <w:rPr>
          <w:rFonts w:ascii="Times New Roman" w:hAnsi="Times New Roman"/>
          <w:noProof/>
          <w:sz w:val="24"/>
          <w:lang w:val="pl-PL"/>
        </w:rPr>
        <w:t xml:space="preserve"> energii elektrycznej w UE. Jeżeli</w:t>
      </w:r>
      <w:r w:rsidR="00534316" w:rsidRPr="00F97E98">
        <w:rPr>
          <w:rFonts w:ascii="Times New Roman" w:hAnsi="Times New Roman"/>
          <w:noProof/>
          <w:sz w:val="24"/>
          <w:lang w:val="pl-PL"/>
        </w:rPr>
        <w:t xml:space="preserve"> w</w:t>
      </w:r>
      <w:r w:rsidR="00534316">
        <w:rPr>
          <w:rFonts w:ascii="Times New Roman" w:hAnsi="Times New Roman"/>
          <w:noProof/>
          <w:sz w:val="24"/>
          <w:lang w:val="pl-PL"/>
        </w:rPr>
        <w:t> </w:t>
      </w:r>
      <w:r w:rsidR="00534316" w:rsidRPr="00F97E98">
        <w:rPr>
          <w:rFonts w:ascii="Times New Roman" w:hAnsi="Times New Roman"/>
          <w:noProof/>
          <w:sz w:val="24"/>
          <w:lang w:val="pl-PL"/>
        </w:rPr>
        <w:t>inf</w:t>
      </w:r>
      <w:r w:rsidRPr="00F97E98">
        <w:rPr>
          <w:rFonts w:ascii="Times New Roman" w:hAnsi="Times New Roman"/>
          <w:noProof/>
          <w:sz w:val="24"/>
          <w:lang w:val="pl-PL"/>
        </w:rPr>
        <w:t>ormacjach, na których Komisja oparła niniejsze sprawozdanie, wystąpią znaczne zmiany, Komisja może być zmuszona do odpowiedniego dostosowania swoich ustaleń lub podjęcia szybkich działań, jeżeli będzie tego wymagał stan rynku.</w:t>
      </w:r>
    </w:p>
    <w:p w14:paraId="51B148B0" w14:textId="77777777" w:rsidR="1CE3FF65" w:rsidRPr="00F97E98" w:rsidRDefault="1CE3FF65" w:rsidP="2B9E9F58">
      <w:pPr>
        <w:spacing w:before="120" w:after="120" w:line="360" w:lineRule="auto"/>
        <w:jc w:val="both"/>
        <w:rPr>
          <w:rFonts w:ascii="Times New Roman" w:eastAsia="Times New Roman" w:hAnsi="Times New Roman" w:cs="Times New Roman"/>
          <w:noProof/>
          <w:sz w:val="24"/>
          <w:lang w:val="pl-PL"/>
        </w:rPr>
      </w:pPr>
    </w:p>
    <w:sectPr w:rsidR="1CE3FF65" w:rsidRPr="00F97E98" w:rsidSect="00AD12B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48922" w14:textId="77777777" w:rsidR="00E27365" w:rsidRDefault="00E27365" w:rsidP="000F7074">
      <w:pPr>
        <w:spacing w:after="0" w:line="240" w:lineRule="auto"/>
      </w:pPr>
      <w:r>
        <w:separator/>
      </w:r>
    </w:p>
  </w:endnote>
  <w:endnote w:type="continuationSeparator" w:id="0">
    <w:p w14:paraId="36C04204" w14:textId="77777777" w:rsidR="00E27365" w:rsidRDefault="00E27365" w:rsidP="000F7074">
      <w:pPr>
        <w:spacing w:after="0" w:line="240" w:lineRule="auto"/>
      </w:pPr>
      <w:r>
        <w:continuationSeparator/>
      </w:r>
    </w:p>
  </w:endnote>
  <w:endnote w:type="continuationNotice" w:id="1">
    <w:p w14:paraId="196D0B6A" w14:textId="77777777" w:rsidR="00E27365" w:rsidRDefault="00E27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1DA4D" w14:textId="3FA5AE11" w:rsidR="008B563B" w:rsidRPr="00191A0B" w:rsidRDefault="008B563B" w:rsidP="00191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E6D09" w14:textId="24AF2494" w:rsidR="008B563B" w:rsidRPr="00191A0B" w:rsidRDefault="00191A0B" w:rsidP="00191A0B">
    <w:pPr>
      <w:pStyle w:val="FooterCoverPage"/>
      <w:rPr>
        <w:rFonts w:ascii="Arial" w:hAnsi="Arial" w:cs="Arial"/>
        <w:b/>
        <w:sz w:val="48"/>
      </w:rPr>
    </w:pPr>
    <w:r w:rsidRPr="00191A0B">
      <w:rPr>
        <w:rFonts w:ascii="Arial" w:hAnsi="Arial" w:cs="Arial"/>
        <w:b/>
        <w:sz w:val="48"/>
      </w:rPr>
      <w:t>PL</w:t>
    </w:r>
    <w:r w:rsidRPr="00191A0B">
      <w:rPr>
        <w:rFonts w:ascii="Arial" w:hAnsi="Arial" w:cs="Arial"/>
        <w:b/>
        <w:sz w:val="48"/>
      </w:rPr>
      <w:tab/>
    </w:r>
    <w:r w:rsidRPr="00191A0B">
      <w:rPr>
        <w:rFonts w:ascii="Arial" w:hAnsi="Arial" w:cs="Arial"/>
        <w:b/>
        <w:sz w:val="48"/>
      </w:rPr>
      <w:tab/>
    </w:r>
    <w:r w:rsidRPr="00191A0B">
      <w:tab/>
    </w:r>
    <w:r w:rsidRPr="00191A0B">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9F78" w14:textId="77777777" w:rsidR="00191A0B" w:rsidRPr="00191A0B" w:rsidRDefault="00191A0B" w:rsidP="00191A0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F8B7" w14:textId="77777777" w:rsidR="00E27365" w:rsidRDefault="00E273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69399"/>
      <w:docPartObj>
        <w:docPartGallery w:val="Page Numbers (Bottom of Page)"/>
        <w:docPartUnique/>
      </w:docPartObj>
    </w:sdtPr>
    <w:sdtEndPr/>
    <w:sdtContent>
      <w:p w14:paraId="7C87276C" w14:textId="4D81E345" w:rsidR="00E27365" w:rsidRDefault="00E2736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91A0B">
          <w:rPr>
            <w:noProof/>
          </w:rPr>
          <w:t>1</w:t>
        </w:r>
        <w:r>
          <w:rPr>
            <w:color w:val="2B579A"/>
            <w:shd w:val="clear" w:color="auto" w:fill="E6E6E6"/>
          </w:rPr>
          <w:fldChar w:fldCharType="end"/>
        </w:r>
      </w:p>
    </w:sdtContent>
  </w:sdt>
  <w:p w14:paraId="68005E7B" w14:textId="77777777" w:rsidR="00E27365" w:rsidRDefault="00E2736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F244" w14:textId="77777777" w:rsidR="00E27365" w:rsidRDefault="00E2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74FF" w14:textId="77777777" w:rsidR="00E27365" w:rsidRDefault="00E27365" w:rsidP="000F7074">
      <w:pPr>
        <w:spacing w:after="0" w:line="240" w:lineRule="auto"/>
      </w:pPr>
      <w:r>
        <w:separator/>
      </w:r>
    </w:p>
  </w:footnote>
  <w:footnote w:type="continuationSeparator" w:id="0">
    <w:p w14:paraId="3CBCA098" w14:textId="77777777" w:rsidR="00E27365" w:rsidRDefault="00E27365" w:rsidP="000F7074">
      <w:pPr>
        <w:spacing w:after="0" w:line="240" w:lineRule="auto"/>
      </w:pPr>
      <w:r>
        <w:continuationSeparator/>
      </w:r>
    </w:p>
  </w:footnote>
  <w:footnote w:type="continuationNotice" w:id="1">
    <w:p w14:paraId="14E93990" w14:textId="77777777" w:rsidR="00E27365" w:rsidRDefault="00E27365">
      <w:pPr>
        <w:spacing w:after="0" w:line="240" w:lineRule="auto"/>
      </w:pPr>
    </w:p>
  </w:footnote>
  <w:footnote w:id="2">
    <w:p w14:paraId="76436298" w14:textId="6B238F41" w:rsidR="00E27365" w:rsidRPr="00A16C94" w:rsidRDefault="00E27365" w:rsidP="001613B0">
      <w:pPr>
        <w:pStyle w:val="FootnoteText"/>
        <w:jc w:val="both"/>
        <w:rPr>
          <w:rFonts w:ascii="Times New Roman" w:eastAsia="Times New Roman" w:hAnsi="Times New Roman" w:cs="Times New Roman"/>
          <w:lang w:val="pl-PL"/>
        </w:rPr>
      </w:pPr>
      <w:r>
        <w:rPr>
          <w:rStyle w:val="FootnoteReference"/>
          <w:rFonts w:ascii="Times New Roman" w:eastAsia="Times New Roman" w:hAnsi="Times New Roman" w:cs="Times New Roman"/>
        </w:rPr>
        <w:footnoteRef/>
      </w:r>
      <w:r w:rsidRPr="00F85E2D">
        <w:rPr>
          <w:rStyle w:val="FootnoteReference"/>
          <w:rFonts w:ascii="Times New Roman" w:hAnsi="Times New Roman"/>
          <w:lang w:val="pl-PL"/>
        </w:rPr>
        <w:t xml:space="preserve"> </w:t>
      </w:r>
      <w:hyperlink r:id="rId1" w:history="1">
        <w:r w:rsidRPr="00A16C94">
          <w:rPr>
            <w:rStyle w:val="Hyperlink"/>
            <w:rFonts w:ascii="Times New Roman" w:hAnsi="Times New Roman"/>
            <w:lang w:val="pl-PL"/>
          </w:rPr>
          <w:t>Rozporządzenie Rady (UE) 2022/1854 w</w:t>
        </w:r>
        <w:r>
          <w:rPr>
            <w:rStyle w:val="Hyperlink"/>
            <w:rFonts w:ascii="Times New Roman" w:hAnsi="Times New Roman"/>
            <w:lang w:val="pl-PL"/>
          </w:rPr>
          <w:t> </w:t>
        </w:r>
        <w:r w:rsidRPr="00A16C94">
          <w:rPr>
            <w:rStyle w:val="Hyperlink"/>
            <w:rFonts w:ascii="Times New Roman" w:hAnsi="Times New Roman"/>
            <w:lang w:val="pl-PL"/>
          </w:rPr>
          <w:t>sprawie interwencji w</w:t>
        </w:r>
        <w:r>
          <w:rPr>
            <w:rStyle w:val="Hyperlink"/>
            <w:rFonts w:ascii="Times New Roman" w:hAnsi="Times New Roman"/>
            <w:lang w:val="pl-PL"/>
          </w:rPr>
          <w:t> </w:t>
        </w:r>
        <w:r w:rsidRPr="00A16C94">
          <w:rPr>
            <w:rStyle w:val="Hyperlink"/>
            <w:rFonts w:ascii="Times New Roman" w:hAnsi="Times New Roman"/>
            <w:lang w:val="pl-PL"/>
          </w:rPr>
          <w:t>sytuacji nadzwyczajnej w</w:t>
        </w:r>
        <w:r>
          <w:rPr>
            <w:rStyle w:val="Hyperlink"/>
            <w:rFonts w:ascii="Times New Roman" w:hAnsi="Times New Roman"/>
            <w:lang w:val="pl-PL"/>
          </w:rPr>
          <w:t> </w:t>
        </w:r>
        <w:r w:rsidRPr="00A16C94">
          <w:rPr>
            <w:rStyle w:val="Hyperlink"/>
            <w:rFonts w:ascii="Times New Roman" w:hAnsi="Times New Roman"/>
            <w:lang w:val="pl-PL"/>
          </w:rPr>
          <w:t>celu rozwiązania problemu wysokich cen energii</w:t>
        </w:r>
      </w:hyperlink>
      <w:r w:rsidRPr="00A16C94">
        <w:rPr>
          <w:rStyle w:val="Hyperlink"/>
          <w:rFonts w:ascii="Times New Roman" w:hAnsi="Times New Roman"/>
          <w:lang w:val="pl-PL"/>
        </w:rPr>
        <w:t>.</w:t>
      </w:r>
    </w:p>
  </w:footnote>
  <w:footnote w:id="3">
    <w:p w14:paraId="122A4ADF" w14:textId="434D468F" w:rsidR="00E27365" w:rsidRPr="00F85E2D" w:rsidRDefault="00E27365" w:rsidP="004D5687">
      <w:pPr>
        <w:pStyle w:val="FootnoteText"/>
        <w:jc w:val="both"/>
        <w:rPr>
          <w:rFonts w:ascii="Times New Roman" w:eastAsia="Times New Roman" w:hAnsi="Times New Roman" w:cs="Times New Roman"/>
          <w:lang w:val="pl-PL"/>
        </w:rPr>
      </w:pPr>
      <w:r w:rsidRPr="00A16C94">
        <w:rPr>
          <w:rStyle w:val="FootnoteReference"/>
          <w:rFonts w:ascii="Times New Roman" w:eastAsia="Times New Roman" w:hAnsi="Times New Roman" w:cs="Times New Roman"/>
          <w:lang w:val="pl-PL"/>
        </w:rPr>
        <w:footnoteRef/>
      </w:r>
      <w:r w:rsidRPr="00A16C94">
        <w:rPr>
          <w:rFonts w:ascii="Times New Roman" w:hAnsi="Times New Roman"/>
          <w:lang w:val="pl-PL"/>
        </w:rPr>
        <w:t xml:space="preserve"> Komunikat Komisji do Parlamentu Europejskiego, Rady Europejskiej, Rady, Europejskiego Komitetu Ekonomiczno-Społecznego i</w:t>
      </w:r>
      <w:r>
        <w:rPr>
          <w:rFonts w:ascii="Times New Roman" w:hAnsi="Times New Roman"/>
          <w:lang w:val="pl-PL"/>
        </w:rPr>
        <w:t> </w:t>
      </w:r>
      <w:r w:rsidRPr="00A16C94">
        <w:rPr>
          <w:rFonts w:ascii="Times New Roman" w:hAnsi="Times New Roman"/>
          <w:lang w:val="pl-PL"/>
        </w:rPr>
        <w:t xml:space="preserve">Komitetu Regionów, „Reakcja na rosnące ceny energii: zestaw </w:t>
      </w:r>
      <w:r w:rsidRPr="00A16C94">
        <w:rPr>
          <w:rStyle w:val="eop"/>
          <w:rFonts w:ascii="Times New Roman" w:hAnsi="Times New Roman"/>
          <w:color w:val="000000" w:themeColor="text1"/>
          <w:lang w:val="pl-PL"/>
        </w:rPr>
        <w:t>działań</w:t>
      </w:r>
      <w:r w:rsidRPr="00A16C94">
        <w:rPr>
          <w:rFonts w:ascii="Times New Roman" w:hAnsi="Times New Roman"/>
          <w:lang w:val="pl-PL"/>
        </w:rPr>
        <w:t xml:space="preserve"> i</w:t>
      </w:r>
      <w:r>
        <w:rPr>
          <w:rFonts w:ascii="Times New Roman" w:hAnsi="Times New Roman"/>
          <w:lang w:val="pl-PL"/>
        </w:rPr>
        <w:t> </w:t>
      </w:r>
      <w:r w:rsidRPr="00A16C94">
        <w:rPr>
          <w:rFonts w:ascii="Times New Roman" w:hAnsi="Times New Roman"/>
          <w:lang w:val="pl-PL"/>
        </w:rPr>
        <w:t>środków wsparcia”, COM(2021) 660 final.</w:t>
      </w:r>
    </w:p>
  </w:footnote>
  <w:footnote w:id="4">
    <w:p w14:paraId="7B8704FB" w14:textId="778E0ED8" w:rsidR="00E27365" w:rsidRPr="00DD625C" w:rsidRDefault="00E27365" w:rsidP="001613B0">
      <w:pPr>
        <w:pStyle w:val="FootnoteText"/>
        <w:jc w:val="both"/>
        <w:rPr>
          <w:rFonts w:ascii="Times New Roman" w:eastAsia="Times New Roman" w:hAnsi="Times New Roman" w:cs="Times New Roman"/>
          <w:lang w:val="pl-PL"/>
        </w:rPr>
      </w:pPr>
      <w:r>
        <w:rPr>
          <w:rStyle w:val="FootnoteReference"/>
          <w:rFonts w:ascii="Times New Roman" w:eastAsia="Times New Roman" w:hAnsi="Times New Roman" w:cs="Times New Roman"/>
        </w:rPr>
        <w:footnoteRef/>
      </w:r>
      <w:r w:rsidRPr="00F85E2D">
        <w:rPr>
          <w:rFonts w:ascii="Times New Roman" w:hAnsi="Times New Roman"/>
          <w:lang w:val="pl-PL"/>
        </w:rPr>
        <w:t xml:space="preserve"> </w:t>
      </w:r>
      <w:r w:rsidRPr="00DD625C">
        <w:rPr>
          <w:rFonts w:ascii="Times New Roman" w:hAnsi="Times New Roman"/>
          <w:lang w:val="pl-PL"/>
        </w:rPr>
        <w:t>REPowerEU: Wspólne europejskie działania w</w:t>
      </w:r>
      <w:r>
        <w:rPr>
          <w:rFonts w:ascii="Times New Roman" w:hAnsi="Times New Roman"/>
          <w:lang w:val="pl-PL"/>
        </w:rPr>
        <w:t> </w:t>
      </w:r>
      <w:r w:rsidRPr="00DD625C">
        <w:rPr>
          <w:rFonts w:ascii="Times New Roman" w:hAnsi="Times New Roman"/>
          <w:lang w:val="pl-PL"/>
        </w:rPr>
        <w:t>kierunku bezpiecznej i</w:t>
      </w:r>
      <w:r>
        <w:rPr>
          <w:rFonts w:ascii="Times New Roman" w:hAnsi="Times New Roman"/>
          <w:lang w:val="pl-PL"/>
        </w:rPr>
        <w:t> </w:t>
      </w:r>
      <w:r w:rsidRPr="00DD625C">
        <w:rPr>
          <w:rFonts w:ascii="Times New Roman" w:hAnsi="Times New Roman"/>
          <w:lang w:val="pl-PL"/>
        </w:rPr>
        <w:t xml:space="preserve">zrównoważonej energii po przystępnej cenie, COM(2022) 108 final. </w:t>
      </w:r>
    </w:p>
  </w:footnote>
  <w:footnote w:id="5">
    <w:p w14:paraId="05D70554" w14:textId="77777777" w:rsidR="00E27365" w:rsidRPr="00DD625C" w:rsidRDefault="00E27365" w:rsidP="001613B0">
      <w:pPr>
        <w:pStyle w:val="FootnoteText"/>
        <w:jc w:val="both"/>
        <w:rPr>
          <w:rFonts w:ascii="Times New Roman" w:eastAsia="Roboto" w:hAnsi="Times New Roman" w:cs="Times New Roman"/>
          <w:b/>
          <w:lang w:val="pl-PL"/>
        </w:rPr>
      </w:pPr>
      <w:r w:rsidRPr="00DD625C">
        <w:rPr>
          <w:rStyle w:val="FootnoteReference"/>
          <w:rFonts w:ascii="Times New Roman" w:eastAsia="Times New Roman" w:hAnsi="Times New Roman" w:cs="Times New Roman"/>
          <w:lang w:val="pl-PL"/>
        </w:rPr>
        <w:footnoteRef/>
      </w:r>
      <w:r w:rsidRPr="00DD625C">
        <w:rPr>
          <w:rStyle w:val="FootnoteReference"/>
          <w:rFonts w:ascii="Times New Roman" w:hAnsi="Times New Roman"/>
          <w:lang w:val="pl-PL"/>
        </w:rPr>
        <w:t xml:space="preserve"> </w:t>
      </w:r>
      <w:r w:rsidRPr="00DD625C">
        <w:rPr>
          <w:rFonts w:ascii="Times New Roman" w:hAnsi="Times New Roman"/>
          <w:lang w:val="pl-PL"/>
        </w:rPr>
        <w:t>Plan REPowerEU,</w:t>
      </w:r>
      <w:r w:rsidRPr="00DD625C">
        <w:rPr>
          <w:rFonts w:ascii="Times New Roman" w:hAnsi="Times New Roman"/>
          <w:b/>
          <w:lang w:val="pl-PL"/>
        </w:rPr>
        <w:t xml:space="preserve"> </w:t>
      </w:r>
      <w:r w:rsidRPr="00DD625C">
        <w:rPr>
          <w:rFonts w:ascii="Times New Roman" w:hAnsi="Times New Roman"/>
          <w:lang w:val="pl-PL"/>
        </w:rPr>
        <w:t>COM(2022) 230 final.</w:t>
      </w:r>
    </w:p>
  </w:footnote>
  <w:footnote w:id="6">
    <w:p w14:paraId="24F4099C" w14:textId="11DAF56E" w:rsidR="00E27365" w:rsidRPr="00F85E2D" w:rsidRDefault="00E27365" w:rsidP="001613B0">
      <w:pPr>
        <w:pStyle w:val="FootnoteText"/>
        <w:jc w:val="both"/>
        <w:rPr>
          <w:rFonts w:ascii="Times New Roman" w:hAnsi="Times New Roman" w:cs="Times New Roman"/>
          <w:lang w:val="pl-PL"/>
        </w:rPr>
      </w:pPr>
      <w:r w:rsidRPr="00DD625C">
        <w:rPr>
          <w:rStyle w:val="FootnoteReference"/>
          <w:rFonts w:ascii="Times New Roman" w:eastAsia="Times New Roman" w:hAnsi="Times New Roman" w:cs="Times New Roman"/>
          <w:lang w:val="pl-PL"/>
        </w:rPr>
        <w:footnoteRef/>
      </w:r>
      <w:r w:rsidRPr="00DD625C">
        <w:rPr>
          <w:rFonts w:ascii="Times New Roman" w:hAnsi="Times New Roman"/>
          <w:lang w:val="pl-PL"/>
        </w:rPr>
        <w:t xml:space="preserve"> </w:t>
      </w:r>
      <w:r w:rsidRPr="00DD625C">
        <w:rPr>
          <w:rStyle w:val="eop"/>
          <w:rFonts w:ascii="Times New Roman" w:hAnsi="Times New Roman"/>
          <w:color w:val="000000" w:themeColor="text1"/>
          <w:lang w:val="pl-PL"/>
        </w:rPr>
        <w:t xml:space="preserve">Komunikat Komisji do Parlamentu Europejskiego, Rady, Europejskiego Komitetu Ekonomiczno-Społecznego </w:t>
      </w:r>
      <w:r w:rsidRPr="00DD625C">
        <w:rPr>
          <w:rFonts w:ascii="Times New Roman" w:hAnsi="Times New Roman"/>
          <w:color w:val="333333"/>
          <w:lang w:val="pl-PL"/>
        </w:rPr>
        <w:t>i</w:t>
      </w:r>
      <w:r>
        <w:rPr>
          <w:rStyle w:val="eop"/>
          <w:rFonts w:ascii="Times New Roman" w:hAnsi="Times New Roman"/>
          <w:color w:val="000000" w:themeColor="text1"/>
          <w:lang w:val="pl-PL"/>
        </w:rPr>
        <w:t> </w:t>
      </w:r>
      <w:r w:rsidRPr="00DD625C">
        <w:rPr>
          <w:rStyle w:val="eop"/>
          <w:rFonts w:ascii="Times New Roman" w:hAnsi="Times New Roman"/>
          <w:color w:val="000000" w:themeColor="text1"/>
          <w:lang w:val="pl-PL"/>
        </w:rPr>
        <w:t>Komitetu Regionów – Krótkoterminowe interwencje na rynku energii i</w:t>
      </w:r>
      <w:r>
        <w:rPr>
          <w:rStyle w:val="eop"/>
          <w:rFonts w:ascii="Times New Roman" w:hAnsi="Times New Roman"/>
          <w:color w:val="000000" w:themeColor="text1"/>
          <w:lang w:val="pl-PL"/>
        </w:rPr>
        <w:t> </w:t>
      </w:r>
      <w:r w:rsidRPr="00DD625C">
        <w:rPr>
          <w:rStyle w:val="eop"/>
          <w:rFonts w:ascii="Times New Roman" w:hAnsi="Times New Roman"/>
          <w:color w:val="000000" w:themeColor="text1"/>
          <w:lang w:val="pl-PL"/>
        </w:rPr>
        <w:t>długoterminowe udoskonalenia struktury rynku energii elektrycznej – kierunek działania, COM(2022) 236 final</w:t>
      </w:r>
      <w:r w:rsidRPr="00F85E2D">
        <w:rPr>
          <w:rStyle w:val="eop"/>
          <w:rFonts w:ascii="Times New Roman" w:hAnsi="Times New Roman"/>
          <w:color w:val="000000" w:themeColor="text1"/>
          <w:lang w:val="pl-PL"/>
        </w:rPr>
        <w:t>.</w:t>
      </w:r>
    </w:p>
  </w:footnote>
  <w:footnote w:id="7">
    <w:p w14:paraId="412171F3" w14:textId="77777777" w:rsidR="00E27365" w:rsidRPr="00DD625C" w:rsidRDefault="00E27365" w:rsidP="001613B0">
      <w:pPr>
        <w:pStyle w:val="FootnoteText"/>
        <w:jc w:val="both"/>
        <w:rPr>
          <w:rFonts w:ascii="Times New Roman" w:eastAsia="Times New Roman" w:hAnsi="Times New Roman" w:cs="Times New Roman"/>
          <w:lang w:val="pl-PL"/>
        </w:rPr>
      </w:pPr>
      <w:r>
        <w:rPr>
          <w:rStyle w:val="FootnoteReference"/>
          <w:rFonts w:ascii="Times New Roman" w:eastAsia="Times New Roman" w:hAnsi="Times New Roman" w:cs="Times New Roman"/>
        </w:rPr>
        <w:footnoteRef/>
      </w:r>
      <w:r w:rsidRPr="00F85E2D">
        <w:rPr>
          <w:rStyle w:val="FootnoteReference"/>
          <w:rFonts w:ascii="Times New Roman" w:hAnsi="Times New Roman"/>
          <w:lang w:val="pl-PL"/>
        </w:rPr>
        <w:t xml:space="preserve"> </w:t>
      </w:r>
      <w:r w:rsidRPr="00DD625C">
        <w:rPr>
          <w:rFonts w:ascii="Times New Roman" w:hAnsi="Times New Roman"/>
          <w:lang w:val="pl-PL"/>
        </w:rPr>
        <w:t>Jeżeli zaangażowane są zasoby państwowe, takie środki mogą podlegać kontroli pomocy państwa.</w:t>
      </w:r>
    </w:p>
  </w:footnote>
  <w:footnote w:id="8">
    <w:p w14:paraId="3B1D4DAC" w14:textId="31F0DF33" w:rsidR="00E27365" w:rsidRPr="00DD625C" w:rsidRDefault="00E27365" w:rsidP="001613B0">
      <w:pPr>
        <w:pStyle w:val="FootnoteText"/>
        <w:jc w:val="both"/>
        <w:rPr>
          <w:rFonts w:ascii="Times New Roman" w:eastAsia="Times New Roman" w:hAnsi="Times New Roman" w:cs="Times New Roman"/>
          <w:color w:val="333333"/>
          <w:lang w:val="pl-PL"/>
        </w:rPr>
      </w:pPr>
      <w:r w:rsidRPr="00DD625C">
        <w:rPr>
          <w:rStyle w:val="FootnoteReference"/>
          <w:rFonts w:ascii="Times New Roman" w:eastAsia="Times New Roman" w:hAnsi="Times New Roman" w:cs="Times New Roman"/>
          <w:lang w:val="pl-PL"/>
        </w:rPr>
        <w:footnoteRef/>
      </w:r>
      <w:r w:rsidRPr="00DD625C">
        <w:rPr>
          <w:rStyle w:val="FootnoteReference"/>
          <w:rFonts w:ascii="Times New Roman" w:hAnsi="Times New Roman"/>
          <w:lang w:val="pl-PL"/>
        </w:rPr>
        <w:t xml:space="preserve"> </w:t>
      </w:r>
      <w:r w:rsidRPr="00DD625C">
        <w:rPr>
          <w:rFonts w:ascii="Times New Roman" w:hAnsi="Times New Roman"/>
          <w:lang w:val="pl-PL"/>
        </w:rPr>
        <w:t>Środek, którym wprowadzono cel orientacyjny, będzie obowiązywał do końca grudnia 20</w:t>
      </w:r>
      <w:r w:rsidRPr="00534316">
        <w:rPr>
          <w:rFonts w:ascii="Times New Roman" w:hAnsi="Times New Roman"/>
          <w:lang w:val="pl-PL"/>
        </w:rPr>
        <w:t>23 r.</w:t>
      </w:r>
      <w:r w:rsidRPr="00DD625C">
        <w:rPr>
          <w:rFonts w:ascii="Times New Roman" w:hAnsi="Times New Roman"/>
          <w:lang w:val="pl-PL"/>
        </w:rPr>
        <w:t xml:space="preserve"> </w:t>
      </w:r>
    </w:p>
  </w:footnote>
  <w:footnote w:id="9">
    <w:p w14:paraId="6E398384" w14:textId="2A52268F" w:rsidR="00E27365" w:rsidRPr="00DD625C" w:rsidRDefault="00E27365" w:rsidP="001613B0">
      <w:pPr>
        <w:pStyle w:val="FootnoteText"/>
        <w:jc w:val="both"/>
        <w:rPr>
          <w:rFonts w:ascii="Times New Roman" w:hAnsi="Times New Roman" w:cs="Times New Roman"/>
          <w:lang w:val="pl-PL"/>
        </w:rPr>
      </w:pPr>
      <w:r>
        <w:rPr>
          <w:rStyle w:val="FootnoteReference"/>
          <w:rFonts w:ascii="Times New Roman" w:eastAsia="Times New Roman" w:hAnsi="Times New Roman" w:cs="Times New Roman"/>
        </w:rPr>
        <w:footnoteRef/>
      </w:r>
      <w:r w:rsidRPr="00F85E2D">
        <w:rPr>
          <w:rFonts w:ascii="Times New Roman" w:hAnsi="Times New Roman"/>
          <w:lang w:val="pl-PL"/>
        </w:rPr>
        <w:t xml:space="preserve"> </w:t>
      </w:r>
      <w:r w:rsidRPr="00DD625C">
        <w:rPr>
          <w:rFonts w:ascii="Times New Roman" w:hAnsi="Times New Roman"/>
          <w:color w:val="333333"/>
          <w:lang w:val="pl-PL"/>
        </w:rPr>
        <w:t>Wniosek dotyczący rozporządzenia Parlamentu Europejskiego i</w:t>
      </w:r>
      <w:r>
        <w:rPr>
          <w:rFonts w:ascii="Times New Roman" w:hAnsi="Times New Roman"/>
          <w:color w:val="333333"/>
          <w:lang w:val="pl-PL"/>
        </w:rPr>
        <w:t> </w:t>
      </w:r>
      <w:r w:rsidRPr="00DD625C">
        <w:rPr>
          <w:rFonts w:ascii="Times New Roman" w:hAnsi="Times New Roman"/>
          <w:color w:val="333333"/>
          <w:lang w:val="pl-PL"/>
        </w:rPr>
        <w:t>Rady zmieniającego rozporządzenia (UE) 2019/943 i (UE) 2019/942 oraz dyrektywy (UE) 2018/2001 i (UE) 2019/944 w</w:t>
      </w:r>
      <w:r>
        <w:rPr>
          <w:rFonts w:ascii="Times New Roman" w:hAnsi="Times New Roman"/>
          <w:color w:val="333333"/>
          <w:lang w:val="pl-PL"/>
        </w:rPr>
        <w:t> </w:t>
      </w:r>
      <w:r w:rsidRPr="00DD625C">
        <w:rPr>
          <w:rFonts w:ascii="Times New Roman" w:hAnsi="Times New Roman"/>
          <w:color w:val="333333"/>
          <w:lang w:val="pl-PL"/>
        </w:rPr>
        <w:t>celu udoskonalenia struktury unijnego rynku energii elektrycznej.</w:t>
      </w:r>
    </w:p>
  </w:footnote>
  <w:footnote w:id="10">
    <w:p w14:paraId="2F775C76" w14:textId="5E025123" w:rsidR="00E27365" w:rsidRPr="00DD625C" w:rsidRDefault="00E27365" w:rsidP="001613B0">
      <w:pPr>
        <w:pStyle w:val="FootnoteText"/>
        <w:jc w:val="both"/>
        <w:rPr>
          <w:rFonts w:ascii="Times New Roman" w:eastAsia="Times New Roman" w:hAnsi="Times New Roman" w:cs="Times New Roman"/>
          <w:lang w:val="pl-PL"/>
        </w:rPr>
      </w:pPr>
      <w:r w:rsidRPr="00DD625C">
        <w:rPr>
          <w:rStyle w:val="FootnoteReference"/>
          <w:rFonts w:ascii="Times New Roman" w:eastAsia="Times New Roman" w:hAnsi="Times New Roman" w:cs="Times New Roman"/>
          <w:lang w:val="pl-PL"/>
        </w:rPr>
        <w:footnoteRef/>
      </w:r>
      <w:r w:rsidRPr="00DD625C">
        <w:rPr>
          <w:rFonts w:ascii="Times New Roman" w:hAnsi="Times New Roman"/>
          <w:lang w:val="pl-PL"/>
        </w:rPr>
        <w:t xml:space="preserve"> Komisja otrzymała 1 369 odpowiedzi; ponad 700 z</w:t>
      </w:r>
      <w:r>
        <w:rPr>
          <w:rFonts w:ascii="Times New Roman" w:hAnsi="Times New Roman"/>
          <w:lang w:val="pl-PL"/>
        </w:rPr>
        <w:t> </w:t>
      </w:r>
      <w:r w:rsidRPr="00DD625C">
        <w:rPr>
          <w:rFonts w:ascii="Times New Roman" w:hAnsi="Times New Roman"/>
          <w:lang w:val="pl-PL"/>
        </w:rPr>
        <w:t>nich pochodzi od obywateli, około 450 od przedsiębiorstw i</w:t>
      </w:r>
      <w:r>
        <w:rPr>
          <w:rFonts w:ascii="Times New Roman" w:hAnsi="Times New Roman"/>
          <w:lang w:val="pl-PL"/>
        </w:rPr>
        <w:t> </w:t>
      </w:r>
      <w:r w:rsidRPr="00DD625C">
        <w:rPr>
          <w:rFonts w:ascii="Times New Roman" w:hAnsi="Times New Roman"/>
          <w:lang w:val="pl-PL"/>
        </w:rPr>
        <w:t>stowarzyszeń przedsiębiorców, około 40 od administracji krajowych lub lokalnych lub od krajowych organów regulacyjnych, a</w:t>
      </w:r>
      <w:r>
        <w:rPr>
          <w:rFonts w:ascii="Times New Roman" w:hAnsi="Times New Roman"/>
          <w:lang w:val="pl-PL"/>
        </w:rPr>
        <w:t> </w:t>
      </w:r>
      <w:r w:rsidRPr="00DD625C">
        <w:rPr>
          <w:rFonts w:ascii="Times New Roman" w:hAnsi="Times New Roman"/>
          <w:lang w:val="pl-PL"/>
        </w:rPr>
        <w:t>około 70 od operatorów sieci.</w:t>
      </w:r>
      <w:r>
        <w:rPr>
          <w:rFonts w:ascii="Times New Roman" w:hAnsi="Times New Roman"/>
          <w:lang w:val="pl-PL"/>
        </w:rPr>
        <w:t xml:space="preserve"> </w:t>
      </w:r>
      <w:r w:rsidRPr="00DD625C">
        <w:rPr>
          <w:rFonts w:ascii="Times New Roman" w:hAnsi="Times New Roman"/>
          <w:lang w:val="pl-PL"/>
        </w:rPr>
        <w:t>Ponadto wzięło w</w:t>
      </w:r>
      <w:r>
        <w:rPr>
          <w:rFonts w:ascii="Times New Roman" w:hAnsi="Times New Roman"/>
          <w:lang w:val="pl-PL"/>
        </w:rPr>
        <w:t> </w:t>
      </w:r>
      <w:r w:rsidRPr="00DD625C">
        <w:rPr>
          <w:rFonts w:ascii="Times New Roman" w:hAnsi="Times New Roman"/>
          <w:lang w:val="pl-PL"/>
        </w:rPr>
        <w:t>nich udział około 20 społeczności energetycznych, 15 związków zawodowych i</w:t>
      </w:r>
      <w:r>
        <w:rPr>
          <w:rFonts w:ascii="Times New Roman" w:hAnsi="Times New Roman"/>
          <w:lang w:val="pl-PL"/>
        </w:rPr>
        <w:t> </w:t>
      </w:r>
      <w:r w:rsidRPr="00DD625C">
        <w:rPr>
          <w:rFonts w:ascii="Times New Roman" w:hAnsi="Times New Roman"/>
          <w:lang w:val="pl-PL"/>
        </w:rPr>
        <w:t>20 organizacji konsumenckich.</w:t>
      </w:r>
      <w:r>
        <w:rPr>
          <w:rFonts w:ascii="Times New Roman" w:hAnsi="Times New Roman"/>
          <w:lang w:val="pl-PL"/>
        </w:rPr>
        <w:t xml:space="preserve"> </w:t>
      </w:r>
      <w:r w:rsidRPr="00DD625C">
        <w:rPr>
          <w:rFonts w:ascii="Times New Roman" w:hAnsi="Times New Roman"/>
          <w:lang w:val="pl-PL"/>
        </w:rPr>
        <w:t>Odpowiedzi udzieliło również wiele organizacji pozarządowych, ośrodków analitycznych i</w:t>
      </w:r>
      <w:r>
        <w:rPr>
          <w:rFonts w:ascii="Times New Roman" w:hAnsi="Times New Roman"/>
          <w:lang w:val="pl-PL"/>
        </w:rPr>
        <w:t> </w:t>
      </w:r>
      <w:r w:rsidRPr="00DD625C">
        <w:rPr>
          <w:rFonts w:ascii="Times New Roman" w:hAnsi="Times New Roman"/>
          <w:lang w:val="pl-PL"/>
        </w:rPr>
        <w:t>badawczych lub innych organizacji naukowych.</w:t>
      </w:r>
    </w:p>
  </w:footnote>
  <w:footnote w:id="11">
    <w:p w14:paraId="58FD78B8" w14:textId="03D2902B" w:rsidR="00E27365" w:rsidRPr="00F85E2D" w:rsidRDefault="00E27365">
      <w:pPr>
        <w:pStyle w:val="FootnoteText"/>
        <w:rPr>
          <w:lang w:val="pl-PL"/>
        </w:rPr>
      </w:pPr>
      <w:r>
        <w:rPr>
          <w:rStyle w:val="FootnoteReference"/>
          <w:rFonts w:ascii="Times New Roman" w:eastAsia="Times New Roman" w:hAnsi="Times New Roman" w:cs="Times New Roman"/>
        </w:rPr>
        <w:footnoteRef/>
      </w:r>
      <w:r w:rsidRPr="00F85E2D">
        <w:rPr>
          <w:rStyle w:val="FootnoteReference"/>
          <w:rFonts w:ascii="Times New Roman" w:hAnsi="Times New Roman"/>
          <w:lang w:val="pl-PL"/>
        </w:rPr>
        <w:t xml:space="preserve"> </w:t>
      </w:r>
      <w:r w:rsidRPr="00DD625C">
        <w:rPr>
          <w:rFonts w:ascii="Times New Roman" w:hAnsi="Times New Roman"/>
          <w:lang w:val="pl-PL"/>
        </w:rPr>
        <w:t>Węgry i</w:t>
      </w:r>
      <w:r>
        <w:rPr>
          <w:rFonts w:ascii="Times New Roman" w:hAnsi="Times New Roman"/>
          <w:lang w:val="pl-PL"/>
        </w:rPr>
        <w:t> </w:t>
      </w:r>
      <w:r w:rsidRPr="00DD625C">
        <w:rPr>
          <w:rFonts w:ascii="Times New Roman" w:hAnsi="Times New Roman"/>
          <w:lang w:val="pl-PL"/>
        </w:rPr>
        <w:t>Rumunia</w:t>
      </w:r>
      <w:r w:rsidRPr="00F85E2D">
        <w:rPr>
          <w:rFonts w:ascii="Times New Roman" w:hAnsi="Times New Roman"/>
          <w:lang w:val="pl-PL"/>
        </w:rPr>
        <w:t>.</w:t>
      </w:r>
    </w:p>
  </w:footnote>
  <w:footnote w:id="12">
    <w:p w14:paraId="1122D7F0" w14:textId="674BEA07" w:rsidR="00E27365" w:rsidRPr="002E727F" w:rsidRDefault="00E27365" w:rsidP="001613B0">
      <w:pPr>
        <w:pStyle w:val="FootnoteText"/>
        <w:jc w:val="both"/>
        <w:rPr>
          <w:rFonts w:ascii="Times New Roman" w:hAnsi="Times New Roman" w:cs="Times New Roman"/>
          <w:lang w:val="pl-PL"/>
        </w:rPr>
      </w:pPr>
      <w:r>
        <w:rPr>
          <w:rStyle w:val="FootnoteReference"/>
          <w:rFonts w:ascii="Times New Roman" w:eastAsia="Times New Roman" w:hAnsi="Times New Roman" w:cs="Times New Roman"/>
        </w:rPr>
        <w:footnoteRef/>
      </w:r>
      <w:r w:rsidRPr="00F85E2D">
        <w:rPr>
          <w:rFonts w:ascii="Times New Roman" w:hAnsi="Times New Roman"/>
          <w:lang w:val="pl-PL"/>
        </w:rPr>
        <w:t xml:space="preserve"> </w:t>
      </w:r>
      <w:r w:rsidRPr="002E727F">
        <w:rPr>
          <w:rFonts w:ascii="Times New Roman" w:hAnsi="Times New Roman"/>
          <w:lang w:val="pl-PL"/>
        </w:rPr>
        <w:t>W sierpniu 20</w:t>
      </w:r>
      <w:r w:rsidRPr="00534316">
        <w:rPr>
          <w:rFonts w:ascii="Times New Roman" w:hAnsi="Times New Roman"/>
          <w:lang w:val="pl-PL"/>
        </w:rPr>
        <w:t>22 r.</w:t>
      </w:r>
      <w:r w:rsidRPr="002E727F">
        <w:rPr>
          <w:rFonts w:ascii="Times New Roman" w:hAnsi="Times New Roman"/>
          <w:lang w:val="pl-PL"/>
        </w:rPr>
        <w:t xml:space="preserve"> ceny kontraktów TTF z</w:t>
      </w:r>
      <w:r>
        <w:rPr>
          <w:rFonts w:ascii="Times New Roman" w:hAnsi="Times New Roman"/>
          <w:lang w:val="pl-PL"/>
        </w:rPr>
        <w:t> </w:t>
      </w:r>
      <w:r w:rsidRPr="002E727F">
        <w:rPr>
          <w:rFonts w:ascii="Times New Roman" w:hAnsi="Times New Roman"/>
          <w:lang w:val="pl-PL"/>
        </w:rPr>
        <w:t>terminem wykonania w</w:t>
      </w:r>
      <w:r>
        <w:rPr>
          <w:rFonts w:ascii="Times New Roman" w:hAnsi="Times New Roman"/>
          <w:lang w:val="pl-PL"/>
        </w:rPr>
        <w:t> </w:t>
      </w:r>
      <w:r w:rsidRPr="002E727F">
        <w:rPr>
          <w:rFonts w:ascii="Times New Roman" w:hAnsi="Times New Roman"/>
          <w:lang w:val="pl-PL"/>
        </w:rPr>
        <w:t>następnym dniu i</w:t>
      </w:r>
      <w:r>
        <w:rPr>
          <w:rFonts w:ascii="Times New Roman" w:hAnsi="Times New Roman"/>
          <w:lang w:val="pl-PL"/>
        </w:rPr>
        <w:t> </w:t>
      </w:r>
      <w:r w:rsidRPr="002E727F">
        <w:rPr>
          <w:rFonts w:ascii="Times New Roman" w:hAnsi="Times New Roman"/>
          <w:lang w:val="pl-PL"/>
        </w:rPr>
        <w:t>następnym miesiącu przekroczyły 230 EUR/MWh.</w:t>
      </w:r>
    </w:p>
  </w:footnote>
  <w:footnote w:id="13">
    <w:p w14:paraId="00C2C717" w14:textId="0B270EB6" w:rsidR="00E27365" w:rsidRPr="00962A3A" w:rsidRDefault="00E27365" w:rsidP="001613B0">
      <w:pPr>
        <w:pStyle w:val="FootnoteText"/>
        <w:jc w:val="both"/>
        <w:rPr>
          <w:rFonts w:ascii="Times New Roman" w:hAnsi="Times New Roman" w:cs="Times New Roman"/>
          <w:lang w:val="pl-PL"/>
        </w:rPr>
      </w:pPr>
      <w:r>
        <w:rPr>
          <w:rStyle w:val="FootnoteReference"/>
          <w:rFonts w:ascii="Times New Roman" w:eastAsia="Times New Roman" w:hAnsi="Times New Roman" w:cs="Times New Roman"/>
        </w:rPr>
        <w:footnoteRef/>
      </w:r>
      <w:r w:rsidRPr="00F85E2D">
        <w:rPr>
          <w:rFonts w:ascii="Times New Roman" w:hAnsi="Times New Roman"/>
          <w:lang w:val="pl-PL"/>
        </w:rPr>
        <w:t xml:space="preserve"> </w:t>
      </w:r>
      <w:r w:rsidRPr="00962A3A">
        <w:rPr>
          <w:rFonts w:ascii="Times New Roman" w:hAnsi="Times New Roman"/>
          <w:lang w:val="pl-PL"/>
        </w:rPr>
        <w:t>Rozporządzenie Rady (UE) 2022/2576 z</w:t>
      </w:r>
      <w:r>
        <w:rPr>
          <w:rFonts w:ascii="Times New Roman" w:hAnsi="Times New Roman"/>
          <w:lang w:val="pl-PL"/>
        </w:rPr>
        <w:t> </w:t>
      </w:r>
      <w:r w:rsidRPr="00962A3A">
        <w:rPr>
          <w:rFonts w:ascii="Times New Roman" w:hAnsi="Times New Roman"/>
          <w:lang w:val="pl-PL"/>
        </w:rPr>
        <w:t>dnia 19 grudnia 20</w:t>
      </w:r>
      <w:r w:rsidRPr="00534316">
        <w:rPr>
          <w:rFonts w:ascii="Times New Roman" w:hAnsi="Times New Roman"/>
          <w:lang w:val="pl-PL"/>
        </w:rPr>
        <w:t>22 r.</w:t>
      </w:r>
      <w:r w:rsidRPr="00962A3A">
        <w:rPr>
          <w:rFonts w:ascii="Times New Roman" w:hAnsi="Times New Roman"/>
          <w:lang w:val="pl-PL"/>
        </w:rPr>
        <w:t xml:space="preserve"> w</w:t>
      </w:r>
      <w:r>
        <w:rPr>
          <w:rFonts w:ascii="Times New Roman" w:hAnsi="Times New Roman"/>
          <w:lang w:val="pl-PL"/>
        </w:rPr>
        <w:t> </w:t>
      </w:r>
      <w:r w:rsidRPr="00962A3A">
        <w:rPr>
          <w:rFonts w:ascii="Times New Roman" w:hAnsi="Times New Roman"/>
          <w:lang w:val="pl-PL"/>
        </w:rPr>
        <w:t>sprawie zwiększenia solidarności dzięki lepszej koordynacji zakupów gazu, wiarygodnym poziomom odniesienia cen i</w:t>
      </w:r>
      <w:r>
        <w:rPr>
          <w:rFonts w:ascii="Times New Roman" w:hAnsi="Times New Roman"/>
          <w:lang w:val="pl-PL"/>
        </w:rPr>
        <w:t> </w:t>
      </w:r>
      <w:r w:rsidRPr="00962A3A">
        <w:rPr>
          <w:rFonts w:ascii="Times New Roman" w:hAnsi="Times New Roman"/>
          <w:lang w:val="pl-PL"/>
        </w:rPr>
        <w:t>transgranicznej wymianie gazu, rozporządzenie Rady (UE) 2022/1369 z</w:t>
      </w:r>
      <w:r>
        <w:rPr>
          <w:rFonts w:ascii="Times New Roman" w:hAnsi="Times New Roman"/>
          <w:lang w:val="pl-PL"/>
        </w:rPr>
        <w:t> </w:t>
      </w:r>
      <w:r w:rsidRPr="00962A3A">
        <w:rPr>
          <w:rFonts w:ascii="Times New Roman" w:hAnsi="Times New Roman"/>
          <w:lang w:val="pl-PL"/>
        </w:rPr>
        <w:t>dnia 5 sierpnia 20</w:t>
      </w:r>
      <w:r w:rsidRPr="00534316">
        <w:rPr>
          <w:rFonts w:ascii="Times New Roman" w:hAnsi="Times New Roman"/>
          <w:lang w:val="pl-PL"/>
        </w:rPr>
        <w:t>22 r.</w:t>
      </w:r>
      <w:r w:rsidRPr="00962A3A">
        <w:rPr>
          <w:rFonts w:ascii="Times New Roman" w:hAnsi="Times New Roman"/>
          <w:lang w:val="pl-PL"/>
        </w:rPr>
        <w:t xml:space="preserve"> w</w:t>
      </w:r>
      <w:r>
        <w:rPr>
          <w:rFonts w:ascii="Times New Roman" w:hAnsi="Times New Roman"/>
          <w:lang w:val="pl-PL"/>
        </w:rPr>
        <w:t> </w:t>
      </w:r>
      <w:r w:rsidRPr="00962A3A">
        <w:rPr>
          <w:rFonts w:ascii="Times New Roman" w:hAnsi="Times New Roman"/>
          <w:lang w:val="pl-PL"/>
        </w:rPr>
        <w:t>sprawie skoordynowanych środków zmniejszających zapotrzebowanie na gaz oraz rozporządzenie Rady (UE) 2023/706 z</w:t>
      </w:r>
      <w:r>
        <w:rPr>
          <w:rFonts w:ascii="Times New Roman" w:hAnsi="Times New Roman"/>
          <w:lang w:val="pl-PL"/>
        </w:rPr>
        <w:t> </w:t>
      </w:r>
      <w:r w:rsidRPr="00962A3A">
        <w:rPr>
          <w:rFonts w:ascii="Times New Roman" w:hAnsi="Times New Roman"/>
          <w:lang w:val="pl-PL"/>
        </w:rPr>
        <w:t>dnia 30 marca 20</w:t>
      </w:r>
      <w:r w:rsidRPr="00534316">
        <w:rPr>
          <w:rFonts w:ascii="Times New Roman" w:hAnsi="Times New Roman"/>
          <w:lang w:val="pl-PL"/>
        </w:rPr>
        <w:t>23 r.</w:t>
      </w:r>
      <w:r w:rsidRPr="00962A3A">
        <w:rPr>
          <w:rFonts w:ascii="Times New Roman" w:hAnsi="Times New Roman"/>
          <w:lang w:val="pl-PL"/>
        </w:rPr>
        <w:t xml:space="preserve"> zmieniające rozporządzenie (UE) 2022/1369 w</w:t>
      </w:r>
      <w:r>
        <w:rPr>
          <w:rFonts w:ascii="Times New Roman" w:hAnsi="Times New Roman"/>
          <w:lang w:val="pl-PL"/>
        </w:rPr>
        <w:t> </w:t>
      </w:r>
      <w:r w:rsidRPr="00962A3A">
        <w:rPr>
          <w:rFonts w:ascii="Times New Roman" w:hAnsi="Times New Roman"/>
          <w:lang w:val="pl-PL"/>
        </w:rPr>
        <w:t>odniesieniu do przedłużenia okresu zmniejszenia zapotrzebowania w</w:t>
      </w:r>
      <w:r>
        <w:rPr>
          <w:rFonts w:ascii="Times New Roman" w:hAnsi="Times New Roman"/>
          <w:lang w:val="pl-PL"/>
        </w:rPr>
        <w:t> </w:t>
      </w:r>
      <w:r w:rsidRPr="00962A3A">
        <w:rPr>
          <w:rFonts w:ascii="Times New Roman" w:hAnsi="Times New Roman"/>
          <w:lang w:val="pl-PL"/>
        </w:rPr>
        <w:t>kontekście środków zmniejszających zapotrzebowanie na gaz oraz w</w:t>
      </w:r>
      <w:r>
        <w:rPr>
          <w:rFonts w:ascii="Times New Roman" w:hAnsi="Times New Roman"/>
          <w:lang w:val="pl-PL"/>
        </w:rPr>
        <w:t> </w:t>
      </w:r>
      <w:r w:rsidRPr="00962A3A">
        <w:rPr>
          <w:rFonts w:ascii="Times New Roman" w:hAnsi="Times New Roman"/>
          <w:lang w:val="pl-PL"/>
        </w:rPr>
        <w:t>odniesieniu do zwiększenia sprawozdawczości i</w:t>
      </w:r>
      <w:r>
        <w:rPr>
          <w:rFonts w:ascii="Times New Roman" w:hAnsi="Times New Roman"/>
          <w:lang w:val="pl-PL"/>
        </w:rPr>
        <w:t> </w:t>
      </w:r>
      <w:r w:rsidRPr="00962A3A">
        <w:rPr>
          <w:rFonts w:ascii="Times New Roman" w:hAnsi="Times New Roman"/>
          <w:lang w:val="pl-PL"/>
        </w:rPr>
        <w:t xml:space="preserve">monitorowania realizacji tych środków. </w:t>
      </w:r>
    </w:p>
  </w:footnote>
  <w:footnote w:id="14">
    <w:p w14:paraId="4B5C79F9" w14:textId="54ACA441" w:rsidR="00E27365" w:rsidRPr="00962A3A" w:rsidRDefault="00E27365" w:rsidP="001613B0">
      <w:pPr>
        <w:pStyle w:val="FootnoteText"/>
        <w:jc w:val="both"/>
        <w:rPr>
          <w:rFonts w:ascii="Times New Roman" w:eastAsia="Times New Roman" w:hAnsi="Times New Roman" w:cs="Times New Roman"/>
          <w:lang w:val="pl-PL"/>
        </w:rPr>
      </w:pPr>
      <w:r w:rsidRPr="00962A3A">
        <w:rPr>
          <w:rStyle w:val="FootnoteReference"/>
          <w:rFonts w:ascii="Times New Roman" w:hAnsi="Times New Roman" w:cs="Times New Roman"/>
          <w:lang w:val="pl-PL"/>
        </w:rPr>
        <w:footnoteRef/>
      </w:r>
      <w:r w:rsidRPr="00962A3A">
        <w:rPr>
          <w:rFonts w:ascii="Times New Roman" w:hAnsi="Times New Roman"/>
          <w:lang w:val="pl-PL"/>
        </w:rPr>
        <w:t xml:space="preserve"> UE zmniejszyła swoje zapotrzebowanie na gaz ziemny o</w:t>
      </w:r>
      <w:r>
        <w:rPr>
          <w:rFonts w:ascii="Times New Roman" w:hAnsi="Times New Roman"/>
          <w:lang w:val="pl-PL"/>
        </w:rPr>
        <w:t> </w:t>
      </w:r>
      <w:r w:rsidRPr="00962A3A">
        <w:rPr>
          <w:rFonts w:ascii="Times New Roman" w:hAnsi="Times New Roman"/>
          <w:lang w:val="pl-PL"/>
        </w:rPr>
        <w:t>19,</w:t>
      </w:r>
      <w:r w:rsidRPr="00534316">
        <w:rPr>
          <w:rFonts w:ascii="Times New Roman" w:hAnsi="Times New Roman"/>
          <w:lang w:val="pl-PL"/>
        </w:rPr>
        <w:t>2 %</w:t>
      </w:r>
      <w:r w:rsidRPr="00962A3A">
        <w:rPr>
          <w:rFonts w:ascii="Times New Roman" w:hAnsi="Times New Roman"/>
          <w:lang w:val="pl-PL"/>
        </w:rPr>
        <w:t xml:space="preserve"> (41,5 mld m</w:t>
      </w:r>
      <w:r w:rsidRPr="00962A3A">
        <w:rPr>
          <w:rFonts w:ascii="Times New Roman" w:hAnsi="Times New Roman"/>
          <w:vertAlign w:val="superscript"/>
          <w:lang w:val="pl-PL"/>
        </w:rPr>
        <w:t>3</w:t>
      </w:r>
      <w:r w:rsidRPr="00962A3A">
        <w:rPr>
          <w:rFonts w:ascii="Times New Roman" w:hAnsi="Times New Roman"/>
          <w:lang w:val="pl-PL"/>
        </w:rPr>
        <w:t>) w</w:t>
      </w:r>
      <w:r>
        <w:rPr>
          <w:rFonts w:ascii="Times New Roman" w:hAnsi="Times New Roman"/>
          <w:lang w:val="pl-PL"/>
        </w:rPr>
        <w:t> </w:t>
      </w:r>
      <w:r w:rsidRPr="00962A3A">
        <w:rPr>
          <w:rFonts w:ascii="Times New Roman" w:hAnsi="Times New Roman"/>
          <w:lang w:val="pl-PL"/>
        </w:rPr>
        <w:t>okresie od sierpnia 20</w:t>
      </w:r>
      <w:r w:rsidRPr="00534316">
        <w:rPr>
          <w:rFonts w:ascii="Times New Roman" w:hAnsi="Times New Roman"/>
          <w:lang w:val="pl-PL"/>
        </w:rPr>
        <w:t>22 r.</w:t>
      </w:r>
      <w:r w:rsidRPr="00962A3A">
        <w:rPr>
          <w:rFonts w:ascii="Times New Roman" w:hAnsi="Times New Roman"/>
          <w:lang w:val="pl-PL"/>
        </w:rPr>
        <w:t xml:space="preserve"> do stycznia 20</w:t>
      </w:r>
      <w:r w:rsidRPr="00534316">
        <w:rPr>
          <w:rFonts w:ascii="Times New Roman" w:hAnsi="Times New Roman"/>
          <w:lang w:val="pl-PL"/>
        </w:rPr>
        <w:t>23 r.</w:t>
      </w:r>
      <w:r w:rsidRPr="00962A3A">
        <w:rPr>
          <w:rFonts w:ascii="Times New Roman" w:hAnsi="Times New Roman"/>
          <w:lang w:val="pl-PL"/>
        </w:rPr>
        <w:t>, w</w:t>
      </w:r>
      <w:r>
        <w:rPr>
          <w:rFonts w:ascii="Times New Roman" w:hAnsi="Times New Roman"/>
          <w:lang w:val="pl-PL"/>
        </w:rPr>
        <w:t> </w:t>
      </w:r>
      <w:r w:rsidRPr="00962A3A">
        <w:rPr>
          <w:rFonts w:ascii="Times New Roman" w:hAnsi="Times New Roman"/>
          <w:lang w:val="pl-PL"/>
        </w:rPr>
        <w:t>porównaniu ze średnią z</w:t>
      </w:r>
      <w:r>
        <w:rPr>
          <w:rFonts w:ascii="Times New Roman" w:hAnsi="Times New Roman"/>
          <w:lang w:val="pl-PL"/>
        </w:rPr>
        <w:t> </w:t>
      </w:r>
      <w:r w:rsidRPr="00962A3A">
        <w:rPr>
          <w:rFonts w:ascii="Times New Roman" w:hAnsi="Times New Roman"/>
          <w:lang w:val="pl-PL"/>
        </w:rPr>
        <w:t>poprzednich pięciu lat. Tym samym do tej pory przekroczyła swój cel wynoszący 1</w:t>
      </w:r>
      <w:r w:rsidRPr="00534316">
        <w:rPr>
          <w:rFonts w:ascii="Times New Roman" w:hAnsi="Times New Roman"/>
          <w:lang w:val="pl-PL"/>
        </w:rPr>
        <w:t>5 %</w:t>
      </w:r>
      <w:r w:rsidRPr="00962A3A">
        <w:rPr>
          <w:rFonts w:ascii="Times New Roman" w:hAnsi="Times New Roman"/>
          <w:lang w:val="pl-PL"/>
        </w:rPr>
        <w:t>, który odpowiadałby 32,5 mld m</w:t>
      </w:r>
      <w:r w:rsidRPr="00962A3A">
        <w:rPr>
          <w:rFonts w:ascii="Times New Roman" w:hAnsi="Times New Roman"/>
          <w:vertAlign w:val="superscript"/>
          <w:lang w:val="pl-PL"/>
        </w:rPr>
        <w:t>3</w:t>
      </w:r>
      <w:r w:rsidRPr="00962A3A">
        <w:rPr>
          <w:rFonts w:ascii="Times New Roman" w:hAnsi="Times New Roman"/>
          <w:lang w:val="pl-PL"/>
        </w:rPr>
        <w:t xml:space="preserve"> w</w:t>
      </w:r>
      <w:r>
        <w:rPr>
          <w:rFonts w:ascii="Times New Roman" w:hAnsi="Times New Roman"/>
          <w:lang w:val="pl-PL"/>
        </w:rPr>
        <w:t> </w:t>
      </w:r>
      <w:r w:rsidRPr="00962A3A">
        <w:rPr>
          <w:rFonts w:ascii="Times New Roman" w:hAnsi="Times New Roman"/>
          <w:lang w:val="pl-PL"/>
        </w:rPr>
        <w:t>tym samym okresie. Ponadto zrealizowała też w</w:t>
      </w:r>
      <w:r>
        <w:rPr>
          <w:rFonts w:ascii="Times New Roman" w:hAnsi="Times New Roman"/>
          <w:lang w:val="pl-PL"/>
        </w:rPr>
        <w:t> </w:t>
      </w:r>
      <w:r w:rsidRPr="00962A3A">
        <w:rPr>
          <w:rFonts w:ascii="Times New Roman" w:hAnsi="Times New Roman"/>
          <w:lang w:val="pl-PL"/>
        </w:rPr>
        <w:t>ponad 9</w:t>
      </w:r>
      <w:r w:rsidRPr="00534316">
        <w:rPr>
          <w:rFonts w:ascii="Times New Roman" w:hAnsi="Times New Roman"/>
          <w:lang w:val="pl-PL"/>
        </w:rPr>
        <w:t>0 %</w:t>
      </w:r>
      <w:r w:rsidRPr="00962A3A">
        <w:rPr>
          <w:rFonts w:ascii="Times New Roman" w:hAnsi="Times New Roman"/>
          <w:lang w:val="pl-PL"/>
        </w:rPr>
        <w:t xml:space="preserve"> swój ogólny cel zmniejszenia zapotrzebowania wynoszący ponad 45 mld m</w:t>
      </w:r>
      <w:r w:rsidRPr="00962A3A">
        <w:rPr>
          <w:rFonts w:ascii="Times New Roman" w:hAnsi="Times New Roman"/>
          <w:vertAlign w:val="superscript"/>
          <w:lang w:val="pl-PL"/>
        </w:rPr>
        <w:t>3</w:t>
      </w:r>
      <w:r w:rsidRPr="00962A3A">
        <w:rPr>
          <w:rFonts w:ascii="Times New Roman" w:hAnsi="Times New Roman"/>
          <w:lang w:val="pl-PL"/>
        </w:rPr>
        <w:t xml:space="preserve"> w</w:t>
      </w:r>
      <w:r>
        <w:rPr>
          <w:rFonts w:ascii="Times New Roman" w:hAnsi="Times New Roman"/>
          <w:lang w:val="pl-PL"/>
        </w:rPr>
        <w:t> </w:t>
      </w:r>
      <w:r w:rsidRPr="00962A3A">
        <w:rPr>
          <w:rFonts w:ascii="Times New Roman" w:hAnsi="Times New Roman"/>
          <w:lang w:val="pl-PL"/>
        </w:rPr>
        <w:t>całym okresie od sierpnia 20</w:t>
      </w:r>
      <w:r w:rsidRPr="00534316">
        <w:rPr>
          <w:rFonts w:ascii="Times New Roman" w:hAnsi="Times New Roman"/>
          <w:lang w:val="pl-PL"/>
        </w:rPr>
        <w:t>22 r.</w:t>
      </w:r>
      <w:r w:rsidRPr="00962A3A">
        <w:rPr>
          <w:rFonts w:ascii="Times New Roman" w:hAnsi="Times New Roman"/>
          <w:lang w:val="pl-PL"/>
        </w:rPr>
        <w:t xml:space="preserve"> do marca 20</w:t>
      </w:r>
      <w:r w:rsidRPr="00534316">
        <w:rPr>
          <w:rFonts w:ascii="Times New Roman" w:hAnsi="Times New Roman"/>
          <w:lang w:val="pl-PL"/>
        </w:rPr>
        <w:t>23 r.</w:t>
      </w:r>
    </w:p>
  </w:footnote>
  <w:footnote w:id="15">
    <w:p w14:paraId="35C01D46" w14:textId="23805098" w:rsidR="00E27365" w:rsidRPr="000B2F94" w:rsidRDefault="00E27365" w:rsidP="001613B0">
      <w:pPr>
        <w:pStyle w:val="FootnoteText"/>
        <w:jc w:val="both"/>
        <w:rPr>
          <w:rFonts w:ascii="Times New Roman" w:eastAsia="Times New Roman" w:hAnsi="Times New Roman" w:cs="Times New Roman"/>
          <w:lang w:val="pl-PL"/>
        </w:rPr>
      </w:pPr>
      <w:r>
        <w:rPr>
          <w:rStyle w:val="FootnoteReference"/>
          <w:rFonts w:ascii="Times New Roman" w:hAnsi="Times New Roman" w:cs="Times New Roman"/>
        </w:rPr>
        <w:footnoteRef/>
      </w:r>
      <w:r w:rsidRPr="00F85E2D">
        <w:rPr>
          <w:rFonts w:ascii="Times New Roman" w:hAnsi="Times New Roman"/>
          <w:lang w:val="pl-PL"/>
        </w:rPr>
        <w:t xml:space="preserve"> </w:t>
      </w:r>
      <w:r w:rsidRPr="000B2F94">
        <w:rPr>
          <w:rFonts w:ascii="Times New Roman" w:hAnsi="Times New Roman"/>
          <w:lang w:val="pl-PL"/>
        </w:rPr>
        <w:t>Niektóre państwa członkowskie, a</w:t>
      </w:r>
      <w:r>
        <w:rPr>
          <w:rFonts w:ascii="Times New Roman" w:hAnsi="Times New Roman"/>
          <w:lang w:val="pl-PL"/>
        </w:rPr>
        <w:t> </w:t>
      </w:r>
      <w:r w:rsidRPr="000B2F94">
        <w:rPr>
          <w:rFonts w:ascii="Times New Roman" w:hAnsi="Times New Roman"/>
          <w:lang w:val="pl-PL"/>
        </w:rPr>
        <w:t>mianowicie Włochy, Portugalia, Słowenia i</w:t>
      </w:r>
      <w:r>
        <w:rPr>
          <w:rFonts w:ascii="Times New Roman" w:hAnsi="Times New Roman"/>
          <w:lang w:val="pl-PL"/>
        </w:rPr>
        <w:t> </w:t>
      </w:r>
      <w:r w:rsidRPr="000B2F94">
        <w:rPr>
          <w:rFonts w:ascii="Times New Roman" w:hAnsi="Times New Roman"/>
          <w:lang w:val="pl-PL"/>
        </w:rPr>
        <w:t>Hiszpania, wprowadziły lub rozważają wprowadzenie przetargów konkurencyjnych w</w:t>
      </w:r>
      <w:r>
        <w:rPr>
          <w:rFonts w:ascii="Times New Roman" w:hAnsi="Times New Roman"/>
          <w:lang w:val="pl-PL"/>
        </w:rPr>
        <w:t> </w:t>
      </w:r>
      <w:r w:rsidRPr="000B2F94">
        <w:rPr>
          <w:rFonts w:ascii="Times New Roman" w:hAnsi="Times New Roman"/>
          <w:lang w:val="pl-PL"/>
        </w:rPr>
        <w:t>celu zmniejszenia zapotrzebowania na energię elektryczną.</w:t>
      </w:r>
    </w:p>
  </w:footnote>
  <w:footnote w:id="16">
    <w:p w14:paraId="262FE73D" w14:textId="5F0E5BB2" w:rsidR="00E27365" w:rsidRPr="000B2F94" w:rsidRDefault="00E27365" w:rsidP="001613B0">
      <w:pPr>
        <w:pStyle w:val="FootnoteText"/>
        <w:jc w:val="both"/>
        <w:rPr>
          <w:rFonts w:ascii="Times New Roman" w:hAnsi="Times New Roman" w:cs="Times New Roman"/>
          <w:lang w:val="pl-PL"/>
        </w:rPr>
      </w:pPr>
      <w:r w:rsidRPr="000B2F94">
        <w:rPr>
          <w:rStyle w:val="FootnoteReference"/>
          <w:rFonts w:ascii="Times New Roman" w:eastAsia="Times New Roman" w:hAnsi="Times New Roman" w:cs="Times New Roman"/>
          <w:lang w:val="pl-PL"/>
        </w:rPr>
        <w:footnoteRef/>
      </w:r>
      <w:r w:rsidRPr="000B2F94">
        <w:rPr>
          <w:rFonts w:ascii="Times New Roman" w:hAnsi="Times New Roman"/>
          <w:lang w:val="pl-PL"/>
        </w:rPr>
        <w:t xml:space="preserve"> Cypr, Chorwacja, Polska i</w:t>
      </w:r>
      <w:r>
        <w:rPr>
          <w:rFonts w:ascii="Times New Roman" w:hAnsi="Times New Roman"/>
          <w:lang w:val="pl-PL"/>
        </w:rPr>
        <w:t> </w:t>
      </w:r>
      <w:r w:rsidRPr="000B2F94">
        <w:rPr>
          <w:rFonts w:ascii="Times New Roman" w:hAnsi="Times New Roman"/>
          <w:lang w:val="pl-PL"/>
        </w:rPr>
        <w:t>Portugalia zgłosiły najniższe osiągnięte poziomy zmniejszenia zużycia energii elektrycznej.</w:t>
      </w:r>
    </w:p>
  </w:footnote>
  <w:footnote w:id="17">
    <w:p w14:paraId="16C6DCB7" w14:textId="066E96E5" w:rsidR="00E27365" w:rsidRPr="000B2F94" w:rsidRDefault="00E27365" w:rsidP="001613B0">
      <w:pPr>
        <w:pStyle w:val="FootnoteText"/>
        <w:jc w:val="both"/>
        <w:rPr>
          <w:rFonts w:ascii="Times New Roman" w:eastAsia="Times New Roman" w:hAnsi="Times New Roman" w:cs="Times New Roman"/>
          <w:lang w:val="pl-PL"/>
        </w:rPr>
      </w:pPr>
      <w:r w:rsidRPr="000B2F94">
        <w:rPr>
          <w:rStyle w:val="FootnoteReference"/>
          <w:rFonts w:ascii="Times New Roman" w:eastAsia="Times New Roman" w:hAnsi="Times New Roman" w:cs="Times New Roman"/>
          <w:lang w:val="pl-PL"/>
        </w:rPr>
        <w:footnoteRef/>
      </w:r>
      <w:r w:rsidRPr="000B2F94">
        <w:rPr>
          <w:rFonts w:ascii="Times New Roman" w:hAnsi="Times New Roman"/>
          <w:lang w:val="pl-PL"/>
        </w:rPr>
        <w:t xml:space="preserve"> Zgodnie z</w:t>
      </w:r>
      <w:r>
        <w:rPr>
          <w:rFonts w:ascii="Times New Roman" w:hAnsi="Times New Roman"/>
          <w:lang w:val="pl-PL"/>
        </w:rPr>
        <w:t> </w:t>
      </w:r>
      <w:r w:rsidRPr="000B2F94">
        <w:rPr>
          <w:rFonts w:ascii="Times New Roman" w:hAnsi="Times New Roman"/>
          <w:lang w:val="pl-PL"/>
        </w:rPr>
        <w:t>definicją zawartą w</w:t>
      </w:r>
      <w:r>
        <w:rPr>
          <w:rFonts w:ascii="Times New Roman" w:hAnsi="Times New Roman"/>
          <w:lang w:val="pl-PL"/>
        </w:rPr>
        <w:t> </w:t>
      </w:r>
      <w:r w:rsidRPr="00534316">
        <w:rPr>
          <w:rFonts w:ascii="Times New Roman" w:hAnsi="Times New Roman"/>
          <w:lang w:val="pl-PL"/>
        </w:rPr>
        <w:t>art. 2</w:t>
      </w:r>
      <w:r w:rsidRPr="000B2F94">
        <w:rPr>
          <w:rFonts w:ascii="Times New Roman" w:hAnsi="Times New Roman"/>
          <w:lang w:val="pl-PL"/>
        </w:rPr>
        <w:t xml:space="preserve"> </w:t>
      </w:r>
      <w:r w:rsidRPr="00534316">
        <w:rPr>
          <w:rFonts w:ascii="Times New Roman" w:hAnsi="Times New Roman"/>
          <w:lang w:val="pl-PL"/>
        </w:rPr>
        <w:t>pkt 3</w:t>
      </w:r>
      <w:r w:rsidRPr="000B2F94">
        <w:rPr>
          <w:rFonts w:ascii="Times New Roman" w:hAnsi="Times New Roman"/>
          <w:lang w:val="pl-PL"/>
        </w:rPr>
        <w:t xml:space="preserve"> rozporządzenia Rady. Niemcy, Finlandia, Francja, Grecja i</w:t>
      </w:r>
      <w:r>
        <w:rPr>
          <w:rFonts w:ascii="Times New Roman" w:hAnsi="Times New Roman"/>
          <w:lang w:val="pl-PL"/>
        </w:rPr>
        <w:t> </w:t>
      </w:r>
      <w:r w:rsidRPr="000B2F94">
        <w:rPr>
          <w:rFonts w:ascii="Times New Roman" w:hAnsi="Times New Roman"/>
          <w:lang w:val="pl-PL"/>
        </w:rPr>
        <w:t xml:space="preserve">Hiszpania zgłosiły najwyższe osiągnięte poziomy zmniejszenia zużycia energii elektrycznej. Wydaje się, że przy obliczaniu zmniejszenia zużycia energii elektrycznej brutto niektóre państwa członkowskie składające sprawozdania zastosowały </w:t>
      </w:r>
      <w:r w:rsidRPr="00534316">
        <w:rPr>
          <w:rFonts w:ascii="Times New Roman" w:hAnsi="Times New Roman"/>
          <w:lang w:val="pl-PL"/>
        </w:rPr>
        <w:t>art. 3</w:t>
      </w:r>
      <w:r w:rsidRPr="000B2F94">
        <w:rPr>
          <w:rFonts w:ascii="Times New Roman" w:hAnsi="Times New Roman"/>
          <w:lang w:val="pl-PL"/>
        </w:rPr>
        <w:t xml:space="preserve"> </w:t>
      </w:r>
      <w:r w:rsidRPr="00534316">
        <w:rPr>
          <w:rFonts w:ascii="Times New Roman" w:hAnsi="Times New Roman"/>
          <w:lang w:val="pl-PL"/>
        </w:rPr>
        <w:t>ust. 2</w:t>
      </w:r>
      <w:r w:rsidRPr="000B2F94">
        <w:rPr>
          <w:rFonts w:ascii="Times New Roman" w:hAnsi="Times New Roman"/>
          <w:lang w:val="pl-PL"/>
        </w:rPr>
        <w:t xml:space="preserve"> rozporządzenia Rady, podczas gdy inne tego nie zrobiły. Zgodnie z</w:t>
      </w:r>
      <w:r>
        <w:rPr>
          <w:rFonts w:ascii="Times New Roman" w:hAnsi="Times New Roman"/>
          <w:lang w:val="pl-PL"/>
        </w:rPr>
        <w:t> </w:t>
      </w:r>
      <w:r w:rsidRPr="00534316">
        <w:rPr>
          <w:rFonts w:ascii="Times New Roman" w:hAnsi="Times New Roman"/>
          <w:lang w:val="pl-PL"/>
        </w:rPr>
        <w:t>art. 3</w:t>
      </w:r>
      <w:r w:rsidRPr="000B2F94">
        <w:rPr>
          <w:rFonts w:ascii="Times New Roman" w:hAnsi="Times New Roman"/>
          <w:lang w:val="pl-PL"/>
        </w:rPr>
        <w:t xml:space="preserve"> </w:t>
      </w:r>
      <w:r w:rsidRPr="00534316">
        <w:rPr>
          <w:rFonts w:ascii="Times New Roman" w:hAnsi="Times New Roman"/>
          <w:lang w:val="pl-PL"/>
        </w:rPr>
        <w:t>ust. 2</w:t>
      </w:r>
      <w:r w:rsidRPr="000B2F94">
        <w:rPr>
          <w:rFonts w:ascii="Times New Roman" w:hAnsi="Times New Roman"/>
          <w:lang w:val="pl-PL"/>
        </w:rPr>
        <w:t xml:space="preserve"> przy obliczaniu zmniejszenia zużycia energii elektrycznej brutto państwa członkowskie mogą wziąć pod uwagę zwiększone zużycie energii elektrycznej brutto, które wynika z</w:t>
      </w:r>
      <w:r>
        <w:rPr>
          <w:rFonts w:ascii="Times New Roman" w:hAnsi="Times New Roman"/>
          <w:lang w:val="pl-PL"/>
        </w:rPr>
        <w:t> </w:t>
      </w:r>
      <w:r w:rsidRPr="000B2F94">
        <w:rPr>
          <w:rFonts w:ascii="Times New Roman" w:hAnsi="Times New Roman"/>
          <w:lang w:val="pl-PL"/>
        </w:rPr>
        <w:t>osiągnięcia celów w</w:t>
      </w:r>
      <w:r>
        <w:rPr>
          <w:rFonts w:ascii="Times New Roman" w:hAnsi="Times New Roman"/>
          <w:lang w:val="pl-PL"/>
        </w:rPr>
        <w:t> </w:t>
      </w:r>
      <w:r w:rsidRPr="000B2F94">
        <w:rPr>
          <w:rFonts w:ascii="Times New Roman" w:hAnsi="Times New Roman"/>
          <w:lang w:val="pl-PL"/>
        </w:rPr>
        <w:t>zakresie ograniczania zapotrzebowania na gaz oraz ogólnych wysiłków w</w:t>
      </w:r>
      <w:r>
        <w:rPr>
          <w:rFonts w:ascii="Times New Roman" w:hAnsi="Times New Roman"/>
          <w:lang w:val="pl-PL"/>
        </w:rPr>
        <w:t> </w:t>
      </w:r>
      <w:r w:rsidRPr="000B2F94">
        <w:rPr>
          <w:rFonts w:ascii="Times New Roman" w:hAnsi="Times New Roman"/>
          <w:lang w:val="pl-PL"/>
        </w:rPr>
        <w:t>zakresie elektryfikacji mających na celu stopniowe wycofywanie paliw kopalnych. W</w:t>
      </w:r>
      <w:r>
        <w:rPr>
          <w:rFonts w:ascii="Times New Roman" w:hAnsi="Times New Roman"/>
          <w:lang w:val="pl-PL"/>
        </w:rPr>
        <w:t> </w:t>
      </w:r>
      <w:r w:rsidRPr="000B2F94">
        <w:rPr>
          <w:rFonts w:ascii="Times New Roman" w:hAnsi="Times New Roman"/>
          <w:lang w:val="pl-PL"/>
        </w:rPr>
        <w:t>związku z</w:t>
      </w:r>
      <w:r>
        <w:rPr>
          <w:rFonts w:ascii="Times New Roman" w:hAnsi="Times New Roman"/>
          <w:lang w:val="pl-PL"/>
        </w:rPr>
        <w:t> </w:t>
      </w:r>
      <w:r w:rsidRPr="000B2F94">
        <w:rPr>
          <w:rFonts w:ascii="Times New Roman" w:hAnsi="Times New Roman"/>
          <w:lang w:val="pl-PL"/>
        </w:rPr>
        <w:t>tym należy zachować ostrożność przy porównywaniu tych obliczeń między różnymi państwami członkowskimi.</w:t>
      </w:r>
    </w:p>
  </w:footnote>
  <w:footnote w:id="18">
    <w:p w14:paraId="660E0BE1" w14:textId="77777777" w:rsidR="00E27365" w:rsidRPr="00F85E2D" w:rsidRDefault="00E27365" w:rsidP="001613B0">
      <w:pPr>
        <w:pStyle w:val="FootnoteText"/>
        <w:jc w:val="both"/>
        <w:rPr>
          <w:rFonts w:ascii="Times New Roman" w:hAnsi="Times New Roman" w:cs="Times New Roman"/>
          <w:lang w:val="pl-PL"/>
        </w:rPr>
      </w:pPr>
      <w:r>
        <w:rPr>
          <w:rStyle w:val="FootnoteReference"/>
          <w:rFonts w:ascii="Times New Roman" w:eastAsia="Times New Roman" w:hAnsi="Times New Roman" w:cs="Times New Roman"/>
        </w:rPr>
        <w:footnoteRef/>
      </w:r>
      <w:r w:rsidRPr="00F85E2D">
        <w:rPr>
          <w:rFonts w:ascii="Times New Roman" w:hAnsi="Times New Roman"/>
          <w:lang w:val="pl-PL"/>
        </w:rPr>
        <w:t xml:space="preserve"> </w:t>
      </w:r>
      <w:hyperlink r:id="rId2" w:history="1">
        <w:r w:rsidRPr="00F85E2D">
          <w:rPr>
            <w:rStyle w:val="Hyperlink"/>
            <w:rFonts w:ascii="Times New Roman" w:hAnsi="Times New Roman"/>
            <w:lang w:val="pl-PL"/>
          </w:rPr>
          <w:t>https://www.acer.europa.eu/news-and-events/news/acer-submitted-framework-guideline-demand-response-european-commission-first-step-towards-binding-eu-rules</w:t>
        </w:r>
      </w:hyperlink>
      <w:r w:rsidRPr="00F85E2D">
        <w:rPr>
          <w:rFonts w:ascii="Times New Roman" w:hAnsi="Times New Roman"/>
          <w:lang w:val="pl-PL"/>
        </w:rPr>
        <w:t xml:space="preserve"> </w:t>
      </w:r>
    </w:p>
  </w:footnote>
  <w:footnote w:id="19">
    <w:p w14:paraId="43EAA7CE" w14:textId="05604108" w:rsidR="00E27365" w:rsidRPr="00432E56" w:rsidRDefault="00E27365" w:rsidP="001613B0">
      <w:pPr>
        <w:spacing w:after="0" w:line="240" w:lineRule="auto"/>
        <w:jc w:val="both"/>
        <w:rPr>
          <w:rFonts w:ascii="Times New Roman" w:hAnsi="Times New Roman" w:cs="Times New Roman"/>
          <w:sz w:val="20"/>
          <w:lang w:val="pl-PL"/>
        </w:rPr>
      </w:pPr>
      <w:r>
        <w:rPr>
          <w:rStyle w:val="FootnoteReference"/>
          <w:rFonts w:ascii="Times New Roman" w:eastAsia="Times New Roman" w:hAnsi="Times New Roman" w:cs="Times New Roman"/>
          <w:sz w:val="20"/>
        </w:rPr>
        <w:footnoteRef/>
      </w:r>
      <w:r w:rsidRPr="00F85E2D">
        <w:rPr>
          <w:rStyle w:val="FootnoteReference"/>
          <w:rFonts w:ascii="Times New Roman" w:hAnsi="Times New Roman"/>
          <w:sz w:val="20"/>
          <w:lang w:val="pl-PL"/>
        </w:rPr>
        <w:t xml:space="preserve"> </w:t>
      </w:r>
      <w:r w:rsidRPr="00432E56">
        <w:rPr>
          <w:rFonts w:ascii="Times New Roman" w:hAnsi="Times New Roman"/>
          <w:sz w:val="20"/>
          <w:lang w:val="pl-PL"/>
        </w:rPr>
        <w:t>Następujące państwa członkowskie zgłosiły ustanowienie pułapu poniżej 180 EUR/MWh co najmniej w</w:t>
      </w:r>
      <w:r>
        <w:rPr>
          <w:rFonts w:ascii="Times New Roman" w:hAnsi="Times New Roman"/>
          <w:sz w:val="20"/>
          <w:lang w:val="pl-PL"/>
        </w:rPr>
        <w:t> </w:t>
      </w:r>
      <w:r w:rsidRPr="00432E56">
        <w:rPr>
          <w:rFonts w:ascii="Times New Roman" w:hAnsi="Times New Roman"/>
          <w:sz w:val="20"/>
          <w:lang w:val="pl-PL"/>
        </w:rPr>
        <w:t>odniesieniu do jednej technologii: Austria, Belgia, Bułgaria, Republika Czeska, Cypr, Finlandia, Francja, Niemcy, Grecja, Irlandia, Włochy, Luksemburg, Niderlandy, Polska i</w:t>
      </w:r>
      <w:r>
        <w:rPr>
          <w:rFonts w:ascii="Times New Roman" w:hAnsi="Times New Roman"/>
          <w:sz w:val="20"/>
          <w:lang w:val="pl-PL"/>
        </w:rPr>
        <w:t> </w:t>
      </w:r>
      <w:r w:rsidRPr="00432E56">
        <w:rPr>
          <w:rFonts w:ascii="Times New Roman" w:hAnsi="Times New Roman"/>
          <w:sz w:val="20"/>
          <w:lang w:val="pl-PL"/>
        </w:rPr>
        <w:t>Słowacja. Hiszpania wprowadziła pułap dochodów rynkowych w</w:t>
      </w:r>
      <w:r>
        <w:rPr>
          <w:rFonts w:ascii="Times New Roman" w:hAnsi="Times New Roman"/>
          <w:sz w:val="20"/>
          <w:lang w:val="pl-PL"/>
        </w:rPr>
        <w:t> </w:t>
      </w:r>
      <w:r w:rsidRPr="00432E56">
        <w:rPr>
          <w:rFonts w:ascii="Times New Roman" w:hAnsi="Times New Roman"/>
          <w:sz w:val="20"/>
          <w:lang w:val="pl-PL"/>
        </w:rPr>
        <w:t>odniesieniu do niektórych technologii już we wrześniu 20</w:t>
      </w:r>
      <w:r w:rsidRPr="00534316">
        <w:rPr>
          <w:rFonts w:ascii="Times New Roman" w:hAnsi="Times New Roman"/>
          <w:sz w:val="20"/>
          <w:lang w:val="pl-PL"/>
        </w:rPr>
        <w:t>21 r.</w:t>
      </w:r>
      <w:r w:rsidRPr="00432E56">
        <w:rPr>
          <w:rFonts w:ascii="Times New Roman" w:hAnsi="Times New Roman"/>
          <w:sz w:val="20"/>
          <w:lang w:val="pl-PL"/>
        </w:rPr>
        <w:t xml:space="preserve"> W</w:t>
      </w:r>
      <w:r>
        <w:rPr>
          <w:rFonts w:ascii="Times New Roman" w:hAnsi="Times New Roman"/>
          <w:sz w:val="20"/>
          <w:lang w:val="pl-PL"/>
        </w:rPr>
        <w:t> </w:t>
      </w:r>
      <w:r w:rsidRPr="00432E56">
        <w:rPr>
          <w:rFonts w:ascii="Times New Roman" w:hAnsi="Times New Roman"/>
          <w:sz w:val="20"/>
          <w:lang w:val="pl-PL"/>
        </w:rPr>
        <w:t>ramach środka, który ma obowiązywać do końca 20</w:t>
      </w:r>
      <w:r w:rsidRPr="00534316">
        <w:rPr>
          <w:rFonts w:ascii="Times New Roman" w:hAnsi="Times New Roman"/>
          <w:sz w:val="20"/>
          <w:lang w:val="pl-PL"/>
        </w:rPr>
        <w:t>23 r.</w:t>
      </w:r>
      <w:r w:rsidRPr="00432E56">
        <w:rPr>
          <w:rFonts w:ascii="Times New Roman" w:hAnsi="Times New Roman"/>
          <w:sz w:val="20"/>
          <w:lang w:val="pl-PL"/>
        </w:rPr>
        <w:t>, stosuje się obecnie pułap na poziomie około 67 EUR/MWh. W</w:t>
      </w:r>
      <w:r>
        <w:rPr>
          <w:rFonts w:ascii="Times New Roman" w:hAnsi="Times New Roman"/>
          <w:sz w:val="20"/>
          <w:lang w:val="pl-PL"/>
        </w:rPr>
        <w:t> </w:t>
      </w:r>
      <w:r w:rsidRPr="00432E56">
        <w:rPr>
          <w:rFonts w:ascii="Times New Roman" w:hAnsi="Times New Roman"/>
          <w:sz w:val="20"/>
          <w:lang w:val="pl-PL"/>
        </w:rPr>
        <w:t>czerwcu 20</w:t>
      </w:r>
      <w:r w:rsidRPr="00534316">
        <w:rPr>
          <w:rFonts w:ascii="Times New Roman" w:hAnsi="Times New Roman"/>
          <w:sz w:val="20"/>
          <w:lang w:val="pl-PL"/>
        </w:rPr>
        <w:t>22 r.</w:t>
      </w:r>
      <w:r w:rsidRPr="00432E56">
        <w:rPr>
          <w:rFonts w:ascii="Times New Roman" w:hAnsi="Times New Roman"/>
          <w:sz w:val="20"/>
          <w:lang w:val="pl-PL"/>
        </w:rPr>
        <w:t xml:space="preserve"> Hiszpania i</w:t>
      </w:r>
      <w:r>
        <w:rPr>
          <w:rFonts w:ascii="Times New Roman" w:hAnsi="Times New Roman"/>
          <w:sz w:val="20"/>
          <w:lang w:val="pl-PL"/>
        </w:rPr>
        <w:t> </w:t>
      </w:r>
      <w:r w:rsidRPr="00432E56">
        <w:rPr>
          <w:rFonts w:ascii="Times New Roman" w:hAnsi="Times New Roman"/>
          <w:sz w:val="20"/>
          <w:lang w:val="pl-PL"/>
        </w:rPr>
        <w:t>Portugalia wdrożyły mechanizm mający na celu obniżenie hurtowych cen energii elektrycznej na rynku iberyjskim, który zmniejsza wpływ pułapu dochodów rynkowych. Mechanizm został zatwierdzony przez Komisję 8 czerwca 20</w:t>
      </w:r>
      <w:r w:rsidRPr="00534316">
        <w:rPr>
          <w:rFonts w:ascii="Times New Roman" w:hAnsi="Times New Roman"/>
          <w:sz w:val="20"/>
          <w:lang w:val="pl-PL"/>
        </w:rPr>
        <w:t>22 r.</w:t>
      </w:r>
      <w:r w:rsidRPr="00432E56">
        <w:rPr>
          <w:rFonts w:ascii="Times New Roman" w:hAnsi="Times New Roman"/>
          <w:sz w:val="20"/>
          <w:lang w:val="pl-PL"/>
        </w:rPr>
        <w:t xml:space="preserve"> w</w:t>
      </w:r>
      <w:r>
        <w:rPr>
          <w:rFonts w:ascii="Times New Roman" w:hAnsi="Times New Roman"/>
          <w:sz w:val="20"/>
          <w:lang w:val="pl-PL"/>
        </w:rPr>
        <w:t> </w:t>
      </w:r>
      <w:r w:rsidRPr="00432E56">
        <w:rPr>
          <w:rFonts w:ascii="Times New Roman" w:hAnsi="Times New Roman"/>
          <w:sz w:val="20"/>
          <w:lang w:val="pl-PL"/>
        </w:rPr>
        <w:t>ramach spraw SA. 102454 i SA. 102569, a</w:t>
      </w:r>
      <w:r>
        <w:rPr>
          <w:rFonts w:ascii="Times New Roman" w:hAnsi="Times New Roman"/>
          <w:sz w:val="20"/>
          <w:lang w:val="pl-PL"/>
        </w:rPr>
        <w:t> </w:t>
      </w:r>
      <w:r w:rsidRPr="00432E56">
        <w:rPr>
          <w:rFonts w:ascii="Times New Roman" w:hAnsi="Times New Roman"/>
          <w:sz w:val="20"/>
          <w:lang w:val="pl-PL"/>
        </w:rPr>
        <w:t>okres jego obowiązywania został niedawno przedłużony do końca 20</w:t>
      </w:r>
      <w:r w:rsidRPr="00534316">
        <w:rPr>
          <w:rFonts w:ascii="Times New Roman" w:hAnsi="Times New Roman"/>
          <w:sz w:val="20"/>
          <w:lang w:val="pl-PL"/>
        </w:rPr>
        <w:t>23 r.</w:t>
      </w:r>
      <w:r w:rsidRPr="00432E56">
        <w:rPr>
          <w:rFonts w:ascii="Times New Roman" w:hAnsi="Times New Roman"/>
          <w:sz w:val="20"/>
          <w:lang w:val="pl-PL"/>
        </w:rPr>
        <w:t xml:space="preserve"> w</w:t>
      </w:r>
      <w:r>
        <w:rPr>
          <w:rFonts w:ascii="Times New Roman" w:hAnsi="Times New Roman"/>
          <w:sz w:val="20"/>
          <w:lang w:val="pl-PL"/>
        </w:rPr>
        <w:t> </w:t>
      </w:r>
      <w:r w:rsidRPr="00432E56">
        <w:rPr>
          <w:rFonts w:ascii="Times New Roman" w:hAnsi="Times New Roman"/>
          <w:sz w:val="20"/>
          <w:lang w:val="pl-PL"/>
        </w:rPr>
        <w:t>ramach spraw SA. 106095 i SA. 106096.</w:t>
      </w:r>
      <w:r w:rsidRPr="00432E56">
        <w:rPr>
          <w:rFonts w:ascii="Times New Roman" w:hAnsi="Times New Roman"/>
          <w:color w:val="2B579A"/>
          <w:sz w:val="20"/>
          <w:shd w:val="clear" w:color="auto" w:fill="E6E6E6"/>
          <w:lang w:val="pl-PL"/>
        </w:rPr>
        <w:t xml:space="preserve"> </w:t>
      </w:r>
    </w:p>
  </w:footnote>
  <w:footnote w:id="20">
    <w:p w14:paraId="1C346759" w14:textId="44D7FB46" w:rsidR="00E27365" w:rsidRPr="00432E56" w:rsidRDefault="00E27365" w:rsidP="00A06C6A">
      <w:pPr>
        <w:spacing w:after="0" w:line="240" w:lineRule="auto"/>
        <w:jc w:val="both"/>
        <w:rPr>
          <w:rFonts w:ascii="Times New Roman" w:hAnsi="Times New Roman" w:cs="Times New Roman"/>
          <w:sz w:val="20"/>
          <w:lang w:val="pl-PL"/>
        </w:rPr>
      </w:pPr>
      <w:r w:rsidRPr="00432E56">
        <w:rPr>
          <w:rStyle w:val="FootnoteReference"/>
          <w:rFonts w:ascii="Times New Roman" w:eastAsia="Times New Roman" w:hAnsi="Times New Roman" w:cs="Times New Roman"/>
          <w:sz w:val="20"/>
          <w:lang w:val="pl-PL"/>
        </w:rPr>
        <w:footnoteRef/>
      </w:r>
      <w:r w:rsidRPr="00432E56">
        <w:rPr>
          <w:rStyle w:val="FootnoteReference"/>
          <w:rFonts w:ascii="Times New Roman" w:hAnsi="Times New Roman"/>
          <w:sz w:val="20"/>
          <w:lang w:val="pl-PL"/>
        </w:rPr>
        <w:t xml:space="preserve"> </w:t>
      </w:r>
      <w:r w:rsidRPr="00432E56">
        <w:rPr>
          <w:rFonts w:ascii="Times New Roman" w:hAnsi="Times New Roman"/>
          <w:sz w:val="20"/>
          <w:lang w:val="pl-PL"/>
        </w:rPr>
        <w:t>Następujące państwa członkowskie zaczęły stosować górny pułap dochodów inframarginalnych przed 1 grudnia 20</w:t>
      </w:r>
      <w:r w:rsidRPr="00534316">
        <w:rPr>
          <w:rFonts w:ascii="Times New Roman" w:hAnsi="Times New Roman"/>
          <w:sz w:val="20"/>
          <w:lang w:val="pl-PL"/>
        </w:rPr>
        <w:t>22 r.</w:t>
      </w:r>
      <w:r w:rsidRPr="00432E56">
        <w:rPr>
          <w:rFonts w:ascii="Times New Roman" w:hAnsi="Times New Roman"/>
          <w:sz w:val="20"/>
          <w:lang w:val="pl-PL"/>
        </w:rPr>
        <w:t>: Belgia (1.08.2022); Cypr (24.06.2022); Francja (1.07.2022); Grecja (8.07.2022); Włochy (luty 20</w:t>
      </w:r>
      <w:r w:rsidRPr="00534316">
        <w:rPr>
          <w:rFonts w:ascii="Times New Roman" w:hAnsi="Times New Roman"/>
          <w:sz w:val="20"/>
          <w:lang w:val="pl-PL"/>
        </w:rPr>
        <w:t>22 r.</w:t>
      </w:r>
      <w:r w:rsidRPr="00432E56">
        <w:rPr>
          <w:rFonts w:ascii="Times New Roman" w:hAnsi="Times New Roman"/>
          <w:sz w:val="20"/>
          <w:lang w:val="pl-PL"/>
        </w:rPr>
        <w:t xml:space="preserve"> w</w:t>
      </w:r>
      <w:r>
        <w:rPr>
          <w:rFonts w:ascii="Times New Roman" w:hAnsi="Times New Roman"/>
          <w:sz w:val="20"/>
          <w:lang w:val="pl-PL"/>
        </w:rPr>
        <w:t> </w:t>
      </w:r>
      <w:r w:rsidRPr="00432E56">
        <w:rPr>
          <w:rFonts w:ascii="Times New Roman" w:hAnsi="Times New Roman"/>
          <w:sz w:val="20"/>
          <w:lang w:val="pl-PL"/>
        </w:rPr>
        <w:t>odniesieniu do niektórych wytwórców energii odnawialnej) oraz Portugalia i</w:t>
      </w:r>
      <w:r>
        <w:rPr>
          <w:rFonts w:ascii="Times New Roman" w:hAnsi="Times New Roman"/>
          <w:sz w:val="20"/>
          <w:lang w:val="pl-PL"/>
        </w:rPr>
        <w:t> </w:t>
      </w:r>
      <w:r w:rsidRPr="00432E56">
        <w:rPr>
          <w:rFonts w:ascii="Times New Roman" w:hAnsi="Times New Roman"/>
          <w:sz w:val="20"/>
          <w:lang w:val="pl-PL"/>
        </w:rPr>
        <w:t>Hiszpania (czerwiec 20</w:t>
      </w:r>
      <w:r w:rsidRPr="00534316">
        <w:rPr>
          <w:rFonts w:ascii="Times New Roman" w:hAnsi="Times New Roman"/>
          <w:sz w:val="20"/>
          <w:lang w:val="pl-PL"/>
        </w:rPr>
        <w:t>22 r.</w:t>
      </w:r>
      <w:r w:rsidRPr="00432E56">
        <w:rPr>
          <w:rFonts w:ascii="Times New Roman" w:hAnsi="Times New Roman"/>
          <w:sz w:val="20"/>
          <w:lang w:val="pl-PL"/>
        </w:rPr>
        <w:t>).</w:t>
      </w:r>
    </w:p>
  </w:footnote>
  <w:footnote w:id="21">
    <w:p w14:paraId="216D8F2F" w14:textId="6594528C" w:rsidR="00E27365" w:rsidRPr="00432E56" w:rsidRDefault="00E27365" w:rsidP="001613B0">
      <w:pPr>
        <w:pStyle w:val="FootnoteText"/>
        <w:jc w:val="both"/>
        <w:rPr>
          <w:rFonts w:ascii="Times New Roman" w:hAnsi="Times New Roman" w:cs="Times New Roman"/>
          <w:lang w:val="pl-PL"/>
        </w:rPr>
      </w:pPr>
      <w:r w:rsidRPr="00432E56">
        <w:rPr>
          <w:rStyle w:val="FootnoteReference"/>
          <w:rFonts w:ascii="Times New Roman" w:eastAsia="Times New Roman" w:hAnsi="Times New Roman" w:cs="Times New Roman"/>
          <w:lang w:val="pl-PL"/>
        </w:rPr>
        <w:footnoteRef/>
      </w:r>
      <w:r w:rsidRPr="00432E56">
        <w:rPr>
          <w:rFonts w:ascii="Times New Roman" w:hAnsi="Times New Roman"/>
          <w:lang w:val="pl-PL"/>
        </w:rPr>
        <w:t xml:space="preserve"> W Austrii, Republice Czeskiej, Finlandii, Francji, Luksemburgu, Polsce, Portugalii, Słowenii i</w:t>
      </w:r>
      <w:r>
        <w:rPr>
          <w:rFonts w:ascii="Times New Roman" w:hAnsi="Times New Roman"/>
          <w:lang w:val="pl-PL"/>
        </w:rPr>
        <w:t> </w:t>
      </w:r>
      <w:r w:rsidRPr="00432E56">
        <w:rPr>
          <w:rFonts w:ascii="Times New Roman" w:hAnsi="Times New Roman"/>
          <w:lang w:val="pl-PL"/>
        </w:rPr>
        <w:t>Hiszpanii pułap dochodów inframarginalnych lub podobne środki będą stosowane do dnia 31 grudnia 20</w:t>
      </w:r>
      <w:r w:rsidRPr="00534316">
        <w:rPr>
          <w:rFonts w:ascii="Times New Roman" w:hAnsi="Times New Roman"/>
          <w:lang w:val="pl-PL"/>
        </w:rPr>
        <w:t>23 r.</w:t>
      </w:r>
      <w:r w:rsidRPr="00432E56">
        <w:rPr>
          <w:rFonts w:ascii="Times New Roman" w:hAnsi="Times New Roman"/>
          <w:lang w:val="pl-PL"/>
        </w:rPr>
        <w:t xml:space="preserve"> Na Cyprze środek ten przestanie obowiązywać po wydaniu decyzji przez organ regulacyjny. Na Słowacji środek będzie obowiązywał </w:t>
      </w:r>
      <w:r w:rsidRPr="00534316">
        <w:rPr>
          <w:rFonts w:ascii="Times New Roman" w:hAnsi="Times New Roman"/>
          <w:lang w:val="pl-PL"/>
        </w:rPr>
        <w:t>do 3</w:t>
      </w:r>
      <w:r w:rsidRPr="00432E56">
        <w:rPr>
          <w:rFonts w:ascii="Times New Roman" w:hAnsi="Times New Roman"/>
          <w:lang w:val="pl-PL"/>
        </w:rPr>
        <w:t>1 grudnia 20</w:t>
      </w:r>
      <w:r w:rsidRPr="00534316">
        <w:rPr>
          <w:rFonts w:ascii="Times New Roman" w:hAnsi="Times New Roman"/>
          <w:lang w:val="pl-PL"/>
        </w:rPr>
        <w:t>24 r.</w:t>
      </w:r>
      <w:r w:rsidRPr="00432E56">
        <w:rPr>
          <w:rFonts w:ascii="Times New Roman" w:hAnsi="Times New Roman"/>
          <w:lang w:val="pl-PL"/>
        </w:rPr>
        <w:t xml:space="preserve"> Ponadto w</w:t>
      </w:r>
      <w:r>
        <w:rPr>
          <w:rFonts w:ascii="Times New Roman" w:hAnsi="Times New Roman"/>
          <w:lang w:val="pl-PL"/>
        </w:rPr>
        <w:t> </w:t>
      </w:r>
      <w:r w:rsidRPr="00432E56">
        <w:rPr>
          <w:rFonts w:ascii="Times New Roman" w:hAnsi="Times New Roman"/>
          <w:lang w:val="pl-PL"/>
        </w:rPr>
        <w:t xml:space="preserve">Niemczech okres stosowania środka może zostać przedłużony </w:t>
      </w:r>
      <w:r w:rsidRPr="00534316">
        <w:rPr>
          <w:rFonts w:ascii="Times New Roman" w:hAnsi="Times New Roman"/>
          <w:lang w:val="pl-PL"/>
        </w:rPr>
        <w:t>do 3</w:t>
      </w:r>
      <w:r w:rsidRPr="00432E56">
        <w:rPr>
          <w:rFonts w:ascii="Times New Roman" w:hAnsi="Times New Roman"/>
          <w:lang w:val="pl-PL"/>
        </w:rPr>
        <w:t>0 kwietnia 20</w:t>
      </w:r>
      <w:r w:rsidRPr="00534316">
        <w:rPr>
          <w:rFonts w:ascii="Times New Roman" w:hAnsi="Times New Roman"/>
          <w:lang w:val="pl-PL"/>
        </w:rPr>
        <w:t>24 r.</w:t>
      </w:r>
    </w:p>
  </w:footnote>
  <w:footnote w:id="22">
    <w:p w14:paraId="031ACD5A" w14:textId="2442819D" w:rsidR="00E27365" w:rsidRPr="00F85E2D" w:rsidRDefault="00E27365" w:rsidP="001613B0">
      <w:pPr>
        <w:pStyle w:val="FootnoteText"/>
        <w:jc w:val="both"/>
        <w:rPr>
          <w:rFonts w:ascii="Times New Roman" w:eastAsia="Times New Roman" w:hAnsi="Times New Roman" w:cs="Times New Roman"/>
          <w:color w:val="333333"/>
          <w:lang w:val="pl-PL"/>
        </w:rPr>
      </w:pPr>
      <w:r>
        <w:rPr>
          <w:rStyle w:val="FootnoteReference"/>
          <w:rFonts w:ascii="Times New Roman" w:eastAsia="Times New Roman" w:hAnsi="Times New Roman" w:cs="Times New Roman"/>
        </w:rPr>
        <w:footnoteRef/>
      </w:r>
      <w:r w:rsidRPr="00F85E2D">
        <w:rPr>
          <w:rFonts w:ascii="Times New Roman" w:hAnsi="Times New Roman"/>
          <w:color w:val="2B579A"/>
          <w:lang w:val="pl-PL"/>
        </w:rPr>
        <w:t xml:space="preserve"> </w:t>
      </w:r>
      <w:r w:rsidRPr="00432E56">
        <w:rPr>
          <w:rFonts w:ascii="Times New Roman" w:hAnsi="Times New Roman"/>
          <w:color w:val="333333"/>
          <w:lang w:val="pl-PL"/>
        </w:rPr>
        <w:t>Aby zapewnić bezpieczeństwo dostaw, zgodnie z</w:t>
      </w:r>
      <w:r>
        <w:rPr>
          <w:rFonts w:ascii="Times New Roman" w:hAnsi="Times New Roman"/>
          <w:color w:val="333333"/>
          <w:lang w:val="pl-PL"/>
        </w:rPr>
        <w:t> </w:t>
      </w:r>
      <w:r w:rsidRPr="00534316">
        <w:rPr>
          <w:rFonts w:ascii="Times New Roman" w:hAnsi="Times New Roman"/>
          <w:color w:val="333333"/>
          <w:lang w:val="pl-PL"/>
        </w:rPr>
        <w:t>art. 8</w:t>
      </w:r>
      <w:r w:rsidRPr="00432E56">
        <w:rPr>
          <w:rFonts w:ascii="Times New Roman" w:hAnsi="Times New Roman"/>
          <w:color w:val="333333"/>
          <w:lang w:val="pl-PL"/>
        </w:rPr>
        <w:t xml:space="preserve"> </w:t>
      </w:r>
      <w:r w:rsidRPr="00534316">
        <w:rPr>
          <w:rFonts w:ascii="Times New Roman" w:hAnsi="Times New Roman"/>
          <w:color w:val="333333"/>
          <w:lang w:val="pl-PL"/>
        </w:rPr>
        <w:t>ust. 1</w:t>
      </w:r>
      <w:r w:rsidRPr="00432E56">
        <w:rPr>
          <w:rFonts w:ascii="Times New Roman" w:hAnsi="Times New Roman"/>
          <w:color w:val="333333"/>
          <w:lang w:val="pl-PL"/>
        </w:rPr>
        <w:t xml:space="preserve"> </w:t>
      </w:r>
      <w:r w:rsidRPr="00534316">
        <w:rPr>
          <w:rFonts w:ascii="Times New Roman" w:hAnsi="Times New Roman"/>
          <w:color w:val="333333"/>
          <w:lang w:val="pl-PL"/>
        </w:rPr>
        <w:t>lit. b)</w:t>
      </w:r>
      <w:r w:rsidRPr="00432E56">
        <w:rPr>
          <w:rFonts w:ascii="Times New Roman" w:hAnsi="Times New Roman"/>
          <w:color w:val="333333"/>
          <w:lang w:val="pl-PL"/>
        </w:rPr>
        <w:t xml:space="preserve"> rozporządzenia Rady państwa członkowskie mogą ustalić wyższy pułap dochodów rynkowych dla producentów, którzy w</w:t>
      </w:r>
      <w:r>
        <w:rPr>
          <w:rFonts w:ascii="Times New Roman" w:hAnsi="Times New Roman"/>
          <w:color w:val="333333"/>
          <w:lang w:val="pl-PL"/>
        </w:rPr>
        <w:t> </w:t>
      </w:r>
      <w:r w:rsidRPr="00432E56">
        <w:rPr>
          <w:rFonts w:ascii="Times New Roman" w:hAnsi="Times New Roman"/>
          <w:color w:val="333333"/>
          <w:lang w:val="pl-PL"/>
        </w:rPr>
        <w:t>przeciwnym razie podlegaliby ogólnounijnemu pułapowi dochodów rynkowych, gdy ich koszty inwestycyjne i</w:t>
      </w:r>
      <w:r>
        <w:rPr>
          <w:rFonts w:ascii="Times New Roman" w:hAnsi="Times New Roman"/>
          <w:color w:val="333333"/>
          <w:lang w:val="pl-PL"/>
        </w:rPr>
        <w:t> </w:t>
      </w:r>
      <w:r w:rsidRPr="00432E56">
        <w:rPr>
          <w:rFonts w:ascii="Times New Roman" w:hAnsi="Times New Roman"/>
          <w:color w:val="333333"/>
          <w:lang w:val="pl-PL"/>
        </w:rPr>
        <w:t>operacyjne byłyby wyższe niż ogólnounijny pułap dochodów rynkowych. 13 państw członkowskich uwzględniło tę możliwość w</w:t>
      </w:r>
      <w:r>
        <w:rPr>
          <w:rFonts w:ascii="Times New Roman" w:hAnsi="Times New Roman"/>
          <w:color w:val="333333"/>
          <w:lang w:val="pl-PL"/>
        </w:rPr>
        <w:t> </w:t>
      </w:r>
      <w:r w:rsidRPr="00432E56">
        <w:rPr>
          <w:rFonts w:ascii="Times New Roman" w:hAnsi="Times New Roman"/>
          <w:color w:val="333333"/>
          <w:lang w:val="pl-PL"/>
        </w:rPr>
        <w:t>ramach krajowego wdrożenia pułapu dochodów inframarginalnych, w</w:t>
      </w:r>
      <w:r>
        <w:rPr>
          <w:rFonts w:ascii="Times New Roman" w:hAnsi="Times New Roman"/>
          <w:color w:val="333333"/>
          <w:lang w:val="pl-PL"/>
        </w:rPr>
        <w:t> </w:t>
      </w:r>
      <w:r w:rsidRPr="00432E56">
        <w:rPr>
          <w:rFonts w:ascii="Times New Roman" w:hAnsi="Times New Roman"/>
          <w:color w:val="333333"/>
          <w:lang w:val="pl-PL"/>
        </w:rPr>
        <w:t>szczególności w</w:t>
      </w:r>
      <w:r>
        <w:rPr>
          <w:rFonts w:ascii="Times New Roman" w:hAnsi="Times New Roman"/>
          <w:color w:val="333333"/>
          <w:lang w:val="pl-PL"/>
        </w:rPr>
        <w:t> </w:t>
      </w:r>
      <w:r w:rsidRPr="00432E56">
        <w:rPr>
          <w:rFonts w:ascii="Times New Roman" w:hAnsi="Times New Roman"/>
          <w:color w:val="333333"/>
          <w:lang w:val="pl-PL"/>
        </w:rPr>
        <w:t>odniesieniu do zakładów wytwarzających energię elektryczną z</w:t>
      </w:r>
      <w:r>
        <w:rPr>
          <w:rFonts w:ascii="Times New Roman" w:hAnsi="Times New Roman"/>
          <w:color w:val="333333"/>
          <w:lang w:val="pl-PL"/>
        </w:rPr>
        <w:t> </w:t>
      </w:r>
      <w:r w:rsidRPr="00432E56">
        <w:rPr>
          <w:rFonts w:ascii="Times New Roman" w:hAnsi="Times New Roman"/>
          <w:color w:val="333333"/>
          <w:lang w:val="pl-PL"/>
        </w:rPr>
        <w:t>lignitu, biomasy i</w:t>
      </w:r>
      <w:r>
        <w:rPr>
          <w:rFonts w:ascii="Times New Roman" w:hAnsi="Times New Roman"/>
          <w:color w:val="333333"/>
          <w:lang w:val="pl-PL"/>
        </w:rPr>
        <w:t> </w:t>
      </w:r>
      <w:r w:rsidRPr="00432E56">
        <w:rPr>
          <w:rFonts w:ascii="Times New Roman" w:hAnsi="Times New Roman"/>
          <w:color w:val="333333"/>
          <w:lang w:val="pl-PL"/>
        </w:rPr>
        <w:t>ropy naftowej.</w:t>
      </w:r>
    </w:p>
  </w:footnote>
  <w:footnote w:id="23">
    <w:p w14:paraId="3644AFEA" w14:textId="6B9C7EB8" w:rsidR="00E27365" w:rsidRPr="006B7FA8" w:rsidRDefault="00E27365" w:rsidP="001613B0">
      <w:pPr>
        <w:pStyle w:val="FootnoteText"/>
        <w:jc w:val="both"/>
        <w:rPr>
          <w:rFonts w:ascii="Times New Roman" w:eastAsia="Calibri" w:hAnsi="Times New Roman" w:cs="Times New Roman"/>
          <w:color w:val="1F497D" w:themeColor="text2"/>
          <w:lang w:val="pl-PL"/>
        </w:rPr>
      </w:pPr>
      <w:r>
        <w:rPr>
          <w:rStyle w:val="FootnoteReference"/>
          <w:rFonts w:ascii="Times New Roman" w:hAnsi="Times New Roman" w:cs="Times New Roman"/>
        </w:rPr>
        <w:footnoteRef/>
      </w:r>
      <w:r w:rsidRPr="00F85E2D">
        <w:rPr>
          <w:rFonts w:ascii="Times New Roman" w:hAnsi="Times New Roman"/>
          <w:lang w:val="pl-PL"/>
        </w:rPr>
        <w:t xml:space="preserve"> </w:t>
      </w:r>
      <w:r w:rsidRPr="006B7FA8">
        <w:rPr>
          <w:rFonts w:ascii="Times New Roman" w:hAnsi="Times New Roman"/>
          <w:lang w:val="pl-PL"/>
        </w:rPr>
        <w:t>Na podstawie informacji otrzymanych od państw członkowskich, sprawozdań krajowych organów regulacyjnych i</w:t>
      </w:r>
      <w:r>
        <w:rPr>
          <w:rFonts w:ascii="Times New Roman" w:hAnsi="Times New Roman"/>
          <w:lang w:val="pl-PL"/>
        </w:rPr>
        <w:t> </w:t>
      </w:r>
      <w:r w:rsidRPr="006B7FA8">
        <w:rPr>
          <w:rFonts w:ascii="Times New Roman" w:hAnsi="Times New Roman"/>
          <w:lang w:val="pl-PL"/>
        </w:rPr>
        <w:t>środków, które państwa członkowskie oceniły samodzielnie.</w:t>
      </w:r>
    </w:p>
  </w:footnote>
  <w:footnote w:id="24">
    <w:p w14:paraId="041D8306" w14:textId="299851C3" w:rsidR="00E27365" w:rsidRPr="007929AB" w:rsidRDefault="00E27365" w:rsidP="001613B0">
      <w:pPr>
        <w:spacing w:after="0" w:line="240" w:lineRule="auto"/>
        <w:jc w:val="both"/>
        <w:rPr>
          <w:rStyle w:val="Hyperlink"/>
          <w:rFonts w:ascii="Times New Roman" w:eastAsia="Roboto" w:hAnsi="Times New Roman" w:cs="Times New Roman"/>
          <w:b/>
          <w:sz w:val="20"/>
          <w:u w:val="none"/>
          <w:lang w:val="pl-PL"/>
        </w:rPr>
      </w:pPr>
      <w:r>
        <w:rPr>
          <w:rStyle w:val="FootnoteReference"/>
          <w:rFonts w:ascii="Times New Roman" w:hAnsi="Times New Roman" w:cs="Times New Roman"/>
          <w:sz w:val="20"/>
        </w:rPr>
        <w:footnoteRef/>
      </w:r>
      <w:r w:rsidRPr="00F85E2D">
        <w:rPr>
          <w:rFonts w:ascii="Times New Roman" w:hAnsi="Times New Roman"/>
          <w:sz w:val="20"/>
          <w:lang w:val="pl-PL"/>
        </w:rPr>
        <w:t xml:space="preserve"> </w:t>
      </w:r>
      <w:r w:rsidRPr="007929AB">
        <w:rPr>
          <w:rFonts w:ascii="Times New Roman" w:hAnsi="Times New Roman"/>
          <w:sz w:val="20"/>
          <w:lang w:val="pl-PL"/>
        </w:rPr>
        <w:t>Komunikat Komisji „Tymczasowe kryzysowe ramy środków pomocy państwa w</w:t>
      </w:r>
      <w:r>
        <w:rPr>
          <w:rFonts w:ascii="Times New Roman" w:hAnsi="Times New Roman"/>
          <w:sz w:val="20"/>
          <w:lang w:val="pl-PL"/>
        </w:rPr>
        <w:t> </w:t>
      </w:r>
      <w:r w:rsidRPr="007929AB">
        <w:rPr>
          <w:rFonts w:ascii="Times New Roman" w:hAnsi="Times New Roman"/>
          <w:sz w:val="20"/>
          <w:lang w:val="pl-PL"/>
        </w:rPr>
        <w:t>celu wsparcia gospodarki po agresji Rosji wobec Ukrainy”, 2023/C 101/03.</w:t>
      </w:r>
    </w:p>
  </w:footnote>
  <w:footnote w:id="25">
    <w:p w14:paraId="7B382D95" w14:textId="2070B813" w:rsidR="00E27365" w:rsidRPr="007929AB" w:rsidRDefault="00E27365" w:rsidP="001613B0">
      <w:pPr>
        <w:pStyle w:val="FootnoteText"/>
        <w:jc w:val="both"/>
        <w:rPr>
          <w:rFonts w:ascii="Times New Roman" w:hAnsi="Times New Roman" w:cs="Times New Roman"/>
          <w:lang w:val="pl-PL"/>
        </w:rPr>
      </w:pPr>
      <w:r w:rsidRPr="007929AB">
        <w:rPr>
          <w:rStyle w:val="FootnoteReference"/>
          <w:rFonts w:ascii="Times New Roman" w:hAnsi="Times New Roman" w:cs="Times New Roman"/>
          <w:lang w:val="pl-PL"/>
        </w:rPr>
        <w:footnoteRef/>
      </w:r>
      <w:r w:rsidRPr="007929AB">
        <w:rPr>
          <w:rFonts w:ascii="Times New Roman" w:hAnsi="Times New Roman"/>
          <w:lang w:val="pl-PL"/>
        </w:rPr>
        <w:t xml:space="preserve"> SA.106377 Tymczasowe ramy pomocy państwa w</w:t>
      </w:r>
      <w:r>
        <w:rPr>
          <w:rFonts w:ascii="Times New Roman" w:hAnsi="Times New Roman"/>
          <w:lang w:val="pl-PL"/>
        </w:rPr>
        <w:t> </w:t>
      </w:r>
      <w:r w:rsidRPr="007929AB">
        <w:rPr>
          <w:rFonts w:ascii="Times New Roman" w:hAnsi="Times New Roman"/>
          <w:lang w:val="pl-PL"/>
        </w:rPr>
        <w:t>sytuacjach kryzysowych i</w:t>
      </w:r>
      <w:r>
        <w:rPr>
          <w:rFonts w:ascii="Times New Roman" w:hAnsi="Times New Roman"/>
          <w:lang w:val="pl-PL"/>
        </w:rPr>
        <w:t> </w:t>
      </w:r>
      <w:r w:rsidRPr="007929AB">
        <w:rPr>
          <w:rFonts w:ascii="Times New Roman" w:hAnsi="Times New Roman"/>
          <w:lang w:val="pl-PL"/>
        </w:rPr>
        <w:t>w</w:t>
      </w:r>
      <w:r>
        <w:rPr>
          <w:rFonts w:ascii="Times New Roman" w:hAnsi="Times New Roman"/>
          <w:lang w:val="pl-PL"/>
        </w:rPr>
        <w:t> </w:t>
      </w:r>
      <w:r w:rsidRPr="007929AB">
        <w:rPr>
          <w:rFonts w:ascii="Times New Roman" w:hAnsi="Times New Roman"/>
          <w:lang w:val="pl-PL"/>
        </w:rPr>
        <w:t>okresie transformacji – Niderlandy – Program obniżenia kosztów energii.</w:t>
      </w:r>
    </w:p>
  </w:footnote>
  <w:footnote w:id="26">
    <w:p w14:paraId="35399402" w14:textId="4AD3D29C" w:rsidR="00E27365" w:rsidRPr="00F85E2D" w:rsidRDefault="00E27365" w:rsidP="001613B0">
      <w:pPr>
        <w:pStyle w:val="FootnoteText"/>
        <w:jc w:val="both"/>
        <w:rPr>
          <w:rFonts w:ascii="Times New Roman" w:hAnsi="Times New Roman" w:cs="Times New Roman"/>
          <w:lang w:val="pl-PL"/>
        </w:rPr>
      </w:pPr>
      <w:r w:rsidRPr="007929AB">
        <w:rPr>
          <w:rStyle w:val="FootnoteReference"/>
          <w:rFonts w:ascii="Times New Roman" w:hAnsi="Times New Roman" w:cs="Times New Roman"/>
          <w:lang w:val="pl-PL"/>
        </w:rPr>
        <w:footnoteRef/>
      </w:r>
      <w:r w:rsidRPr="007929AB">
        <w:rPr>
          <w:rFonts w:ascii="Times New Roman" w:hAnsi="Times New Roman"/>
          <w:lang w:val="pl-PL"/>
        </w:rPr>
        <w:t xml:space="preserve"> Komisja zatwierdziła ten system zgodnie z</w:t>
      </w:r>
      <w:r>
        <w:rPr>
          <w:rFonts w:ascii="Times New Roman" w:hAnsi="Times New Roman"/>
          <w:lang w:val="pl-PL"/>
        </w:rPr>
        <w:t> </w:t>
      </w:r>
      <w:r w:rsidRPr="007929AB">
        <w:rPr>
          <w:rFonts w:ascii="Times New Roman" w:hAnsi="Times New Roman"/>
          <w:lang w:val="pl-PL"/>
        </w:rPr>
        <w:t>zasadami pomocy państwa i</w:t>
      </w:r>
      <w:r>
        <w:rPr>
          <w:rFonts w:ascii="Times New Roman" w:hAnsi="Times New Roman"/>
          <w:lang w:val="pl-PL"/>
        </w:rPr>
        <w:t> </w:t>
      </w:r>
      <w:r w:rsidRPr="007929AB">
        <w:rPr>
          <w:rFonts w:ascii="Times New Roman" w:hAnsi="Times New Roman"/>
          <w:lang w:val="pl-PL"/>
        </w:rPr>
        <w:t>z</w:t>
      </w:r>
      <w:r>
        <w:rPr>
          <w:rFonts w:ascii="Times New Roman" w:hAnsi="Times New Roman"/>
          <w:lang w:val="pl-PL"/>
        </w:rPr>
        <w:t> </w:t>
      </w:r>
      <w:r w:rsidRPr="007929AB">
        <w:rPr>
          <w:rFonts w:ascii="Times New Roman" w:hAnsi="Times New Roman"/>
          <w:lang w:val="pl-PL"/>
        </w:rPr>
        <w:t>tymczasowymi ramami pomocy państwa w</w:t>
      </w:r>
      <w:r>
        <w:rPr>
          <w:rFonts w:ascii="Times New Roman" w:hAnsi="Times New Roman"/>
          <w:lang w:val="pl-PL"/>
        </w:rPr>
        <w:t> </w:t>
      </w:r>
      <w:r w:rsidRPr="007929AB">
        <w:rPr>
          <w:rFonts w:ascii="Times New Roman" w:hAnsi="Times New Roman"/>
          <w:lang w:val="pl-PL"/>
        </w:rPr>
        <w:t>sytuacjach kryzysowych i</w:t>
      </w:r>
      <w:r>
        <w:rPr>
          <w:rFonts w:ascii="Times New Roman" w:hAnsi="Times New Roman"/>
          <w:lang w:val="pl-PL"/>
        </w:rPr>
        <w:t> </w:t>
      </w:r>
      <w:r w:rsidRPr="007929AB">
        <w:rPr>
          <w:rFonts w:ascii="Times New Roman" w:hAnsi="Times New Roman"/>
          <w:lang w:val="pl-PL"/>
        </w:rPr>
        <w:t>w</w:t>
      </w:r>
      <w:r>
        <w:rPr>
          <w:rFonts w:ascii="Times New Roman" w:hAnsi="Times New Roman"/>
          <w:lang w:val="pl-PL"/>
        </w:rPr>
        <w:t> </w:t>
      </w:r>
      <w:r w:rsidRPr="007929AB">
        <w:rPr>
          <w:rFonts w:ascii="Times New Roman" w:hAnsi="Times New Roman"/>
          <w:lang w:val="pl-PL"/>
        </w:rPr>
        <w:t>okresie transformacji. SA.104606 Tymczasowe ramy pomocy państwa w</w:t>
      </w:r>
      <w:r>
        <w:rPr>
          <w:rFonts w:ascii="Times New Roman" w:hAnsi="Times New Roman"/>
          <w:lang w:val="pl-PL"/>
        </w:rPr>
        <w:t> </w:t>
      </w:r>
      <w:r w:rsidRPr="007929AB">
        <w:rPr>
          <w:rFonts w:ascii="Times New Roman" w:hAnsi="Times New Roman"/>
          <w:lang w:val="pl-PL"/>
        </w:rPr>
        <w:t>sytuacjach kryzysowych i</w:t>
      </w:r>
      <w:r>
        <w:rPr>
          <w:rFonts w:ascii="Times New Roman" w:hAnsi="Times New Roman"/>
          <w:lang w:val="pl-PL"/>
        </w:rPr>
        <w:t> </w:t>
      </w:r>
      <w:r w:rsidRPr="007929AB">
        <w:rPr>
          <w:rFonts w:ascii="Times New Roman" w:hAnsi="Times New Roman"/>
          <w:lang w:val="pl-PL"/>
        </w:rPr>
        <w:t>w</w:t>
      </w:r>
      <w:r>
        <w:rPr>
          <w:rFonts w:ascii="Times New Roman" w:hAnsi="Times New Roman"/>
          <w:lang w:val="pl-PL"/>
        </w:rPr>
        <w:t> </w:t>
      </w:r>
      <w:r w:rsidRPr="007929AB">
        <w:rPr>
          <w:rFonts w:ascii="Times New Roman" w:hAnsi="Times New Roman"/>
          <w:lang w:val="pl-PL"/>
        </w:rPr>
        <w:t>okresie transformacji – Niemcy – Tymczasowe ograniczenie kosztów wynikających ze wzrostu cen gazu ziemnego, ciepła i</w:t>
      </w:r>
      <w:r>
        <w:rPr>
          <w:rFonts w:ascii="Times New Roman" w:hAnsi="Times New Roman"/>
          <w:lang w:val="pl-PL"/>
        </w:rPr>
        <w:t> </w:t>
      </w:r>
      <w:r w:rsidRPr="007929AB">
        <w:rPr>
          <w:rFonts w:ascii="Times New Roman" w:hAnsi="Times New Roman"/>
          <w:lang w:val="pl-PL"/>
        </w:rPr>
        <w:t>energii elektrycznej (</w:t>
      </w:r>
      <w:hyperlink r:id="rId3" w:tgtFrame="_blank" w:history="1">
        <w:r w:rsidRPr="007929AB">
          <w:rPr>
            <w:rFonts w:ascii="Times New Roman" w:hAnsi="Times New Roman"/>
            <w:lang w:val="pl-PL"/>
          </w:rPr>
          <w:t>JOCE C/061/2023</w:t>
        </w:r>
      </w:hyperlink>
      <w:r w:rsidRPr="007929AB">
        <w:rPr>
          <w:rFonts w:ascii="Times New Roman" w:hAnsi="Times New Roman"/>
          <w:lang w:val="pl-PL"/>
        </w:rPr>
        <w:t>).</w:t>
      </w:r>
    </w:p>
  </w:footnote>
  <w:footnote w:id="27">
    <w:p w14:paraId="7CEFD356" w14:textId="6E7F266F" w:rsidR="00E27365" w:rsidRPr="00F85E2D" w:rsidRDefault="00E27365" w:rsidP="001613B0">
      <w:pPr>
        <w:pStyle w:val="FootnoteText"/>
        <w:jc w:val="both"/>
        <w:rPr>
          <w:rFonts w:ascii="Times New Roman" w:eastAsia="Calibri" w:hAnsi="Times New Roman" w:cs="Times New Roman"/>
          <w:lang w:val="pl-PL"/>
        </w:rPr>
      </w:pPr>
      <w:r>
        <w:rPr>
          <w:rStyle w:val="FootnoteReference"/>
          <w:rFonts w:ascii="Times New Roman" w:hAnsi="Times New Roman" w:cs="Times New Roman"/>
        </w:rPr>
        <w:footnoteRef/>
      </w:r>
      <w:r w:rsidRPr="00F85E2D">
        <w:rPr>
          <w:rFonts w:ascii="Times New Roman" w:hAnsi="Times New Roman"/>
          <w:lang w:val="pl-PL"/>
        </w:rPr>
        <w:t xml:space="preserve"> </w:t>
      </w:r>
      <w:r w:rsidRPr="007929AB">
        <w:rPr>
          <w:rFonts w:ascii="Times New Roman" w:hAnsi="Times New Roman"/>
          <w:lang w:val="pl-PL"/>
        </w:rPr>
        <w:t>„Państwa członkowskie powinny stopniowo wycofywać środki wsparcia w</w:t>
      </w:r>
      <w:r>
        <w:rPr>
          <w:rFonts w:ascii="Times New Roman" w:hAnsi="Times New Roman"/>
          <w:lang w:val="pl-PL"/>
        </w:rPr>
        <w:t> </w:t>
      </w:r>
      <w:r w:rsidRPr="007929AB">
        <w:rPr>
          <w:rFonts w:ascii="Times New Roman" w:hAnsi="Times New Roman"/>
          <w:lang w:val="pl-PL"/>
        </w:rPr>
        <w:t>dziedzinie polityki energetycznej, począwszy od tych najmniej ukierunkowanych. Jeżeli przedłużenie środków wsparcia okazałoby się konieczne ze względu na ponowną presję na rynku energii, państwa członkowskie powinny ukierunkować swoje środki lepiej niż w</w:t>
      </w:r>
      <w:r>
        <w:rPr>
          <w:rFonts w:ascii="Times New Roman" w:hAnsi="Times New Roman"/>
          <w:lang w:val="pl-PL"/>
        </w:rPr>
        <w:t> </w:t>
      </w:r>
      <w:r w:rsidRPr="007929AB">
        <w:rPr>
          <w:rFonts w:ascii="Times New Roman" w:hAnsi="Times New Roman"/>
          <w:lang w:val="pl-PL"/>
        </w:rPr>
        <w:t>przeszłości, powstrzymując się od udzielania uogólnionego wsparcia. Powinny chronić jedynie tych, którzy tego potrzebują, a</w:t>
      </w:r>
      <w:r>
        <w:rPr>
          <w:rFonts w:ascii="Times New Roman" w:hAnsi="Times New Roman"/>
          <w:lang w:val="pl-PL"/>
        </w:rPr>
        <w:t> </w:t>
      </w:r>
      <w:r w:rsidRPr="007929AB">
        <w:rPr>
          <w:rFonts w:ascii="Times New Roman" w:hAnsi="Times New Roman"/>
          <w:lang w:val="pl-PL"/>
        </w:rPr>
        <w:t>więc przedsiębiorstwa i</w:t>
      </w:r>
      <w:r>
        <w:rPr>
          <w:rFonts w:ascii="Times New Roman" w:hAnsi="Times New Roman"/>
          <w:lang w:val="pl-PL"/>
        </w:rPr>
        <w:t> </w:t>
      </w:r>
      <w:r w:rsidRPr="007929AB">
        <w:rPr>
          <w:rFonts w:ascii="Times New Roman" w:hAnsi="Times New Roman"/>
          <w:lang w:val="pl-PL"/>
        </w:rPr>
        <w:t>gospodarstwa domowe w</w:t>
      </w:r>
      <w:r>
        <w:rPr>
          <w:rFonts w:ascii="Times New Roman" w:hAnsi="Times New Roman"/>
          <w:lang w:val="pl-PL"/>
        </w:rPr>
        <w:t> </w:t>
      </w:r>
      <w:r w:rsidRPr="007929AB">
        <w:rPr>
          <w:rFonts w:ascii="Times New Roman" w:hAnsi="Times New Roman"/>
          <w:lang w:val="pl-PL"/>
        </w:rPr>
        <w:t xml:space="preserve">trudnej sytuacji”, COM(2023) 141, „Wytyczne dotyczące polityki fiskalnej </w:t>
      </w:r>
      <w:r w:rsidRPr="00534316">
        <w:rPr>
          <w:rFonts w:ascii="Times New Roman" w:hAnsi="Times New Roman"/>
          <w:lang w:val="pl-PL"/>
        </w:rPr>
        <w:t>na 2</w:t>
      </w:r>
      <w:r w:rsidRPr="007929AB">
        <w:rPr>
          <w:rFonts w:ascii="Times New Roman" w:hAnsi="Times New Roman"/>
          <w:lang w:val="pl-PL"/>
        </w:rPr>
        <w:t>0</w:t>
      </w:r>
      <w:r w:rsidRPr="00534316">
        <w:rPr>
          <w:rFonts w:ascii="Times New Roman" w:hAnsi="Times New Roman"/>
          <w:lang w:val="pl-PL"/>
        </w:rPr>
        <w:t>24 r.</w:t>
      </w:r>
      <w:r w:rsidRPr="007929AB">
        <w:rPr>
          <w:rFonts w:ascii="Times New Roman" w:hAnsi="Times New Roman"/>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41DA" w14:textId="77777777" w:rsidR="00191A0B" w:rsidRPr="00191A0B" w:rsidRDefault="00191A0B" w:rsidP="00191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6302" w14:textId="77777777" w:rsidR="00191A0B" w:rsidRPr="00191A0B" w:rsidRDefault="00191A0B" w:rsidP="00191A0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B90B" w14:textId="77777777" w:rsidR="00191A0B" w:rsidRPr="00191A0B" w:rsidRDefault="00191A0B" w:rsidP="00191A0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804F" w14:textId="77777777" w:rsidR="00E27365" w:rsidRDefault="00E273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E057" w14:textId="77777777" w:rsidR="00E27365" w:rsidRDefault="00E273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74C7" w14:textId="77777777" w:rsidR="00E27365" w:rsidRDefault="00E2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57"/>
    <w:multiLevelType w:val="hybridMultilevel"/>
    <w:tmpl w:val="3D6CE8E0"/>
    <w:lvl w:ilvl="0" w:tplc="FFFFFFFF">
      <w:start w:val="1"/>
      <w:numFmt w:val="upperRoman"/>
      <w:pStyle w:val="Heading1"/>
      <w:lvlText w:val="%1."/>
      <w:lvlJc w:val="right"/>
      <w:pPr>
        <w:ind w:left="360" w:hanging="360"/>
      </w:pPr>
    </w:lvl>
    <w:lvl w:ilvl="1" w:tplc="2DF8F666">
      <w:start w:val="1"/>
      <w:numFmt w:val="decimal"/>
      <w:lvlText w:val="%2)"/>
      <w:lvlJc w:val="left"/>
      <w:pPr>
        <w:ind w:left="-3522" w:hanging="360"/>
      </w:pPr>
      <w:rPr>
        <w:rFonts w:hint="default"/>
      </w:rPr>
    </w:lvl>
    <w:lvl w:ilvl="2" w:tplc="0809001B" w:tentative="1">
      <w:start w:val="1"/>
      <w:numFmt w:val="lowerRoman"/>
      <w:lvlText w:val="%3."/>
      <w:lvlJc w:val="right"/>
      <w:pPr>
        <w:ind w:left="-2802" w:hanging="180"/>
      </w:pPr>
    </w:lvl>
    <w:lvl w:ilvl="3" w:tplc="0809000F" w:tentative="1">
      <w:start w:val="1"/>
      <w:numFmt w:val="decimal"/>
      <w:lvlText w:val="%4."/>
      <w:lvlJc w:val="left"/>
      <w:pPr>
        <w:ind w:left="-2082" w:hanging="360"/>
      </w:pPr>
    </w:lvl>
    <w:lvl w:ilvl="4" w:tplc="08090019" w:tentative="1">
      <w:start w:val="1"/>
      <w:numFmt w:val="lowerLetter"/>
      <w:lvlText w:val="%5."/>
      <w:lvlJc w:val="left"/>
      <w:pPr>
        <w:ind w:left="-1362" w:hanging="360"/>
      </w:pPr>
    </w:lvl>
    <w:lvl w:ilvl="5" w:tplc="0809001B" w:tentative="1">
      <w:start w:val="1"/>
      <w:numFmt w:val="lowerRoman"/>
      <w:lvlText w:val="%6."/>
      <w:lvlJc w:val="right"/>
      <w:pPr>
        <w:ind w:left="-642" w:hanging="180"/>
      </w:pPr>
    </w:lvl>
    <w:lvl w:ilvl="6" w:tplc="0809000F" w:tentative="1">
      <w:start w:val="1"/>
      <w:numFmt w:val="decimal"/>
      <w:lvlText w:val="%7."/>
      <w:lvlJc w:val="left"/>
      <w:pPr>
        <w:ind w:left="78" w:hanging="360"/>
      </w:pPr>
    </w:lvl>
    <w:lvl w:ilvl="7" w:tplc="08090019" w:tentative="1">
      <w:start w:val="1"/>
      <w:numFmt w:val="lowerLetter"/>
      <w:lvlText w:val="%8."/>
      <w:lvlJc w:val="left"/>
      <w:pPr>
        <w:ind w:left="798" w:hanging="360"/>
      </w:pPr>
    </w:lvl>
    <w:lvl w:ilvl="8" w:tplc="0809001B" w:tentative="1">
      <w:start w:val="1"/>
      <w:numFmt w:val="lowerRoman"/>
      <w:lvlText w:val="%9."/>
      <w:lvlJc w:val="right"/>
      <w:pPr>
        <w:ind w:left="1518" w:hanging="180"/>
      </w:pPr>
    </w:lvl>
  </w:abstractNum>
  <w:abstractNum w:abstractNumId="1" w15:restartNumberingAfterBreak="0">
    <w:nsid w:val="1A060D35"/>
    <w:multiLevelType w:val="hybridMultilevel"/>
    <w:tmpl w:val="CD48F3DA"/>
    <w:lvl w:ilvl="0" w:tplc="B1D01D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06136"/>
    <w:multiLevelType w:val="hybridMultilevel"/>
    <w:tmpl w:val="4B4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7859"/>
    <w:multiLevelType w:val="hybridMultilevel"/>
    <w:tmpl w:val="8A8A4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6134B"/>
    <w:multiLevelType w:val="hybridMultilevel"/>
    <w:tmpl w:val="1AF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F7C29"/>
    <w:multiLevelType w:val="hybridMultilevel"/>
    <w:tmpl w:val="04E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F791"/>
    <w:multiLevelType w:val="hybridMultilevel"/>
    <w:tmpl w:val="5934A2A8"/>
    <w:lvl w:ilvl="0" w:tplc="9320A136">
      <w:start w:val="1"/>
      <w:numFmt w:val="bullet"/>
      <w:lvlText w:val="-"/>
      <w:lvlJc w:val="left"/>
      <w:pPr>
        <w:ind w:left="720" w:hanging="360"/>
      </w:pPr>
      <w:rPr>
        <w:rFonts w:ascii="Calibri" w:hAnsi="Calibri" w:hint="default"/>
      </w:rPr>
    </w:lvl>
    <w:lvl w:ilvl="1" w:tplc="25C2E90A">
      <w:start w:val="1"/>
      <w:numFmt w:val="bullet"/>
      <w:lvlText w:val="o"/>
      <w:lvlJc w:val="left"/>
      <w:pPr>
        <w:ind w:left="1440" w:hanging="360"/>
      </w:pPr>
      <w:rPr>
        <w:rFonts w:ascii="Courier New" w:hAnsi="Courier New" w:hint="default"/>
      </w:rPr>
    </w:lvl>
    <w:lvl w:ilvl="2" w:tplc="B2B42352">
      <w:start w:val="1"/>
      <w:numFmt w:val="bullet"/>
      <w:lvlText w:val=""/>
      <w:lvlJc w:val="left"/>
      <w:pPr>
        <w:ind w:left="2160" w:hanging="360"/>
      </w:pPr>
      <w:rPr>
        <w:rFonts w:ascii="Wingdings" w:hAnsi="Wingdings" w:hint="default"/>
      </w:rPr>
    </w:lvl>
    <w:lvl w:ilvl="3" w:tplc="666E2A84">
      <w:start w:val="1"/>
      <w:numFmt w:val="bullet"/>
      <w:lvlText w:val=""/>
      <w:lvlJc w:val="left"/>
      <w:pPr>
        <w:ind w:left="2880" w:hanging="360"/>
      </w:pPr>
      <w:rPr>
        <w:rFonts w:ascii="Symbol" w:hAnsi="Symbol" w:hint="default"/>
      </w:rPr>
    </w:lvl>
    <w:lvl w:ilvl="4" w:tplc="72CEE35A">
      <w:start w:val="1"/>
      <w:numFmt w:val="bullet"/>
      <w:lvlText w:val="o"/>
      <w:lvlJc w:val="left"/>
      <w:pPr>
        <w:ind w:left="3600" w:hanging="360"/>
      </w:pPr>
      <w:rPr>
        <w:rFonts w:ascii="Courier New" w:hAnsi="Courier New" w:hint="default"/>
      </w:rPr>
    </w:lvl>
    <w:lvl w:ilvl="5" w:tplc="830AB72C">
      <w:start w:val="1"/>
      <w:numFmt w:val="bullet"/>
      <w:lvlText w:val=""/>
      <w:lvlJc w:val="left"/>
      <w:pPr>
        <w:ind w:left="4320" w:hanging="360"/>
      </w:pPr>
      <w:rPr>
        <w:rFonts w:ascii="Wingdings" w:hAnsi="Wingdings" w:hint="default"/>
      </w:rPr>
    </w:lvl>
    <w:lvl w:ilvl="6" w:tplc="866C4EA0">
      <w:start w:val="1"/>
      <w:numFmt w:val="bullet"/>
      <w:lvlText w:val=""/>
      <w:lvlJc w:val="left"/>
      <w:pPr>
        <w:ind w:left="5040" w:hanging="360"/>
      </w:pPr>
      <w:rPr>
        <w:rFonts w:ascii="Symbol" w:hAnsi="Symbol" w:hint="default"/>
      </w:rPr>
    </w:lvl>
    <w:lvl w:ilvl="7" w:tplc="B5645148">
      <w:start w:val="1"/>
      <w:numFmt w:val="bullet"/>
      <w:lvlText w:val="o"/>
      <w:lvlJc w:val="left"/>
      <w:pPr>
        <w:ind w:left="5760" w:hanging="360"/>
      </w:pPr>
      <w:rPr>
        <w:rFonts w:ascii="Courier New" w:hAnsi="Courier New" w:hint="default"/>
      </w:rPr>
    </w:lvl>
    <w:lvl w:ilvl="8" w:tplc="96E68EF2">
      <w:start w:val="1"/>
      <w:numFmt w:val="bullet"/>
      <w:lvlText w:val=""/>
      <w:lvlJc w:val="left"/>
      <w:pPr>
        <w:ind w:left="6480" w:hanging="360"/>
      </w:pPr>
      <w:rPr>
        <w:rFonts w:ascii="Wingdings" w:hAnsi="Wingdings" w:hint="default"/>
      </w:rPr>
    </w:lvl>
  </w:abstractNum>
  <w:abstractNum w:abstractNumId="7" w15:restartNumberingAfterBreak="0">
    <w:nsid w:val="4AEB6E9E"/>
    <w:multiLevelType w:val="hybridMultilevel"/>
    <w:tmpl w:val="01F2F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07750"/>
    <w:multiLevelType w:val="hybridMultilevel"/>
    <w:tmpl w:val="322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CB2BB"/>
    <w:multiLevelType w:val="hybridMultilevel"/>
    <w:tmpl w:val="4F586B82"/>
    <w:lvl w:ilvl="0" w:tplc="CA301500">
      <w:start w:val="1"/>
      <w:numFmt w:val="bullet"/>
      <w:lvlText w:val="-"/>
      <w:lvlJc w:val="left"/>
      <w:pPr>
        <w:ind w:left="720" w:hanging="360"/>
      </w:pPr>
      <w:rPr>
        <w:rFonts w:ascii="Calibri" w:hAnsi="Calibri" w:hint="default"/>
      </w:rPr>
    </w:lvl>
    <w:lvl w:ilvl="1" w:tplc="0C58CDAE">
      <w:start w:val="1"/>
      <w:numFmt w:val="bullet"/>
      <w:lvlText w:val="o"/>
      <w:lvlJc w:val="left"/>
      <w:pPr>
        <w:ind w:left="1440" w:hanging="360"/>
      </w:pPr>
      <w:rPr>
        <w:rFonts w:ascii="Courier New" w:hAnsi="Courier New" w:hint="default"/>
      </w:rPr>
    </w:lvl>
    <w:lvl w:ilvl="2" w:tplc="0AB2D3D0">
      <w:start w:val="1"/>
      <w:numFmt w:val="bullet"/>
      <w:lvlText w:val=""/>
      <w:lvlJc w:val="left"/>
      <w:pPr>
        <w:ind w:left="2160" w:hanging="360"/>
      </w:pPr>
      <w:rPr>
        <w:rFonts w:ascii="Wingdings" w:hAnsi="Wingdings" w:hint="default"/>
      </w:rPr>
    </w:lvl>
    <w:lvl w:ilvl="3" w:tplc="7AD0042C">
      <w:start w:val="1"/>
      <w:numFmt w:val="bullet"/>
      <w:lvlText w:val=""/>
      <w:lvlJc w:val="left"/>
      <w:pPr>
        <w:ind w:left="2880" w:hanging="360"/>
      </w:pPr>
      <w:rPr>
        <w:rFonts w:ascii="Symbol" w:hAnsi="Symbol" w:hint="default"/>
      </w:rPr>
    </w:lvl>
    <w:lvl w:ilvl="4" w:tplc="44B65A2E">
      <w:start w:val="1"/>
      <w:numFmt w:val="bullet"/>
      <w:lvlText w:val="o"/>
      <w:lvlJc w:val="left"/>
      <w:pPr>
        <w:ind w:left="3600" w:hanging="360"/>
      </w:pPr>
      <w:rPr>
        <w:rFonts w:ascii="Courier New" w:hAnsi="Courier New" w:hint="default"/>
      </w:rPr>
    </w:lvl>
    <w:lvl w:ilvl="5" w:tplc="2B84B9EE">
      <w:start w:val="1"/>
      <w:numFmt w:val="bullet"/>
      <w:lvlText w:val=""/>
      <w:lvlJc w:val="left"/>
      <w:pPr>
        <w:ind w:left="4320" w:hanging="360"/>
      </w:pPr>
      <w:rPr>
        <w:rFonts w:ascii="Wingdings" w:hAnsi="Wingdings" w:hint="default"/>
      </w:rPr>
    </w:lvl>
    <w:lvl w:ilvl="6" w:tplc="7B0E4ED0">
      <w:start w:val="1"/>
      <w:numFmt w:val="bullet"/>
      <w:lvlText w:val=""/>
      <w:lvlJc w:val="left"/>
      <w:pPr>
        <w:ind w:left="5040" w:hanging="360"/>
      </w:pPr>
      <w:rPr>
        <w:rFonts w:ascii="Symbol" w:hAnsi="Symbol" w:hint="default"/>
      </w:rPr>
    </w:lvl>
    <w:lvl w:ilvl="7" w:tplc="05D6325C">
      <w:start w:val="1"/>
      <w:numFmt w:val="bullet"/>
      <w:lvlText w:val="o"/>
      <w:lvlJc w:val="left"/>
      <w:pPr>
        <w:ind w:left="5760" w:hanging="360"/>
      </w:pPr>
      <w:rPr>
        <w:rFonts w:ascii="Courier New" w:hAnsi="Courier New" w:hint="default"/>
      </w:rPr>
    </w:lvl>
    <w:lvl w:ilvl="8" w:tplc="7E4481A2">
      <w:start w:val="1"/>
      <w:numFmt w:val="bullet"/>
      <w:lvlText w:val=""/>
      <w:lvlJc w:val="left"/>
      <w:pPr>
        <w:ind w:left="6480" w:hanging="360"/>
      </w:pPr>
      <w:rPr>
        <w:rFonts w:ascii="Wingdings" w:hAnsi="Wingdings" w:hint="default"/>
      </w:rPr>
    </w:lvl>
  </w:abstractNum>
  <w:abstractNum w:abstractNumId="10" w15:restartNumberingAfterBreak="0">
    <w:nsid w:val="647E0EA4"/>
    <w:multiLevelType w:val="hybridMultilevel"/>
    <w:tmpl w:val="D8A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E2B19"/>
    <w:multiLevelType w:val="hybridMultilevel"/>
    <w:tmpl w:val="578C306C"/>
    <w:lvl w:ilvl="0" w:tplc="69E03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C231B"/>
    <w:multiLevelType w:val="hybridMultilevel"/>
    <w:tmpl w:val="0C84A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C0C13"/>
    <w:multiLevelType w:val="hybridMultilevel"/>
    <w:tmpl w:val="A9C8E238"/>
    <w:lvl w:ilvl="0" w:tplc="2E6AF0FC">
      <w:start w:val="1"/>
      <w:numFmt w:val="bullet"/>
      <w:lvlText w:val=""/>
      <w:lvlJc w:val="left"/>
      <w:pPr>
        <w:ind w:left="720" w:hanging="360"/>
      </w:pPr>
      <w:rPr>
        <w:rFonts w:ascii="Symbol" w:hAnsi="Symbol" w:hint="default"/>
      </w:rPr>
    </w:lvl>
    <w:lvl w:ilvl="1" w:tplc="747E8C68">
      <w:start w:val="1"/>
      <w:numFmt w:val="bullet"/>
      <w:lvlText w:val="o"/>
      <w:lvlJc w:val="left"/>
      <w:pPr>
        <w:ind w:left="1440" w:hanging="360"/>
      </w:pPr>
      <w:rPr>
        <w:rFonts w:ascii="Courier New" w:hAnsi="Courier New" w:hint="default"/>
      </w:rPr>
    </w:lvl>
    <w:lvl w:ilvl="2" w:tplc="EC483070">
      <w:start w:val="1"/>
      <w:numFmt w:val="bullet"/>
      <w:lvlText w:val=""/>
      <w:lvlJc w:val="left"/>
      <w:pPr>
        <w:ind w:left="2160" w:hanging="360"/>
      </w:pPr>
      <w:rPr>
        <w:rFonts w:ascii="Wingdings" w:hAnsi="Wingdings" w:hint="default"/>
      </w:rPr>
    </w:lvl>
    <w:lvl w:ilvl="3" w:tplc="97DA1584">
      <w:start w:val="1"/>
      <w:numFmt w:val="bullet"/>
      <w:lvlText w:val=""/>
      <w:lvlJc w:val="left"/>
      <w:pPr>
        <w:ind w:left="2880" w:hanging="360"/>
      </w:pPr>
      <w:rPr>
        <w:rFonts w:ascii="Symbol" w:hAnsi="Symbol" w:hint="default"/>
      </w:rPr>
    </w:lvl>
    <w:lvl w:ilvl="4" w:tplc="EDA22428">
      <w:start w:val="1"/>
      <w:numFmt w:val="bullet"/>
      <w:lvlText w:val="o"/>
      <w:lvlJc w:val="left"/>
      <w:pPr>
        <w:ind w:left="3600" w:hanging="360"/>
      </w:pPr>
      <w:rPr>
        <w:rFonts w:ascii="Courier New" w:hAnsi="Courier New" w:hint="default"/>
      </w:rPr>
    </w:lvl>
    <w:lvl w:ilvl="5" w:tplc="63B6C4BA">
      <w:start w:val="1"/>
      <w:numFmt w:val="bullet"/>
      <w:lvlText w:val=""/>
      <w:lvlJc w:val="left"/>
      <w:pPr>
        <w:ind w:left="4320" w:hanging="360"/>
      </w:pPr>
      <w:rPr>
        <w:rFonts w:ascii="Wingdings" w:hAnsi="Wingdings" w:hint="default"/>
      </w:rPr>
    </w:lvl>
    <w:lvl w:ilvl="6" w:tplc="94D05E4E">
      <w:start w:val="1"/>
      <w:numFmt w:val="bullet"/>
      <w:lvlText w:val=""/>
      <w:lvlJc w:val="left"/>
      <w:pPr>
        <w:ind w:left="5040" w:hanging="360"/>
      </w:pPr>
      <w:rPr>
        <w:rFonts w:ascii="Symbol" w:hAnsi="Symbol" w:hint="default"/>
      </w:rPr>
    </w:lvl>
    <w:lvl w:ilvl="7" w:tplc="5686A406">
      <w:start w:val="1"/>
      <w:numFmt w:val="bullet"/>
      <w:lvlText w:val="o"/>
      <w:lvlJc w:val="left"/>
      <w:pPr>
        <w:ind w:left="5760" w:hanging="360"/>
      </w:pPr>
      <w:rPr>
        <w:rFonts w:ascii="Courier New" w:hAnsi="Courier New" w:hint="default"/>
      </w:rPr>
    </w:lvl>
    <w:lvl w:ilvl="8" w:tplc="1AA452A8">
      <w:start w:val="1"/>
      <w:numFmt w:val="bullet"/>
      <w:lvlText w:val=""/>
      <w:lvlJc w:val="left"/>
      <w:pPr>
        <w:ind w:left="6480" w:hanging="360"/>
      </w:pPr>
      <w:rPr>
        <w:rFonts w:ascii="Wingdings" w:hAnsi="Wingdings" w:hint="default"/>
      </w:rPr>
    </w:lvl>
  </w:abstractNum>
  <w:abstractNum w:abstractNumId="14" w15:restartNumberingAfterBreak="0">
    <w:nsid w:val="747C7799"/>
    <w:multiLevelType w:val="hybridMultilevel"/>
    <w:tmpl w:val="D5C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2021"/>
    <w:multiLevelType w:val="hybridMultilevel"/>
    <w:tmpl w:val="FC9A3508"/>
    <w:lvl w:ilvl="0" w:tplc="F73E9992">
      <w:start w:val="1"/>
      <w:numFmt w:val="bullet"/>
      <w:lvlText w:val="-"/>
      <w:lvlJc w:val="left"/>
      <w:pPr>
        <w:ind w:left="720" w:hanging="360"/>
      </w:pPr>
      <w:rPr>
        <w:rFonts w:ascii="Calibri" w:hAnsi="Calibri" w:hint="default"/>
      </w:rPr>
    </w:lvl>
    <w:lvl w:ilvl="1" w:tplc="EA427BC4">
      <w:start w:val="1"/>
      <w:numFmt w:val="bullet"/>
      <w:lvlText w:val="o"/>
      <w:lvlJc w:val="left"/>
      <w:pPr>
        <w:ind w:left="1440" w:hanging="360"/>
      </w:pPr>
      <w:rPr>
        <w:rFonts w:ascii="Courier New" w:hAnsi="Courier New" w:hint="default"/>
      </w:rPr>
    </w:lvl>
    <w:lvl w:ilvl="2" w:tplc="96804DE8">
      <w:start w:val="1"/>
      <w:numFmt w:val="bullet"/>
      <w:lvlText w:val=""/>
      <w:lvlJc w:val="left"/>
      <w:pPr>
        <w:ind w:left="2160" w:hanging="360"/>
      </w:pPr>
      <w:rPr>
        <w:rFonts w:ascii="Wingdings" w:hAnsi="Wingdings" w:hint="default"/>
      </w:rPr>
    </w:lvl>
    <w:lvl w:ilvl="3" w:tplc="19EA7512">
      <w:start w:val="1"/>
      <w:numFmt w:val="bullet"/>
      <w:lvlText w:val=""/>
      <w:lvlJc w:val="left"/>
      <w:pPr>
        <w:ind w:left="2880" w:hanging="360"/>
      </w:pPr>
      <w:rPr>
        <w:rFonts w:ascii="Symbol" w:hAnsi="Symbol" w:hint="default"/>
      </w:rPr>
    </w:lvl>
    <w:lvl w:ilvl="4" w:tplc="9EC2E72E">
      <w:start w:val="1"/>
      <w:numFmt w:val="bullet"/>
      <w:lvlText w:val="o"/>
      <w:lvlJc w:val="left"/>
      <w:pPr>
        <w:ind w:left="3600" w:hanging="360"/>
      </w:pPr>
      <w:rPr>
        <w:rFonts w:ascii="Courier New" w:hAnsi="Courier New" w:hint="default"/>
      </w:rPr>
    </w:lvl>
    <w:lvl w:ilvl="5" w:tplc="6956978E">
      <w:start w:val="1"/>
      <w:numFmt w:val="bullet"/>
      <w:lvlText w:val=""/>
      <w:lvlJc w:val="left"/>
      <w:pPr>
        <w:ind w:left="4320" w:hanging="360"/>
      </w:pPr>
      <w:rPr>
        <w:rFonts w:ascii="Wingdings" w:hAnsi="Wingdings" w:hint="default"/>
      </w:rPr>
    </w:lvl>
    <w:lvl w:ilvl="6" w:tplc="9DE029EA">
      <w:start w:val="1"/>
      <w:numFmt w:val="bullet"/>
      <w:lvlText w:val=""/>
      <w:lvlJc w:val="left"/>
      <w:pPr>
        <w:ind w:left="5040" w:hanging="360"/>
      </w:pPr>
      <w:rPr>
        <w:rFonts w:ascii="Symbol" w:hAnsi="Symbol" w:hint="default"/>
      </w:rPr>
    </w:lvl>
    <w:lvl w:ilvl="7" w:tplc="7D882D86">
      <w:start w:val="1"/>
      <w:numFmt w:val="bullet"/>
      <w:lvlText w:val="o"/>
      <w:lvlJc w:val="left"/>
      <w:pPr>
        <w:ind w:left="5760" w:hanging="360"/>
      </w:pPr>
      <w:rPr>
        <w:rFonts w:ascii="Courier New" w:hAnsi="Courier New" w:hint="default"/>
      </w:rPr>
    </w:lvl>
    <w:lvl w:ilvl="8" w:tplc="E8F82494">
      <w:start w:val="1"/>
      <w:numFmt w:val="bullet"/>
      <w:lvlText w:val=""/>
      <w:lvlJc w:val="left"/>
      <w:pPr>
        <w:ind w:left="6480" w:hanging="360"/>
      </w:pPr>
      <w:rPr>
        <w:rFonts w:ascii="Wingdings" w:hAnsi="Wingdings" w:hint="default"/>
      </w:rPr>
    </w:lvl>
  </w:abstractNum>
  <w:abstractNum w:abstractNumId="16" w15:restartNumberingAfterBreak="0">
    <w:nsid w:val="7F117D42"/>
    <w:multiLevelType w:val="hybridMultilevel"/>
    <w:tmpl w:val="3A2AC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0"/>
  </w:num>
  <w:num w:numId="6">
    <w:abstractNumId w:val="1"/>
  </w:num>
  <w:num w:numId="7">
    <w:abstractNumId w:val="1"/>
    <w:lvlOverride w:ilvl="0">
      <w:startOverride w:val="1"/>
    </w:lvlOverride>
  </w:num>
  <w:num w:numId="8">
    <w:abstractNumId w:val="1"/>
    <w:lvlOverride w:ilvl="0">
      <w:startOverride w:val="1"/>
    </w:lvlOverride>
  </w:num>
  <w:num w:numId="9">
    <w:abstractNumId w:val="7"/>
  </w:num>
  <w:num w:numId="10">
    <w:abstractNumId w:val="2"/>
  </w:num>
  <w:num w:numId="11">
    <w:abstractNumId w:val="10"/>
  </w:num>
  <w:num w:numId="12">
    <w:abstractNumId w:val="4"/>
  </w:num>
  <w:num w:numId="13">
    <w:abstractNumId w:val="0"/>
  </w:num>
  <w:num w:numId="14">
    <w:abstractNumId w:val="12"/>
  </w:num>
  <w:num w:numId="15">
    <w:abstractNumId w:val="3"/>
  </w:num>
  <w:num w:numId="16">
    <w:abstractNumId w:val="16"/>
  </w:num>
  <w:num w:numId="17">
    <w:abstractNumId w:val="1"/>
    <w:lvlOverride w:ilvl="0">
      <w:startOverride w:val="1"/>
    </w:lvlOverride>
  </w:num>
  <w:num w:numId="18">
    <w:abstractNumId w:val="1"/>
  </w:num>
  <w:num w:numId="19">
    <w:abstractNumId w:val="5"/>
  </w:num>
  <w:num w:numId="20">
    <w:abstractNumId w:val="0"/>
  </w:num>
  <w:num w:numId="21">
    <w:abstractNumId w:val="0"/>
  </w:num>
  <w:num w:numId="22">
    <w:abstractNumId w:val="0"/>
  </w:num>
  <w:num w:numId="23">
    <w:abstractNumId w:val="0"/>
  </w:num>
  <w:num w:numId="24">
    <w:abstractNumId w:val="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en-IE" w:vendorID="64" w:dllVersion="6" w:nlCheck="1" w:checkStyle="1"/>
  <w:activeWritingStyle w:appName="MSWord" w:lang="pl-PL" w:vendorID="64" w:dllVersion="0" w:nlCheck="1" w:checkStyle="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B7BDD50-1B7E-4995-A408-0D3CF6A7C4E6"/>
    <w:docVar w:name="LW_COVERPAGE_TYPE" w:val="1"/>
    <w:docVar w:name="LW_CROSSREFERENCE" w:val="&lt;UNUSED&gt;"/>
    <w:docVar w:name="LW_DocType" w:val="NORMAL"/>
    <w:docVar w:name="LW_EMISSION" w:val="5.6.2023"/>
    <w:docVar w:name="LW_EMISSION_ISODATE" w:val="2023-06-05"/>
    <w:docVar w:name="LW_EMISSION_LOCATION" w:val="BRX"/>
    <w:docVar w:name="LW_EMISSION_PREFIX" w:val="Bruksela, dnia "/>
    <w:docVar w:name="LW_EMISSION_SUFFIX" w:val=" r."/>
    <w:docVar w:name="LW_ID_DOCTYPE_NONLW" w:val="CP-006"/>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3) 3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w sprawie przeglądu interwencji w sytuacji nadzwyczajnej w celu rozwiązania problemu wysokich cen energii zgodnie z rozporządzeniem Rady (UE) 2022/1854"/>
    <w:docVar w:name="LW_TYPE.DOC.CP" w:val="SPRAWOZDANIE KOMISJI DLA PARLAMENTU EUROPEJSKIEGO I RADY"/>
    <w:docVar w:name="LwApiVersions" w:val="LW4CoDe 1.23.2.0; LW 8.0, Build 20211117"/>
  </w:docVars>
  <w:rsids>
    <w:rsidRoot w:val="000F7074"/>
    <w:rsid w:val="0000026A"/>
    <w:rsid w:val="00000E4A"/>
    <w:rsid w:val="00000F37"/>
    <w:rsid w:val="0000240C"/>
    <w:rsid w:val="00002BB8"/>
    <w:rsid w:val="00002CF5"/>
    <w:rsid w:val="000051F1"/>
    <w:rsid w:val="00012860"/>
    <w:rsid w:val="00012FB7"/>
    <w:rsid w:val="000136C2"/>
    <w:rsid w:val="00014C87"/>
    <w:rsid w:val="00015566"/>
    <w:rsid w:val="00016F96"/>
    <w:rsid w:val="00017172"/>
    <w:rsid w:val="00017396"/>
    <w:rsid w:val="00022A85"/>
    <w:rsid w:val="00024AF7"/>
    <w:rsid w:val="00025145"/>
    <w:rsid w:val="000255B7"/>
    <w:rsid w:val="000259E0"/>
    <w:rsid w:val="000267C2"/>
    <w:rsid w:val="00031420"/>
    <w:rsid w:val="000329AE"/>
    <w:rsid w:val="00033C22"/>
    <w:rsid w:val="00033E4E"/>
    <w:rsid w:val="00034D15"/>
    <w:rsid w:val="00036A1C"/>
    <w:rsid w:val="00036BAC"/>
    <w:rsid w:val="000375E8"/>
    <w:rsid w:val="00037EB6"/>
    <w:rsid w:val="000423A2"/>
    <w:rsid w:val="00042A33"/>
    <w:rsid w:val="00046713"/>
    <w:rsid w:val="00046B42"/>
    <w:rsid w:val="00050510"/>
    <w:rsid w:val="000518D3"/>
    <w:rsid w:val="00055C31"/>
    <w:rsid w:val="00057203"/>
    <w:rsid w:val="000599B6"/>
    <w:rsid w:val="00063497"/>
    <w:rsid w:val="000646EB"/>
    <w:rsid w:val="00064A4C"/>
    <w:rsid w:val="00065789"/>
    <w:rsid w:val="00065F08"/>
    <w:rsid w:val="00075103"/>
    <w:rsid w:val="0007593A"/>
    <w:rsid w:val="00077F4F"/>
    <w:rsid w:val="000810EC"/>
    <w:rsid w:val="0008335D"/>
    <w:rsid w:val="0008383C"/>
    <w:rsid w:val="00087478"/>
    <w:rsid w:val="0009020B"/>
    <w:rsid w:val="00093A93"/>
    <w:rsid w:val="000954DA"/>
    <w:rsid w:val="00097611"/>
    <w:rsid w:val="000A0920"/>
    <w:rsid w:val="000A0E11"/>
    <w:rsid w:val="000A12CD"/>
    <w:rsid w:val="000A134A"/>
    <w:rsid w:val="000A28D8"/>
    <w:rsid w:val="000A51A8"/>
    <w:rsid w:val="000A621E"/>
    <w:rsid w:val="000A6B47"/>
    <w:rsid w:val="000B0EDD"/>
    <w:rsid w:val="000B2CEE"/>
    <w:rsid w:val="000B2F94"/>
    <w:rsid w:val="000B30B0"/>
    <w:rsid w:val="000B3CCF"/>
    <w:rsid w:val="000B5717"/>
    <w:rsid w:val="000B6F91"/>
    <w:rsid w:val="000C00DD"/>
    <w:rsid w:val="000C192C"/>
    <w:rsid w:val="000C4D68"/>
    <w:rsid w:val="000C5CB7"/>
    <w:rsid w:val="000C6DF9"/>
    <w:rsid w:val="000C73A3"/>
    <w:rsid w:val="000C7440"/>
    <w:rsid w:val="000D0775"/>
    <w:rsid w:val="000D07C6"/>
    <w:rsid w:val="000D1665"/>
    <w:rsid w:val="000D199A"/>
    <w:rsid w:val="000D60F5"/>
    <w:rsid w:val="000D79BE"/>
    <w:rsid w:val="000E06C1"/>
    <w:rsid w:val="000E40D0"/>
    <w:rsid w:val="000E52E0"/>
    <w:rsid w:val="000E57DC"/>
    <w:rsid w:val="000E6D26"/>
    <w:rsid w:val="000E6F15"/>
    <w:rsid w:val="000E6FAD"/>
    <w:rsid w:val="000E7524"/>
    <w:rsid w:val="000E7B93"/>
    <w:rsid w:val="000F0B58"/>
    <w:rsid w:val="000F1657"/>
    <w:rsid w:val="000F1F0B"/>
    <w:rsid w:val="000F557C"/>
    <w:rsid w:val="000F7074"/>
    <w:rsid w:val="000F794B"/>
    <w:rsid w:val="000F7EEC"/>
    <w:rsid w:val="00100BEB"/>
    <w:rsid w:val="00103067"/>
    <w:rsid w:val="00103EB9"/>
    <w:rsid w:val="00104280"/>
    <w:rsid w:val="001053A7"/>
    <w:rsid w:val="00105D82"/>
    <w:rsid w:val="00111764"/>
    <w:rsid w:val="00115FF4"/>
    <w:rsid w:val="00116CC1"/>
    <w:rsid w:val="00117095"/>
    <w:rsid w:val="0011796D"/>
    <w:rsid w:val="00120B07"/>
    <w:rsid w:val="001215C9"/>
    <w:rsid w:val="00121EFF"/>
    <w:rsid w:val="001222FB"/>
    <w:rsid w:val="00122B97"/>
    <w:rsid w:val="0012312F"/>
    <w:rsid w:val="00123DCB"/>
    <w:rsid w:val="00125046"/>
    <w:rsid w:val="0012523A"/>
    <w:rsid w:val="00125933"/>
    <w:rsid w:val="00125A33"/>
    <w:rsid w:val="001268E2"/>
    <w:rsid w:val="00126B1A"/>
    <w:rsid w:val="00127717"/>
    <w:rsid w:val="00127F8D"/>
    <w:rsid w:val="00131EA2"/>
    <w:rsid w:val="00133DB7"/>
    <w:rsid w:val="00135E93"/>
    <w:rsid w:val="00135F72"/>
    <w:rsid w:val="0013740F"/>
    <w:rsid w:val="0013774A"/>
    <w:rsid w:val="00141422"/>
    <w:rsid w:val="00142E20"/>
    <w:rsid w:val="00143051"/>
    <w:rsid w:val="0014344A"/>
    <w:rsid w:val="001442D0"/>
    <w:rsid w:val="00144558"/>
    <w:rsid w:val="00144E8C"/>
    <w:rsid w:val="00145F27"/>
    <w:rsid w:val="00147746"/>
    <w:rsid w:val="0015158A"/>
    <w:rsid w:val="00151712"/>
    <w:rsid w:val="00153B08"/>
    <w:rsid w:val="00154307"/>
    <w:rsid w:val="00155381"/>
    <w:rsid w:val="00156078"/>
    <w:rsid w:val="001563EE"/>
    <w:rsid w:val="0016039C"/>
    <w:rsid w:val="001613B0"/>
    <w:rsid w:val="00161E16"/>
    <w:rsid w:val="00161E5F"/>
    <w:rsid w:val="00163465"/>
    <w:rsid w:val="0016405D"/>
    <w:rsid w:val="00164305"/>
    <w:rsid w:val="00165E0D"/>
    <w:rsid w:val="00165E90"/>
    <w:rsid w:val="001668F2"/>
    <w:rsid w:val="00170CAC"/>
    <w:rsid w:val="00173A2C"/>
    <w:rsid w:val="00174FF7"/>
    <w:rsid w:val="001752EF"/>
    <w:rsid w:val="001804A0"/>
    <w:rsid w:val="001827F0"/>
    <w:rsid w:val="00182F88"/>
    <w:rsid w:val="00184163"/>
    <w:rsid w:val="0018426F"/>
    <w:rsid w:val="00184BEC"/>
    <w:rsid w:val="0018526A"/>
    <w:rsid w:val="00185911"/>
    <w:rsid w:val="00191A0B"/>
    <w:rsid w:val="00193035"/>
    <w:rsid w:val="00194166"/>
    <w:rsid w:val="001942A9"/>
    <w:rsid w:val="001960BA"/>
    <w:rsid w:val="00196601"/>
    <w:rsid w:val="00197184"/>
    <w:rsid w:val="001A0DD7"/>
    <w:rsid w:val="001A2015"/>
    <w:rsid w:val="001A28AB"/>
    <w:rsid w:val="001A2D5C"/>
    <w:rsid w:val="001A2FF0"/>
    <w:rsid w:val="001A340D"/>
    <w:rsid w:val="001A3441"/>
    <w:rsid w:val="001A4B43"/>
    <w:rsid w:val="001A7274"/>
    <w:rsid w:val="001B1210"/>
    <w:rsid w:val="001B30C1"/>
    <w:rsid w:val="001B74E5"/>
    <w:rsid w:val="001C00AE"/>
    <w:rsid w:val="001C3759"/>
    <w:rsid w:val="001C4AED"/>
    <w:rsid w:val="001C5C65"/>
    <w:rsid w:val="001C6399"/>
    <w:rsid w:val="001C791D"/>
    <w:rsid w:val="001D1146"/>
    <w:rsid w:val="001D13F3"/>
    <w:rsid w:val="001D2C98"/>
    <w:rsid w:val="001D4072"/>
    <w:rsid w:val="001D4786"/>
    <w:rsid w:val="001D47AD"/>
    <w:rsid w:val="001D4B45"/>
    <w:rsid w:val="001D585B"/>
    <w:rsid w:val="001D70A4"/>
    <w:rsid w:val="001E110B"/>
    <w:rsid w:val="001E18C5"/>
    <w:rsid w:val="001E1D6D"/>
    <w:rsid w:val="001E2538"/>
    <w:rsid w:val="001E5A29"/>
    <w:rsid w:val="001E66B3"/>
    <w:rsid w:val="001E7729"/>
    <w:rsid w:val="001F252A"/>
    <w:rsid w:val="001F4426"/>
    <w:rsid w:val="001F48E8"/>
    <w:rsid w:val="001F53EE"/>
    <w:rsid w:val="00203525"/>
    <w:rsid w:val="00203B5E"/>
    <w:rsid w:val="00206072"/>
    <w:rsid w:val="00206164"/>
    <w:rsid w:val="0020628C"/>
    <w:rsid w:val="0020644D"/>
    <w:rsid w:val="002111A1"/>
    <w:rsid w:val="00211913"/>
    <w:rsid w:val="00211AF4"/>
    <w:rsid w:val="00214AEA"/>
    <w:rsid w:val="00216DBF"/>
    <w:rsid w:val="002179D0"/>
    <w:rsid w:val="00221712"/>
    <w:rsid w:val="00221A36"/>
    <w:rsid w:val="0022240B"/>
    <w:rsid w:val="00224C21"/>
    <w:rsid w:val="00229321"/>
    <w:rsid w:val="00231E75"/>
    <w:rsid w:val="002323B7"/>
    <w:rsid w:val="0023277B"/>
    <w:rsid w:val="0023303A"/>
    <w:rsid w:val="002334D1"/>
    <w:rsid w:val="0023379F"/>
    <w:rsid w:val="00233817"/>
    <w:rsid w:val="00233F5C"/>
    <w:rsid w:val="00234797"/>
    <w:rsid w:val="00236E6A"/>
    <w:rsid w:val="00243037"/>
    <w:rsid w:val="00243ACC"/>
    <w:rsid w:val="002444FA"/>
    <w:rsid w:val="002445C8"/>
    <w:rsid w:val="00245384"/>
    <w:rsid w:val="0024780D"/>
    <w:rsid w:val="00247D59"/>
    <w:rsid w:val="002510FE"/>
    <w:rsid w:val="00251412"/>
    <w:rsid w:val="002519BA"/>
    <w:rsid w:val="00252832"/>
    <w:rsid w:val="00253216"/>
    <w:rsid w:val="002572F9"/>
    <w:rsid w:val="0025773E"/>
    <w:rsid w:val="0026104F"/>
    <w:rsid w:val="002616B2"/>
    <w:rsid w:val="0026207F"/>
    <w:rsid w:val="0026382F"/>
    <w:rsid w:val="00264A0E"/>
    <w:rsid w:val="00265547"/>
    <w:rsid w:val="00266933"/>
    <w:rsid w:val="00270B51"/>
    <w:rsid w:val="002731C5"/>
    <w:rsid w:val="002742D0"/>
    <w:rsid w:val="00274BD1"/>
    <w:rsid w:val="0027548C"/>
    <w:rsid w:val="0027781B"/>
    <w:rsid w:val="002803FB"/>
    <w:rsid w:val="00280648"/>
    <w:rsid w:val="0028155A"/>
    <w:rsid w:val="002828C5"/>
    <w:rsid w:val="00282DCF"/>
    <w:rsid w:val="0028476B"/>
    <w:rsid w:val="002855BA"/>
    <w:rsid w:val="002862AD"/>
    <w:rsid w:val="002870E8"/>
    <w:rsid w:val="00287AF1"/>
    <w:rsid w:val="00290AF8"/>
    <w:rsid w:val="002919B9"/>
    <w:rsid w:val="002A02F3"/>
    <w:rsid w:val="002A5A52"/>
    <w:rsid w:val="002A68F8"/>
    <w:rsid w:val="002B02CA"/>
    <w:rsid w:val="002B087D"/>
    <w:rsid w:val="002B1AA3"/>
    <w:rsid w:val="002B203B"/>
    <w:rsid w:val="002B2AAA"/>
    <w:rsid w:val="002B3905"/>
    <w:rsid w:val="002B4BEA"/>
    <w:rsid w:val="002B6577"/>
    <w:rsid w:val="002B75FA"/>
    <w:rsid w:val="002C078E"/>
    <w:rsid w:val="002C119E"/>
    <w:rsid w:val="002C1895"/>
    <w:rsid w:val="002C385A"/>
    <w:rsid w:val="002C4176"/>
    <w:rsid w:val="002C5B70"/>
    <w:rsid w:val="002C72C3"/>
    <w:rsid w:val="002D28E0"/>
    <w:rsid w:val="002E0CC5"/>
    <w:rsid w:val="002E23C3"/>
    <w:rsid w:val="002E4421"/>
    <w:rsid w:val="002E52FE"/>
    <w:rsid w:val="002E727F"/>
    <w:rsid w:val="002E76DA"/>
    <w:rsid w:val="002E7C00"/>
    <w:rsid w:val="002F0C3A"/>
    <w:rsid w:val="002F15B2"/>
    <w:rsid w:val="002F1C7D"/>
    <w:rsid w:val="002F5BFC"/>
    <w:rsid w:val="002F6C3F"/>
    <w:rsid w:val="00302342"/>
    <w:rsid w:val="00306A60"/>
    <w:rsid w:val="00307CE5"/>
    <w:rsid w:val="003110DF"/>
    <w:rsid w:val="0031269B"/>
    <w:rsid w:val="003126EB"/>
    <w:rsid w:val="003150FE"/>
    <w:rsid w:val="00317341"/>
    <w:rsid w:val="00320F76"/>
    <w:rsid w:val="003252E1"/>
    <w:rsid w:val="003284F9"/>
    <w:rsid w:val="003303D9"/>
    <w:rsid w:val="003308B0"/>
    <w:rsid w:val="003310D4"/>
    <w:rsid w:val="00333053"/>
    <w:rsid w:val="00333165"/>
    <w:rsid w:val="00333E1D"/>
    <w:rsid w:val="003360EC"/>
    <w:rsid w:val="003405DD"/>
    <w:rsid w:val="00341596"/>
    <w:rsid w:val="00342DD5"/>
    <w:rsid w:val="00344772"/>
    <w:rsid w:val="003456A4"/>
    <w:rsid w:val="00347292"/>
    <w:rsid w:val="003477AB"/>
    <w:rsid w:val="00351B91"/>
    <w:rsid w:val="003536F7"/>
    <w:rsid w:val="003542E1"/>
    <w:rsid w:val="003556F5"/>
    <w:rsid w:val="0035758D"/>
    <w:rsid w:val="0035766B"/>
    <w:rsid w:val="0035E4D8"/>
    <w:rsid w:val="003601E6"/>
    <w:rsid w:val="003604E2"/>
    <w:rsid w:val="00361093"/>
    <w:rsid w:val="003636D9"/>
    <w:rsid w:val="00365944"/>
    <w:rsid w:val="00371BF2"/>
    <w:rsid w:val="0037201C"/>
    <w:rsid w:val="0037526A"/>
    <w:rsid w:val="00380050"/>
    <w:rsid w:val="00380181"/>
    <w:rsid w:val="003847E3"/>
    <w:rsid w:val="00385A33"/>
    <w:rsid w:val="0038765B"/>
    <w:rsid w:val="003902DC"/>
    <w:rsid w:val="0039075A"/>
    <w:rsid w:val="00393CFD"/>
    <w:rsid w:val="0039413B"/>
    <w:rsid w:val="00394AB8"/>
    <w:rsid w:val="0039506A"/>
    <w:rsid w:val="003952F9"/>
    <w:rsid w:val="00395A98"/>
    <w:rsid w:val="003A1255"/>
    <w:rsid w:val="003A1443"/>
    <w:rsid w:val="003A267E"/>
    <w:rsid w:val="003A2C7F"/>
    <w:rsid w:val="003A664D"/>
    <w:rsid w:val="003A7463"/>
    <w:rsid w:val="003B273C"/>
    <w:rsid w:val="003B395E"/>
    <w:rsid w:val="003B4741"/>
    <w:rsid w:val="003B6093"/>
    <w:rsid w:val="003B73E0"/>
    <w:rsid w:val="003C0D27"/>
    <w:rsid w:val="003C1299"/>
    <w:rsid w:val="003C1668"/>
    <w:rsid w:val="003C3B71"/>
    <w:rsid w:val="003C7501"/>
    <w:rsid w:val="003D03BB"/>
    <w:rsid w:val="003D3CE7"/>
    <w:rsid w:val="003D3D7F"/>
    <w:rsid w:val="003D43F7"/>
    <w:rsid w:val="003E0D57"/>
    <w:rsid w:val="003E18D3"/>
    <w:rsid w:val="003E5347"/>
    <w:rsid w:val="003E5A60"/>
    <w:rsid w:val="003E7326"/>
    <w:rsid w:val="003E7A1D"/>
    <w:rsid w:val="003E7F55"/>
    <w:rsid w:val="003F2108"/>
    <w:rsid w:val="003F37BD"/>
    <w:rsid w:val="003F3F79"/>
    <w:rsid w:val="003F4879"/>
    <w:rsid w:val="003F4D52"/>
    <w:rsid w:val="003F56F8"/>
    <w:rsid w:val="00400781"/>
    <w:rsid w:val="00401FD9"/>
    <w:rsid w:val="00402868"/>
    <w:rsid w:val="004033E0"/>
    <w:rsid w:val="00403762"/>
    <w:rsid w:val="00403A17"/>
    <w:rsid w:val="0040420E"/>
    <w:rsid w:val="00404574"/>
    <w:rsid w:val="00405C85"/>
    <w:rsid w:val="00407059"/>
    <w:rsid w:val="0041785D"/>
    <w:rsid w:val="0042090F"/>
    <w:rsid w:val="00427E8F"/>
    <w:rsid w:val="0042932C"/>
    <w:rsid w:val="00431D6E"/>
    <w:rsid w:val="0043236F"/>
    <w:rsid w:val="0043255E"/>
    <w:rsid w:val="00432AC5"/>
    <w:rsid w:val="00432E56"/>
    <w:rsid w:val="004340B7"/>
    <w:rsid w:val="00434322"/>
    <w:rsid w:val="004344FC"/>
    <w:rsid w:val="00434A7C"/>
    <w:rsid w:val="004366B2"/>
    <w:rsid w:val="00436BFD"/>
    <w:rsid w:val="00436F2B"/>
    <w:rsid w:val="004379E0"/>
    <w:rsid w:val="00440D25"/>
    <w:rsid w:val="00441E1B"/>
    <w:rsid w:val="00442066"/>
    <w:rsid w:val="00442B27"/>
    <w:rsid w:val="00442D11"/>
    <w:rsid w:val="004445B2"/>
    <w:rsid w:val="00444BEF"/>
    <w:rsid w:val="00444C22"/>
    <w:rsid w:val="00445689"/>
    <w:rsid w:val="00454A80"/>
    <w:rsid w:val="00455106"/>
    <w:rsid w:val="0045661B"/>
    <w:rsid w:val="00456E27"/>
    <w:rsid w:val="00461B53"/>
    <w:rsid w:val="00464B21"/>
    <w:rsid w:val="00464E31"/>
    <w:rsid w:val="004652E1"/>
    <w:rsid w:val="00465CC2"/>
    <w:rsid w:val="00466176"/>
    <w:rsid w:val="00466A5D"/>
    <w:rsid w:val="00467713"/>
    <w:rsid w:val="00470151"/>
    <w:rsid w:val="004713F1"/>
    <w:rsid w:val="00472099"/>
    <w:rsid w:val="00472697"/>
    <w:rsid w:val="00472C8F"/>
    <w:rsid w:val="004733CB"/>
    <w:rsid w:val="00473A99"/>
    <w:rsid w:val="00473D7C"/>
    <w:rsid w:val="004740B9"/>
    <w:rsid w:val="004760DB"/>
    <w:rsid w:val="0048076B"/>
    <w:rsid w:val="00480FC7"/>
    <w:rsid w:val="004814A7"/>
    <w:rsid w:val="00482987"/>
    <w:rsid w:val="00483762"/>
    <w:rsid w:val="00484493"/>
    <w:rsid w:val="00485B62"/>
    <w:rsid w:val="00486047"/>
    <w:rsid w:val="004867D5"/>
    <w:rsid w:val="00490965"/>
    <w:rsid w:val="00490B4B"/>
    <w:rsid w:val="00490E59"/>
    <w:rsid w:val="00491511"/>
    <w:rsid w:val="004923DB"/>
    <w:rsid w:val="00492F8C"/>
    <w:rsid w:val="00494C8E"/>
    <w:rsid w:val="00495A04"/>
    <w:rsid w:val="00495F67"/>
    <w:rsid w:val="004A0183"/>
    <w:rsid w:val="004A22FC"/>
    <w:rsid w:val="004A37FC"/>
    <w:rsid w:val="004A4962"/>
    <w:rsid w:val="004A4FDB"/>
    <w:rsid w:val="004A5F4E"/>
    <w:rsid w:val="004A671F"/>
    <w:rsid w:val="004ABAC7"/>
    <w:rsid w:val="004B0931"/>
    <w:rsid w:val="004B152B"/>
    <w:rsid w:val="004B2BE3"/>
    <w:rsid w:val="004B2C72"/>
    <w:rsid w:val="004B3A28"/>
    <w:rsid w:val="004B3E40"/>
    <w:rsid w:val="004B55CD"/>
    <w:rsid w:val="004B6FD1"/>
    <w:rsid w:val="004B75C4"/>
    <w:rsid w:val="004C002E"/>
    <w:rsid w:val="004C2A00"/>
    <w:rsid w:val="004D0387"/>
    <w:rsid w:val="004D09A0"/>
    <w:rsid w:val="004D36E1"/>
    <w:rsid w:val="004D4B73"/>
    <w:rsid w:val="004D4B8E"/>
    <w:rsid w:val="004D5687"/>
    <w:rsid w:val="004D6960"/>
    <w:rsid w:val="004D7825"/>
    <w:rsid w:val="004D7AD9"/>
    <w:rsid w:val="004E02A8"/>
    <w:rsid w:val="004E20E4"/>
    <w:rsid w:val="004E5704"/>
    <w:rsid w:val="004F1348"/>
    <w:rsid w:val="004F229B"/>
    <w:rsid w:val="004F2571"/>
    <w:rsid w:val="004F289F"/>
    <w:rsid w:val="004F3CB4"/>
    <w:rsid w:val="004F478B"/>
    <w:rsid w:val="004F494B"/>
    <w:rsid w:val="004F5609"/>
    <w:rsid w:val="004F5635"/>
    <w:rsid w:val="00500891"/>
    <w:rsid w:val="00501394"/>
    <w:rsid w:val="00501BC1"/>
    <w:rsid w:val="00503E65"/>
    <w:rsid w:val="00504854"/>
    <w:rsid w:val="00504EA8"/>
    <w:rsid w:val="00512A3F"/>
    <w:rsid w:val="00513830"/>
    <w:rsid w:val="0051729E"/>
    <w:rsid w:val="0051923A"/>
    <w:rsid w:val="00522820"/>
    <w:rsid w:val="00522BFC"/>
    <w:rsid w:val="0052414A"/>
    <w:rsid w:val="005242C3"/>
    <w:rsid w:val="00526A44"/>
    <w:rsid w:val="00527F32"/>
    <w:rsid w:val="00531042"/>
    <w:rsid w:val="005337D1"/>
    <w:rsid w:val="005341A8"/>
    <w:rsid w:val="00534316"/>
    <w:rsid w:val="0053456E"/>
    <w:rsid w:val="0053496D"/>
    <w:rsid w:val="00534B2C"/>
    <w:rsid w:val="0054094A"/>
    <w:rsid w:val="00540B06"/>
    <w:rsid w:val="00540C7E"/>
    <w:rsid w:val="005410C0"/>
    <w:rsid w:val="00541AAF"/>
    <w:rsid w:val="00542440"/>
    <w:rsid w:val="00543B9D"/>
    <w:rsid w:val="00544372"/>
    <w:rsid w:val="005462AB"/>
    <w:rsid w:val="005468E0"/>
    <w:rsid w:val="00547A81"/>
    <w:rsid w:val="0055297A"/>
    <w:rsid w:val="00555461"/>
    <w:rsid w:val="0055674E"/>
    <w:rsid w:val="00556D74"/>
    <w:rsid w:val="005578B0"/>
    <w:rsid w:val="005607F1"/>
    <w:rsid w:val="0056298C"/>
    <w:rsid w:val="005632B4"/>
    <w:rsid w:val="00564BA9"/>
    <w:rsid w:val="00566877"/>
    <w:rsid w:val="005669BA"/>
    <w:rsid w:val="00567FF5"/>
    <w:rsid w:val="00570530"/>
    <w:rsid w:val="0057056A"/>
    <w:rsid w:val="00574759"/>
    <w:rsid w:val="005755F2"/>
    <w:rsid w:val="00581074"/>
    <w:rsid w:val="00583E91"/>
    <w:rsid w:val="00583FFB"/>
    <w:rsid w:val="005841E8"/>
    <w:rsid w:val="00585CEC"/>
    <w:rsid w:val="0059020F"/>
    <w:rsid w:val="005931D6"/>
    <w:rsid w:val="00593A4F"/>
    <w:rsid w:val="00593C08"/>
    <w:rsid w:val="00594106"/>
    <w:rsid w:val="00594F51"/>
    <w:rsid w:val="00596199"/>
    <w:rsid w:val="00596719"/>
    <w:rsid w:val="00596846"/>
    <w:rsid w:val="005A3DFD"/>
    <w:rsid w:val="005A7E8E"/>
    <w:rsid w:val="005B04C0"/>
    <w:rsid w:val="005B2C41"/>
    <w:rsid w:val="005B3201"/>
    <w:rsid w:val="005B3CE2"/>
    <w:rsid w:val="005B3F19"/>
    <w:rsid w:val="005B54FD"/>
    <w:rsid w:val="005C00C6"/>
    <w:rsid w:val="005C1CDB"/>
    <w:rsid w:val="005C2F73"/>
    <w:rsid w:val="005C7083"/>
    <w:rsid w:val="005D1819"/>
    <w:rsid w:val="005D406A"/>
    <w:rsid w:val="005D4695"/>
    <w:rsid w:val="005D5306"/>
    <w:rsid w:val="005D7BA1"/>
    <w:rsid w:val="005E1EB1"/>
    <w:rsid w:val="005E3FF9"/>
    <w:rsid w:val="005E50B0"/>
    <w:rsid w:val="005E5D2D"/>
    <w:rsid w:val="005E693C"/>
    <w:rsid w:val="005E6E96"/>
    <w:rsid w:val="005F2C4A"/>
    <w:rsid w:val="005F2CE8"/>
    <w:rsid w:val="005F434D"/>
    <w:rsid w:val="005F4C0D"/>
    <w:rsid w:val="005F4F99"/>
    <w:rsid w:val="005F622F"/>
    <w:rsid w:val="005F6549"/>
    <w:rsid w:val="005F6793"/>
    <w:rsid w:val="005F78FF"/>
    <w:rsid w:val="006004A8"/>
    <w:rsid w:val="00602FE9"/>
    <w:rsid w:val="006031D6"/>
    <w:rsid w:val="006037A0"/>
    <w:rsid w:val="00603EF2"/>
    <w:rsid w:val="006063A8"/>
    <w:rsid w:val="00606748"/>
    <w:rsid w:val="006078E5"/>
    <w:rsid w:val="00607E3F"/>
    <w:rsid w:val="00611F40"/>
    <w:rsid w:val="00613168"/>
    <w:rsid w:val="0061653B"/>
    <w:rsid w:val="00617DCF"/>
    <w:rsid w:val="00621344"/>
    <w:rsid w:val="00622A73"/>
    <w:rsid w:val="00622B09"/>
    <w:rsid w:val="0062585C"/>
    <w:rsid w:val="00626245"/>
    <w:rsid w:val="00630628"/>
    <w:rsid w:val="00631A49"/>
    <w:rsid w:val="0063251C"/>
    <w:rsid w:val="00632D4C"/>
    <w:rsid w:val="00633F0C"/>
    <w:rsid w:val="00635728"/>
    <w:rsid w:val="0063648A"/>
    <w:rsid w:val="00637712"/>
    <w:rsid w:val="00640851"/>
    <w:rsid w:val="00641C8A"/>
    <w:rsid w:val="00643A1D"/>
    <w:rsid w:val="006444B9"/>
    <w:rsid w:val="006448A8"/>
    <w:rsid w:val="00644C7F"/>
    <w:rsid w:val="00644E4D"/>
    <w:rsid w:val="006463D8"/>
    <w:rsid w:val="006474EE"/>
    <w:rsid w:val="0065389E"/>
    <w:rsid w:val="00656100"/>
    <w:rsid w:val="00661CFD"/>
    <w:rsid w:val="00663F7C"/>
    <w:rsid w:val="006649AD"/>
    <w:rsid w:val="00664E04"/>
    <w:rsid w:val="0067168F"/>
    <w:rsid w:val="00671880"/>
    <w:rsid w:val="0067197F"/>
    <w:rsid w:val="00672030"/>
    <w:rsid w:val="0067266F"/>
    <w:rsid w:val="00672CFA"/>
    <w:rsid w:val="00673BA6"/>
    <w:rsid w:val="00673D9C"/>
    <w:rsid w:val="00676A7C"/>
    <w:rsid w:val="00677F7A"/>
    <w:rsid w:val="006803F6"/>
    <w:rsid w:val="00682A3B"/>
    <w:rsid w:val="00682BA6"/>
    <w:rsid w:val="00684C75"/>
    <w:rsid w:val="006870C9"/>
    <w:rsid w:val="00687372"/>
    <w:rsid w:val="00690058"/>
    <w:rsid w:val="0069286C"/>
    <w:rsid w:val="00694181"/>
    <w:rsid w:val="00697FC8"/>
    <w:rsid w:val="006A42C0"/>
    <w:rsid w:val="006A4AD1"/>
    <w:rsid w:val="006A7FC4"/>
    <w:rsid w:val="006ADE1C"/>
    <w:rsid w:val="006B194F"/>
    <w:rsid w:val="006B45D0"/>
    <w:rsid w:val="006B57CC"/>
    <w:rsid w:val="006B5EBB"/>
    <w:rsid w:val="006B7FA8"/>
    <w:rsid w:val="006C04B8"/>
    <w:rsid w:val="006C1FA7"/>
    <w:rsid w:val="006C2D33"/>
    <w:rsid w:val="006C2E27"/>
    <w:rsid w:val="006C3258"/>
    <w:rsid w:val="006C50B9"/>
    <w:rsid w:val="006C58F3"/>
    <w:rsid w:val="006C7C17"/>
    <w:rsid w:val="006D09E1"/>
    <w:rsid w:val="006D4F96"/>
    <w:rsid w:val="006D5066"/>
    <w:rsid w:val="006D5F26"/>
    <w:rsid w:val="006D5F91"/>
    <w:rsid w:val="006D7084"/>
    <w:rsid w:val="006E0F62"/>
    <w:rsid w:val="006E145B"/>
    <w:rsid w:val="006E1E35"/>
    <w:rsid w:val="006E4860"/>
    <w:rsid w:val="006E5AEE"/>
    <w:rsid w:val="006E5D65"/>
    <w:rsid w:val="006E63CA"/>
    <w:rsid w:val="006E65D0"/>
    <w:rsid w:val="006E7DF3"/>
    <w:rsid w:val="006F2D04"/>
    <w:rsid w:val="006F2DB1"/>
    <w:rsid w:val="006F45BA"/>
    <w:rsid w:val="006F51FE"/>
    <w:rsid w:val="006F695C"/>
    <w:rsid w:val="00700D36"/>
    <w:rsid w:val="0070497F"/>
    <w:rsid w:val="00710F93"/>
    <w:rsid w:val="0071118A"/>
    <w:rsid w:val="007113F6"/>
    <w:rsid w:val="007144B4"/>
    <w:rsid w:val="00715D81"/>
    <w:rsid w:val="007160C6"/>
    <w:rsid w:val="00717D68"/>
    <w:rsid w:val="007217E5"/>
    <w:rsid w:val="0072211D"/>
    <w:rsid w:val="007236CC"/>
    <w:rsid w:val="007247A4"/>
    <w:rsid w:val="00725084"/>
    <w:rsid w:val="00725439"/>
    <w:rsid w:val="00725E01"/>
    <w:rsid w:val="00726189"/>
    <w:rsid w:val="007312C9"/>
    <w:rsid w:val="0073329E"/>
    <w:rsid w:val="00734D01"/>
    <w:rsid w:val="007351E0"/>
    <w:rsid w:val="007374DD"/>
    <w:rsid w:val="007375C3"/>
    <w:rsid w:val="007377E1"/>
    <w:rsid w:val="00740A40"/>
    <w:rsid w:val="007425DC"/>
    <w:rsid w:val="0074418C"/>
    <w:rsid w:val="007451C2"/>
    <w:rsid w:val="00745C43"/>
    <w:rsid w:val="00745C69"/>
    <w:rsid w:val="0074611C"/>
    <w:rsid w:val="007464D1"/>
    <w:rsid w:val="00747B30"/>
    <w:rsid w:val="007515E9"/>
    <w:rsid w:val="007519E4"/>
    <w:rsid w:val="0075210C"/>
    <w:rsid w:val="00752B93"/>
    <w:rsid w:val="007556A4"/>
    <w:rsid w:val="007579CB"/>
    <w:rsid w:val="007604FE"/>
    <w:rsid w:val="0076090D"/>
    <w:rsid w:val="007610A0"/>
    <w:rsid w:val="00761277"/>
    <w:rsid w:val="007653AE"/>
    <w:rsid w:val="00766526"/>
    <w:rsid w:val="0076661C"/>
    <w:rsid w:val="00771D9A"/>
    <w:rsid w:val="007720E9"/>
    <w:rsid w:val="00773A75"/>
    <w:rsid w:val="0077470F"/>
    <w:rsid w:val="00774C33"/>
    <w:rsid w:val="007760D8"/>
    <w:rsid w:val="007775A0"/>
    <w:rsid w:val="007806BA"/>
    <w:rsid w:val="0078636C"/>
    <w:rsid w:val="00786F87"/>
    <w:rsid w:val="00787A5B"/>
    <w:rsid w:val="0079042B"/>
    <w:rsid w:val="007929AB"/>
    <w:rsid w:val="00792A91"/>
    <w:rsid w:val="00793C9F"/>
    <w:rsid w:val="00794E4F"/>
    <w:rsid w:val="00795C2C"/>
    <w:rsid w:val="00795FEE"/>
    <w:rsid w:val="00796A67"/>
    <w:rsid w:val="007A1413"/>
    <w:rsid w:val="007A4D64"/>
    <w:rsid w:val="007A5503"/>
    <w:rsid w:val="007A5D44"/>
    <w:rsid w:val="007B4791"/>
    <w:rsid w:val="007B4DF4"/>
    <w:rsid w:val="007B6CAD"/>
    <w:rsid w:val="007C00BD"/>
    <w:rsid w:val="007C02C7"/>
    <w:rsid w:val="007C060A"/>
    <w:rsid w:val="007C0DF1"/>
    <w:rsid w:val="007C12F2"/>
    <w:rsid w:val="007C32B6"/>
    <w:rsid w:val="007C3854"/>
    <w:rsid w:val="007C4F87"/>
    <w:rsid w:val="007C6768"/>
    <w:rsid w:val="007C6787"/>
    <w:rsid w:val="007C7480"/>
    <w:rsid w:val="007D71F8"/>
    <w:rsid w:val="007E177D"/>
    <w:rsid w:val="007E1E46"/>
    <w:rsid w:val="007E497D"/>
    <w:rsid w:val="007E6C55"/>
    <w:rsid w:val="007E6FFE"/>
    <w:rsid w:val="007E727F"/>
    <w:rsid w:val="007E773D"/>
    <w:rsid w:val="007F0FCD"/>
    <w:rsid w:val="007F62A5"/>
    <w:rsid w:val="00800690"/>
    <w:rsid w:val="008013E7"/>
    <w:rsid w:val="008016B8"/>
    <w:rsid w:val="00801D5E"/>
    <w:rsid w:val="0080288E"/>
    <w:rsid w:val="00804C0B"/>
    <w:rsid w:val="008069FC"/>
    <w:rsid w:val="00807229"/>
    <w:rsid w:val="00807798"/>
    <w:rsid w:val="00807831"/>
    <w:rsid w:val="00813DD2"/>
    <w:rsid w:val="00815129"/>
    <w:rsid w:val="00816EC9"/>
    <w:rsid w:val="00817259"/>
    <w:rsid w:val="0082003D"/>
    <w:rsid w:val="00823856"/>
    <w:rsid w:val="00823F06"/>
    <w:rsid w:val="0082442C"/>
    <w:rsid w:val="008261AE"/>
    <w:rsid w:val="00826812"/>
    <w:rsid w:val="008274A6"/>
    <w:rsid w:val="00831421"/>
    <w:rsid w:val="00831F33"/>
    <w:rsid w:val="008325CC"/>
    <w:rsid w:val="00833D31"/>
    <w:rsid w:val="00836626"/>
    <w:rsid w:val="00842432"/>
    <w:rsid w:val="00842965"/>
    <w:rsid w:val="00842AAB"/>
    <w:rsid w:val="00843261"/>
    <w:rsid w:val="00843399"/>
    <w:rsid w:val="008441B7"/>
    <w:rsid w:val="00845873"/>
    <w:rsid w:val="008512C6"/>
    <w:rsid w:val="00854A62"/>
    <w:rsid w:val="00855CE2"/>
    <w:rsid w:val="0085621D"/>
    <w:rsid w:val="00856B50"/>
    <w:rsid w:val="00857309"/>
    <w:rsid w:val="00857569"/>
    <w:rsid w:val="0085775D"/>
    <w:rsid w:val="00860282"/>
    <w:rsid w:val="0086093F"/>
    <w:rsid w:val="0086278E"/>
    <w:rsid w:val="0086386B"/>
    <w:rsid w:val="00865047"/>
    <w:rsid w:val="00866D24"/>
    <w:rsid w:val="008715A4"/>
    <w:rsid w:val="0087355A"/>
    <w:rsid w:val="00875A4A"/>
    <w:rsid w:val="00875B39"/>
    <w:rsid w:val="008775F9"/>
    <w:rsid w:val="00880002"/>
    <w:rsid w:val="0088133A"/>
    <w:rsid w:val="0088250E"/>
    <w:rsid w:val="00883C7B"/>
    <w:rsid w:val="00884785"/>
    <w:rsid w:val="008848DE"/>
    <w:rsid w:val="008863C3"/>
    <w:rsid w:val="008869D7"/>
    <w:rsid w:val="00887699"/>
    <w:rsid w:val="008878EE"/>
    <w:rsid w:val="008910D1"/>
    <w:rsid w:val="008939F7"/>
    <w:rsid w:val="008A11D1"/>
    <w:rsid w:val="008A4941"/>
    <w:rsid w:val="008A5349"/>
    <w:rsid w:val="008A6300"/>
    <w:rsid w:val="008B1084"/>
    <w:rsid w:val="008B1C3B"/>
    <w:rsid w:val="008B1E23"/>
    <w:rsid w:val="008B2BBA"/>
    <w:rsid w:val="008B2D49"/>
    <w:rsid w:val="008B563B"/>
    <w:rsid w:val="008B667F"/>
    <w:rsid w:val="008B716E"/>
    <w:rsid w:val="008B7428"/>
    <w:rsid w:val="008B7777"/>
    <w:rsid w:val="008B789A"/>
    <w:rsid w:val="008B7FCE"/>
    <w:rsid w:val="008C13A3"/>
    <w:rsid w:val="008C1A10"/>
    <w:rsid w:val="008C1FC2"/>
    <w:rsid w:val="008C4C34"/>
    <w:rsid w:val="008D0226"/>
    <w:rsid w:val="008D1D3A"/>
    <w:rsid w:val="008D2D4C"/>
    <w:rsid w:val="008D31CB"/>
    <w:rsid w:val="008D36FE"/>
    <w:rsid w:val="008D3951"/>
    <w:rsid w:val="008D5966"/>
    <w:rsid w:val="008D6CC4"/>
    <w:rsid w:val="008E0D48"/>
    <w:rsid w:val="008E1DE1"/>
    <w:rsid w:val="008E2430"/>
    <w:rsid w:val="008E2674"/>
    <w:rsid w:val="008E28EA"/>
    <w:rsid w:val="008E2C57"/>
    <w:rsid w:val="008E3CB7"/>
    <w:rsid w:val="008F0C3D"/>
    <w:rsid w:val="008F3062"/>
    <w:rsid w:val="008F315F"/>
    <w:rsid w:val="008F3A00"/>
    <w:rsid w:val="008F4D1B"/>
    <w:rsid w:val="008F578A"/>
    <w:rsid w:val="008F6C41"/>
    <w:rsid w:val="008F7D17"/>
    <w:rsid w:val="00900D55"/>
    <w:rsid w:val="00901198"/>
    <w:rsid w:val="009013EC"/>
    <w:rsid w:val="00904FCF"/>
    <w:rsid w:val="009056A1"/>
    <w:rsid w:val="00906849"/>
    <w:rsid w:val="009068E2"/>
    <w:rsid w:val="00911F35"/>
    <w:rsid w:val="00913035"/>
    <w:rsid w:val="009137B7"/>
    <w:rsid w:val="0091492E"/>
    <w:rsid w:val="009159DE"/>
    <w:rsid w:val="00917611"/>
    <w:rsid w:val="00921220"/>
    <w:rsid w:val="00922829"/>
    <w:rsid w:val="00922C95"/>
    <w:rsid w:val="00922DFB"/>
    <w:rsid w:val="00923682"/>
    <w:rsid w:val="0092549D"/>
    <w:rsid w:val="00925931"/>
    <w:rsid w:val="00926709"/>
    <w:rsid w:val="00927834"/>
    <w:rsid w:val="00931D31"/>
    <w:rsid w:val="0093250D"/>
    <w:rsid w:val="00932A5F"/>
    <w:rsid w:val="009366CA"/>
    <w:rsid w:val="00936E44"/>
    <w:rsid w:val="00937120"/>
    <w:rsid w:val="00937158"/>
    <w:rsid w:val="00937625"/>
    <w:rsid w:val="00937CA9"/>
    <w:rsid w:val="00940B68"/>
    <w:rsid w:val="00941C88"/>
    <w:rsid w:val="00943CEB"/>
    <w:rsid w:val="00943DA8"/>
    <w:rsid w:val="0094530D"/>
    <w:rsid w:val="00946A84"/>
    <w:rsid w:val="00950EC0"/>
    <w:rsid w:val="009536E5"/>
    <w:rsid w:val="00954200"/>
    <w:rsid w:val="00954831"/>
    <w:rsid w:val="00955C11"/>
    <w:rsid w:val="00955D79"/>
    <w:rsid w:val="00956AF5"/>
    <w:rsid w:val="00962A3A"/>
    <w:rsid w:val="0096315D"/>
    <w:rsid w:val="009639BE"/>
    <w:rsid w:val="00963B01"/>
    <w:rsid w:val="00963EC6"/>
    <w:rsid w:val="009647FC"/>
    <w:rsid w:val="00965AE0"/>
    <w:rsid w:val="009665F9"/>
    <w:rsid w:val="009702B5"/>
    <w:rsid w:val="00972D1F"/>
    <w:rsid w:val="009730EA"/>
    <w:rsid w:val="009741AB"/>
    <w:rsid w:val="009763CF"/>
    <w:rsid w:val="009771E8"/>
    <w:rsid w:val="00985F61"/>
    <w:rsid w:val="00987560"/>
    <w:rsid w:val="00987D74"/>
    <w:rsid w:val="00991D99"/>
    <w:rsid w:val="00992050"/>
    <w:rsid w:val="009928C8"/>
    <w:rsid w:val="00992CCF"/>
    <w:rsid w:val="009954A1"/>
    <w:rsid w:val="00997B4A"/>
    <w:rsid w:val="00997C39"/>
    <w:rsid w:val="009A3811"/>
    <w:rsid w:val="009A4432"/>
    <w:rsid w:val="009A5C3A"/>
    <w:rsid w:val="009A5E5E"/>
    <w:rsid w:val="009A6BEE"/>
    <w:rsid w:val="009B1513"/>
    <w:rsid w:val="009B16B8"/>
    <w:rsid w:val="009B1CB8"/>
    <w:rsid w:val="009B2614"/>
    <w:rsid w:val="009B76A7"/>
    <w:rsid w:val="009C131B"/>
    <w:rsid w:val="009C2653"/>
    <w:rsid w:val="009C2FF9"/>
    <w:rsid w:val="009D14A3"/>
    <w:rsid w:val="009D22AA"/>
    <w:rsid w:val="009D23F6"/>
    <w:rsid w:val="009D3025"/>
    <w:rsid w:val="009D3EF9"/>
    <w:rsid w:val="009D7BB8"/>
    <w:rsid w:val="009D7BF8"/>
    <w:rsid w:val="009E0454"/>
    <w:rsid w:val="009E171A"/>
    <w:rsid w:val="009E24D9"/>
    <w:rsid w:val="009E2C49"/>
    <w:rsid w:val="009E33BB"/>
    <w:rsid w:val="009E36E6"/>
    <w:rsid w:val="009E4984"/>
    <w:rsid w:val="009E4B79"/>
    <w:rsid w:val="009E5F3D"/>
    <w:rsid w:val="009E6EB9"/>
    <w:rsid w:val="009F1EE2"/>
    <w:rsid w:val="009F206C"/>
    <w:rsid w:val="009F41A7"/>
    <w:rsid w:val="009F4550"/>
    <w:rsid w:val="009F457A"/>
    <w:rsid w:val="009F4DAD"/>
    <w:rsid w:val="009F571D"/>
    <w:rsid w:val="009F66CA"/>
    <w:rsid w:val="00A04F67"/>
    <w:rsid w:val="00A05E72"/>
    <w:rsid w:val="00A06C6A"/>
    <w:rsid w:val="00A103A6"/>
    <w:rsid w:val="00A10894"/>
    <w:rsid w:val="00A112C4"/>
    <w:rsid w:val="00A11787"/>
    <w:rsid w:val="00A12182"/>
    <w:rsid w:val="00A1288E"/>
    <w:rsid w:val="00A12E3F"/>
    <w:rsid w:val="00A134FC"/>
    <w:rsid w:val="00A15B1B"/>
    <w:rsid w:val="00A16C94"/>
    <w:rsid w:val="00A17D05"/>
    <w:rsid w:val="00A17D6D"/>
    <w:rsid w:val="00A203F7"/>
    <w:rsid w:val="00A23AEA"/>
    <w:rsid w:val="00A24169"/>
    <w:rsid w:val="00A25DDB"/>
    <w:rsid w:val="00A2688C"/>
    <w:rsid w:val="00A2D6C6"/>
    <w:rsid w:val="00A31056"/>
    <w:rsid w:val="00A31522"/>
    <w:rsid w:val="00A31B78"/>
    <w:rsid w:val="00A330E2"/>
    <w:rsid w:val="00A33B68"/>
    <w:rsid w:val="00A34B76"/>
    <w:rsid w:val="00A35DC1"/>
    <w:rsid w:val="00A37F79"/>
    <w:rsid w:val="00A43F33"/>
    <w:rsid w:val="00A446E8"/>
    <w:rsid w:val="00A47964"/>
    <w:rsid w:val="00A50B79"/>
    <w:rsid w:val="00A51AA2"/>
    <w:rsid w:val="00A52637"/>
    <w:rsid w:val="00A53F18"/>
    <w:rsid w:val="00A545D0"/>
    <w:rsid w:val="00A54BEA"/>
    <w:rsid w:val="00A5647C"/>
    <w:rsid w:val="00A6290D"/>
    <w:rsid w:val="00A643CF"/>
    <w:rsid w:val="00A6479E"/>
    <w:rsid w:val="00A668E6"/>
    <w:rsid w:val="00A70BFA"/>
    <w:rsid w:val="00A71982"/>
    <w:rsid w:val="00A720CE"/>
    <w:rsid w:val="00A73200"/>
    <w:rsid w:val="00A732E5"/>
    <w:rsid w:val="00A73D8A"/>
    <w:rsid w:val="00A74818"/>
    <w:rsid w:val="00A74FE6"/>
    <w:rsid w:val="00A8554D"/>
    <w:rsid w:val="00A85D41"/>
    <w:rsid w:val="00A87B84"/>
    <w:rsid w:val="00A92309"/>
    <w:rsid w:val="00A92574"/>
    <w:rsid w:val="00A92AEA"/>
    <w:rsid w:val="00A936DB"/>
    <w:rsid w:val="00A9388F"/>
    <w:rsid w:val="00A95561"/>
    <w:rsid w:val="00A958C0"/>
    <w:rsid w:val="00AA1176"/>
    <w:rsid w:val="00AA127E"/>
    <w:rsid w:val="00AA2FAB"/>
    <w:rsid w:val="00AA701D"/>
    <w:rsid w:val="00AA77CD"/>
    <w:rsid w:val="00AAF674"/>
    <w:rsid w:val="00AB18BC"/>
    <w:rsid w:val="00AB5391"/>
    <w:rsid w:val="00AC0133"/>
    <w:rsid w:val="00AC2D69"/>
    <w:rsid w:val="00AC371B"/>
    <w:rsid w:val="00AC6E9A"/>
    <w:rsid w:val="00AC7DEF"/>
    <w:rsid w:val="00AD12BC"/>
    <w:rsid w:val="00AD1D89"/>
    <w:rsid w:val="00AD5F41"/>
    <w:rsid w:val="00AD619D"/>
    <w:rsid w:val="00AD6F41"/>
    <w:rsid w:val="00AD7119"/>
    <w:rsid w:val="00AD74A8"/>
    <w:rsid w:val="00AD783F"/>
    <w:rsid w:val="00AE0268"/>
    <w:rsid w:val="00AE11CD"/>
    <w:rsid w:val="00AE1C39"/>
    <w:rsid w:val="00AE42BF"/>
    <w:rsid w:val="00AE4A31"/>
    <w:rsid w:val="00AE5046"/>
    <w:rsid w:val="00AE5D7A"/>
    <w:rsid w:val="00AE5F14"/>
    <w:rsid w:val="00AE78E2"/>
    <w:rsid w:val="00AE7CE1"/>
    <w:rsid w:val="00AF0329"/>
    <w:rsid w:val="00AF1328"/>
    <w:rsid w:val="00AF1679"/>
    <w:rsid w:val="00AF2690"/>
    <w:rsid w:val="00AF2F1C"/>
    <w:rsid w:val="00AF59C4"/>
    <w:rsid w:val="00AF6DE2"/>
    <w:rsid w:val="00AF728C"/>
    <w:rsid w:val="00B0157E"/>
    <w:rsid w:val="00B017BE"/>
    <w:rsid w:val="00B01B42"/>
    <w:rsid w:val="00B0401E"/>
    <w:rsid w:val="00B0426A"/>
    <w:rsid w:val="00B04A34"/>
    <w:rsid w:val="00B04E79"/>
    <w:rsid w:val="00B07619"/>
    <w:rsid w:val="00B10D05"/>
    <w:rsid w:val="00B12D34"/>
    <w:rsid w:val="00B142EA"/>
    <w:rsid w:val="00B14604"/>
    <w:rsid w:val="00B20311"/>
    <w:rsid w:val="00B20CB6"/>
    <w:rsid w:val="00B21234"/>
    <w:rsid w:val="00B23B8F"/>
    <w:rsid w:val="00B23D28"/>
    <w:rsid w:val="00B24516"/>
    <w:rsid w:val="00B2575F"/>
    <w:rsid w:val="00B27586"/>
    <w:rsid w:val="00B279E3"/>
    <w:rsid w:val="00B339A4"/>
    <w:rsid w:val="00B36C15"/>
    <w:rsid w:val="00B36DCF"/>
    <w:rsid w:val="00B435CF"/>
    <w:rsid w:val="00B4579D"/>
    <w:rsid w:val="00B5084D"/>
    <w:rsid w:val="00B51A47"/>
    <w:rsid w:val="00B52A72"/>
    <w:rsid w:val="00B52E5E"/>
    <w:rsid w:val="00B53534"/>
    <w:rsid w:val="00B53A82"/>
    <w:rsid w:val="00B53FFD"/>
    <w:rsid w:val="00B54294"/>
    <w:rsid w:val="00B543F5"/>
    <w:rsid w:val="00B60043"/>
    <w:rsid w:val="00B67203"/>
    <w:rsid w:val="00B67FDB"/>
    <w:rsid w:val="00B70664"/>
    <w:rsid w:val="00B709BC"/>
    <w:rsid w:val="00B71A00"/>
    <w:rsid w:val="00B81745"/>
    <w:rsid w:val="00B818CC"/>
    <w:rsid w:val="00B844CD"/>
    <w:rsid w:val="00B85267"/>
    <w:rsid w:val="00B861EC"/>
    <w:rsid w:val="00B87190"/>
    <w:rsid w:val="00B87B87"/>
    <w:rsid w:val="00B87BE4"/>
    <w:rsid w:val="00B87C9E"/>
    <w:rsid w:val="00B9021D"/>
    <w:rsid w:val="00B90565"/>
    <w:rsid w:val="00B919D0"/>
    <w:rsid w:val="00B969F1"/>
    <w:rsid w:val="00B96E7C"/>
    <w:rsid w:val="00B9770D"/>
    <w:rsid w:val="00B979CC"/>
    <w:rsid w:val="00BA15A0"/>
    <w:rsid w:val="00BA167F"/>
    <w:rsid w:val="00BA1DE9"/>
    <w:rsid w:val="00BA310C"/>
    <w:rsid w:val="00BA33BA"/>
    <w:rsid w:val="00BA351B"/>
    <w:rsid w:val="00BA45AF"/>
    <w:rsid w:val="00BA4BBF"/>
    <w:rsid w:val="00BA5ED9"/>
    <w:rsid w:val="00BA5EEB"/>
    <w:rsid w:val="00BA74FE"/>
    <w:rsid w:val="00BB23D1"/>
    <w:rsid w:val="00BB3561"/>
    <w:rsid w:val="00BB40DE"/>
    <w:rsid w:val="00BB430E"/>
    <w:rsid w:val="00BB6178"/>
    <w:rsid w:val="00BB6863"/>
    <w:rsid w:val="00BB6BE4"/>
    <w:rsid w:val="00BB754E"/>
    <w:rsid w:val="00BC03CF"/>
    <w:rsid w:val="00BC2BE7"/>
    <w:rsid w:val="00BC3382"/>
    <w:rsid w:val="00BC3F6F"/>
    <w:rsid w:val="00BC423A"/>
    <w:rsid w:val="00BD014D"/>
    <w:rsid w:val="00BD0787"/>
    <w:rsid w:val="00BD63A6"/>
    <w:rsid w:val="00BD6A4B"/>
    <w:rsid w:val="00BD76A7"/>
    <w:rsid w:val="00BD7740"/>
    <w:rsid w:val="00BE0B17"/>
    <w:rsid w:val="00BE2905"/>
    <w:rsid w:val="00BE387C"/>
    <w:rsid w:val="00BE5398"/>
    <w:rsid w:val="00BE5F54"/>
    <w:rsid w:val="00BE6146"/>
    <w:rsid w:val="00BE75A7"/>
    <w:rsid w:val="00BE7C48"/>
    <w:rsid w:val="00BF0608"/>
    <w:rsid w:val="00BF1684"/>
    <w:rsid w:val="00BF57E7"/>
    <w:rsid w:val="00BF66CC"/>
    <w:rsid w:val="00C00BEA"/>
    <w:rsid w:val="00C01B1F"/>
    <w:rsid w:val="00C0260D"/>
    <w:rsid w:val="00C0261C"/>
    <w:rsid w:val="00C02BF5"/>
    <w:rsid w:val="00C059B5"/>
    <w:rsid w:val="00C06D7C"/>
    <w:rsid w:val="00C07FF1"/>
    <w:rsid w:val="00C10045"/>
    <w:rsid w:val="00C10135"/>
    <w:rsid w:val="00C106D5"/>
    <w:rsid w:val="00C1134E"/>
    <w:rsid w:val="00C11804"/>
    <w:rsid w:val="00C11F41"/>
    <w:rsid w:val="00C14302"/>
    <w:rsid w:val="00C14E5A"/>
    <w:rsid w:val="00C1520E"/>
    <w:rsid w:val="00C17197"/>
    <w:rsid w:val="00C172C7"/>
    <w:rsid w:val="00C20D8D"/>
    <w:rsid w:val="00C23B45"/>
    <w:rsid w:val="00C25AE3"/>
    <w:rsid w:val="00C2715F"/>
    <w:rsid w:val="00C278E3"/>
    <w:rsid w:val="00C27D67"/>
    <w:rsid w:val="00C30EA3"/>
    <w:rsid w:val="00C311B7"/>
    <w:rsid w:val="00C317AB"/>
    <w:rsid w:val="00C31847"/>
    <w:rsid w:val="00C31C41"/>
    <w:rsid w:val="00C31F0D"/>
    <w:rsid w:val="00C344F4"/>
    <w:rsid w:val="00C36323"/>
    <w:rsid w:val="00C36C0E"/>
    <w:rsid w:val="00C4070B"/>
    <w:rsid w:val="00C46027"/>
    <w:rsid w:val="00C47C4E"/>
    <w:rsid w:val="00C47FFB"/>
    <w:rsid w:val="00C50E7C"/>
    <w:rsid w:val="00C54922"/>
    <w:rsid w:val="00C55486"/>
    <w:rsid w:val="00C60D80"/>
    <w:rsid w:val="00C6191C"/>
    <w:rsid w:val="00C65CDF"/>
    <w:rsid w:val="00C67023"/>
    <w:rsid w:val="00C71DEE"/>
    <w:rsid w:val="00C7287E"/>
    <w:rsid w:val="00C72FB9"/>
    <w:rsid w:val="00C76B5A"/>
    <w:rsid w:val="00C77491"/>
    <w:rsid w:val="00C8178D"/>
    <w:rsid w:val="00C81C18"/>
    <w:rsid w:val="00C82DB5"/>
    <w:rsid w:val="00C83F99"/>
    <w:rsid w:val="00C83FEA"/>
    <w:rsid w:val="00C84E1B"/>
    <w:rsid w:val="00C8587F"/>
    <w:rsid w:val="00C86BA7"/>
    <w:rsid w:val="00C872D2"/>
    <w:rsid w:val="00C92810"/>
    <w:rsid w:val="00C92B40"/>
    <w:rsid w:val="00C94DD5"/>
    <w:rsid w:val="00C971D1"/>
    <w:rsid w:val="00CA0CF6"/>
    <w:rsid w:val="00CA1309"/>
    <w:rsid w:val="00CA2AB5"/>
    <w:rsid w:val="00CA537A"/>
    <w:rsid w:val="00CA5572"/>
    <w:rsid w:val="00CA5F92"/>
    <w:rsid w:val="00CB2E65"/>
    <w:rsid w:val="00CB311A"/>
    <w:rsid w:val="00CB6B9C"/>
    <w:rsid w:val="00CB6D51"/>
    <w:rsid w:val="00CC07A3"/>
    <w:rsid w:val="00CC1279"/>
    <w:rsid w:val="00CC7F17"/>
    <w:rsid w:val="00CD0870"/>
    <w:rsid w:val="00CD0C05"/>
    <w:rsid w:val="00CD566F"/>
    <w:rsid w:val="00CD64E5"/>
    <w:rsid w:val="00CE0AE6"/>
    <w:rsid w:val="00CE24E0"/>
    <w:rsid w:val="00CE2E9F"/>
    <w:rsid w:val="00CE4696"/>
    <w:rsid w:val="00CE47B3"/>
    <w:rsid w:val="00CE5550"/>
    <w:rsid w:val="00CE5C33"/>
    <w:rsid w:val="00CE7C59"/>
    <w:rsid w:val="00CF00D5"/>
    <w:rsid w:val="00CF0186"/>
    <w:rsid w:val="00CF331C"/>
    <w:rsid w:val="00CF3BA0"/>
    <w:rsid w:val="00CF45ED"/>
    <w:rsid w:val="00CF5596"/>
    <w:rsid w:val="00CF65C4"/>
    <w:rsid w:val="00D0011C"/>
    <w:rsid w:val="00D01A0C"/>
    <w:rsid w:val="00D04ECE"/>
    <w:rsid w:val="00D0503C"/>
    <w:rsid w:val="00D06E6A"/>
    <w:rsid w:val="00D07847"/>
    <w:rsid w:val="00D1131F"/>
    <w:rsid w:val="00D12A39"/>
    <w:rsid w:val="00D15254"/>
    <w:rsid w:val="00D1654E"/>
    <w:rsid w:val="00D16A17"/>
    <w:rsid w:val="00D1718B"/>
    <w:rsid w:val="00D172C0"/>
    <w:rsid w:val="00D20F24"/>
    <w:rsid w:val="00D220A7"/>
    <w:rsid w:val="00D26567"/>
    <w:rsid w:val="00D26B28"/>
    <w:rsid w:val="00D3024A"/>
    <w:rsid w:val="00D30655"/>
    <w:rsid w:val="00D318EF"/>
    <w:rsid w:val="00D33BB3"/>
    <w:rsid w:val="00D3447D"/>
    <w:rsid w:val="00D35188"/>
    <w:rsid w:val="00D366EE"/>
    <w:rsid w:val="00D372C7"/>
    <w:rsid w:val="00D43BF4"/>
    <w:rsid w:val="00D44C24"/>
    <w:rsid w:val="00D46790"/>
    <w:rsid w:val="00D46C8F"/>
    <w:rsid w:val="00D47736"/>
    <w:rsid w:val="00D51269"/>
    <w:rsid w:val="00D52223"/>
    <w:rsid w:val="00D52AF1"/>
    <w:rsid w:val="00D53762"/>
    <w:rsid w:val="00D55A0B"/>
    <w:rsid w:val="00D55DD6"/>
    <w:rsid w:val="00D5682B"/>
    <w:rsid w:val="00D56917"/>
    <w:rsid w:val="00D57DBB"/>
    <w:rsid w:val="00D57E82"/>
    <w:rsid w:val="00D61257"/>
    <w:rsid w:val="00D61866"/>
    <w:rsid w:val="00D61F2F"/>
    <w:rsid w:val="00D64F87"/>
    <w:rsid w:val="00D67875"/>
    <w:rsid w:val="00D67F72"/>
    <w:rsid w:val="00D704FC"/>
    <w:rsid w:val="00D70693"/>
    <w:rsid w:val="00D7328B"/>
    <w:rsid w:val="00D73D4F"/>
    <w:rsid w:val="00D745A0"/>
    <w:rsid w:val="00D745DF"/>
    <w:rsid w:val="00D74617"/>
    <w:rsid w:val="00D74C48"/>
    <w:rsid w:val="00D75FD2"/>
    <w:rsid w:val="00D769CC"/>
    <w:rsid w:val="00D82B69"/>
    <w:rsid w:val="00D83467"/>
    <w:rsid w:val="00D84595"/>
    <w:rsid w:val="00D84B31"/>
    <w:rsid w:val="00D84D2F"/>
    <w:rsid w:val="00D855C9"/>
    <w:rsid w:val="00D861F5"/>
    <w:rsid w:val="00D90368"/>
    <w:rsid w:val="00D907BA"/>
    <w:rsid w:val="00D9204C"/>
    <w:rsid w:val="00D9208C"/>
    <w:rsid w:val="00D92237"/>
    <w:rsid w:val="00D9333C"/>
    <w:rsid w:val="00D936E2"/>
    <w:rsid w:val="00D93849"/>
    <w:rsid w:val="00D96002"/>
    <w:rsid w:val="00DA035E"/>
    <w:rsid w:val="00DA03D3"/>
    <w:rsid w:val="00DA1E18"/>
    <w:rsid w:val="00DA35E0"/>
    <w:rsid w:val="00DA379C"/>
    <w:rsid w:val="00DA5E66"/>
    <w:rsid w:val="00DA703C"/>
    <w:rsid w:val="00DB248D"/>
    <w:rsid w:val="00DB31B7"/>
    <w:rsid w:val="00DB337D"/>
    <w:rsid w:val="00DB4FD1"/>
    <w:rsid w:val="00DB61EC"/>
    <w:rsid w:val="00DB73B0"/>
    <w:rsid w:val="00DB7AEB"/>
    <w:rsid w:val="00DC0B00"/>
    <w:rsid w:val="00DC142E"/>
    <w:rsid w:val="00DC21DB"/>
    <w:rsid w:val="00DC70C6"/>
    <w:rsid w:val="00DD16C5"/>
    <w:rsid w:val="00DD22B1"/>
    <w:rsid w:val="00DD258D"/>
    <w:rsid w:val="00DD4448"/>
    <w:rsid w:val="00DD4D20"/>
    <w:rsid w:val="00DD625C"/>
    <w:rsid w:val="00DD739F"/>
    <w:rsid w:val="00DE1CA3"/>
    <w:rsid w:val="00DE238A"/>
    <w:rsid w:val="00DE5080"/>
    <w:rsid w:val="00DE590E"/>
    <w:rsid w:val="00DE691D"/>
    <w:rsid w:val="00DE7769"/>
    <w:rsid w:val="00DE7D13"/>
    <w:rsid w:val="00DF0185"/>
    <w:rsid w:val="00DF1AE1"/>
    <w:rsid w:val="00E00005"/>
    <w:rsid w:val="00E022FB"/>
    <w:rsid w:val="00E029D1"/>
    <w:rsid w:val="00E105E8"/>
    <w:rsid w:val="00E10A10"/>
    <w:rsid w:val="00E10A8F"/>
    <w:rsid w:val="00E12372"/>
    <w:rsid w:val="00E12B02"/>
    <w:rsid w:val="00E144C2"/>
    <w:rsid w:val="00E166AC"/>
    <w:rsid w:val="00E169C6"/>
    <w:rsid w:val="00E20AED"/>
    <w:rsid w:val="00E21BEC"/>
    <w:rsid w:val="00E2256B"/>
    <w:rsid w:val="00E235BF"/>
    <w:rsid w:val="00E24751"/>
    <w:rsid w:val="00E264D6"/>
    <w:rsid w:val="00E26A62"/>
    <w:rsid w:val="00E26CFC"/>
    <w:rsid w:val="00E27365"/>
    <w:rsid w:val="00E276A1"/>
    <w:rsid w:val="00E27AD4"/>
    <w:rsid w:val="00E31C57"/>
    <w:rsid w:val="00E32948"/>
    <w:rsid w:val="00E34C18"/>
    <w:rsid w:val="00E35081"/>
    <w:rsid w:val="00E363A7"/>
    <w:rsid w:val="00E3725D"/>
    <w:rsid w:val="00E3742A"/>
    <w:rsid w:val="00E3751B"/>
    <w:rsid w:val="00E4037F"/>
    <w:rsid w:val="00E40B1E"/>
    <w:rsid w:val="00E41D21"/>
    <w:rsid w:val="00E4327E"/>
    <w:rsid w:val="00E46FD9"/>
    <w:rsid w:val="00E478B1"/>
    <w:rsid w:val="00E507D0"/>
    <w:rsid w:val="00E528E4"/>
    <w:rsid w:val="00E552A3"/>
    <w:rsid w:val="00E5656F"/>
    <w:rsid w:val="00E56796"/>
    <w:rsid w:val="00E60032"/>
    <w:rsid w:val="00E6008D"/>
    <w:rsid w:val="00E60C1E"/>
    <w:rsid w:val="00E61973"/>
    <w:rsid w:val="00E63CD4"/>
    <w:rsid w:val="00E6403D"/>
    <w:rsid w:val="00E65C49"/>
    <w:rsid w:val="00E66FB4"/>
    <w:rsid w:val="00E67581"/>
    <w:rsid w:val="00E72306"/>
    <w:rsid w:val="00E7280F"/>
    <w:rsid w:val="00E73159"/>
    <w:rsid w:val="00E73670"/>
    <w:rsid w:val="00E73AF7"/>
    <w:rsid w:val="00E7728C"/>
    <w:rsid w:val="00E86268"/>
    <w:rsid w:val="00E915F3"/>
    <w:rsid w:val="00E92E14"/>
    <w:rsid w:val="00E93028"/>
    <w:rsid w:val="00E931ED"/>
    <w:rsid w:val="00E95094"/>
    <w:rsid w:val="00EA18E2"/>
    <w:rsid w:val="00EA4768"/>
    <w:rsid w:val="00EA4ED3"/>
    <w:rsid w:val="00EA7232"/>
    <w:rsid w:val="00EA7C90"/>
    <w:rsid w:val="00EB2F05"/>
    <w:rsid w:val="00EB2F2E"/>
    <w:rsid w:val="00EB2F78"/>
    <w:rsid w:val="00EB3344"/>
    <w:rsid w:val="00EB38DE"/>
    <w:rsid w:val="00EB3AAD"/>
    <w:rsid w:val="00EB579D"/>
    <w:rsid w:val="00EB6041"/>
    <w:rsid w:val="00EB7468"/>
    <w:rsid w:val="00EC06A4"/>
    <w:rsid w:val="00EC3D41"/>
    <w:rsid w:val="00EC6941"/>
    <w:rsid w:val="00EC6A4E"/>
    <w:rsid w:val="00EC6D86"/>
    <w:rsid w:val="00EC7009"/>
    <w:rsid w:val="00EC7A99"/>
    <w:rsid w:val="00ED00E2"/>
    <w:rsid w:val="00ED0BFD"/>
    <w:rsid w:val="00ED2D1B"/>
    <w:rsid w:val="00ED3B00"/>
    <w:rsid w:val="00ED57EA"/>
    <w:rsid w:val="00ED72CF"/>
    <w:rsid w:val="00ED7475"/>
    <w:rsid w:val="00ED74DA"/>
    <w:rsid w:val="00EE16F0"/>
    <w:rsid w:val="00EE4643"/>
    <w:rsid w:val="00EE4F31"/>
    <w:rsid w:val="00EE6021"/>
    <w:rsid w:val="00EE7B5E"/>
    <w:rsid w:val="00EE7F70"/>
    <w:rsid w:val="00EF44D5"/>
    <w:rsid w:val="00EF4B16"/>
    <w:rsid w:val="00EF5F10"/>
    <w:rsid w:val="00F00A13"/>
    <w:rsid w:val="00F01D27"/>
    <w:rsid w:val="00F02431"/>
    <w:rsid w:val="00F05FA9"/>
    <w:rsid w:val="00F0664E"/>
    <w:rsid w:val="00F10E3C"/>
    <w:rsid w:val="00F10F4F"/>
    <w:rsid w:val="00F114D0"/>
    <w:rsid w:val="00F158CC"/>
    <w:rsid w:val="00F162F7"/>
    <w:rsid w:val="00F17B74"/>
    <w:rsid w:val="00F21321"/>
    <w:rsid w:val="00F23C0E"/>
    <w:rsid w:val="00F24E17"/>
    <w:rsid w:val="00F253D8"/>
    <w:rsid w:val="00F25790"/>
    <w:rsid w:val="00F25CF3"/>
    <w:rsid w:val="00F263C8"/>
    <w:rsid w:val="00F272E5"/>
    <w:rsid w:val="00F27EDA"/>
    <w:rsid w:val="00F308B4"/>
    <w:rsid w:val="00F31E2E"/>
    <w:rsid w:val="00F3291B"/>
    <w:rsid w:val="00F32EA8"/>
    <w:rsid w:val="00F344D9"/>
    <w:rsid w:val="00F34524"/>
    <w:rsid w:val="00F3762D"/>
    <w:rsid w:val="00F430DA"/>
    <w:rsid w:val="00F453A3"/>
    <w:rsid w:val="00F46E8F"/>
    <w:rsid w:val="00F50B6E"/>
    <w:rsid w:val="00F51635"/>
    <w:rsid w:val="00F5279A"/>
    <w:rsid w:val="00F528CB"/>
    <w:rsid w:val="00F550B1"/>
    <w:rsid w:val="00F56611"/>
    <w:rsid w:val="00F56CA7"/>
    <w:rsid w:val="00F5781C"/>
    <w:rsid w:val="00F609B4"/>
    <w:rsid w:val="00F63EA9"/>
    <w:rsid w:val="00F651C4"/>
    <w:rsid w:val="00F670D7"/>
    <w:rsid w:val="00F67A51"/>
    <w:rsid w:val="00F68286"/>
    <w:rsid w:val="00F6A9E3"/>
    <w:rsid w:val="00F71C09"/>
    <w:rsid w:val="00F71FD8"/>
    <w:rsid w:val="00F721FC"/>
    <w:rsid w:val="00F722CA"/>
    <w:rsid w:val="00F7318E"/>
    <w:rsid w:val="00F74532"/>
    <w:rsid w:val="00F74555"/>
    <w:rsid w:val="00F74E0D"/>
    <w:rsid w:val="00F757CB"/>
    <w:rsid w:val="00F76958"/>
    <w:rsid w:val="00F769FE"/>
    <w:rsid w:val="00F80262"/>
    <w:rsid w:val="00F8034D"/>
    <w:rsid w:val="00F81404"/>
    <w:rsid w:val="00F81E6B"/>
    <w:rsid w:val="00F85E2D"/>
    <w:rsid w:val="00F87F55"/>
    <w:rsid w:val="00F91478"/>
    <w:rsid w:val="00F9150B"/>
    <w:rsid w:val="00F92F2C"/>
    <w:rsid w:val="00F931B8"/>
    <w:rsid w:val="00F935C6"/>
    <w:rsid w:val="00F93FC8"/>
    <w:rsid w:val="00F94223"/>
    <w:rsid w:val="00F942E0"/>
    <w:rsid w:val="00F95035"/>
    <w:rsid w:val="00F95F32"/>
    <w:rsid w:val="00F97722"/>
    <w:rsid w:val="00F97E98"/>
    <w:rsid w:val="00FA17D4"/>
    <w:rsid w:val="00FA1DAA"/>
    <w:rsid w:val="00FA3D4D"/>
    <w:rsid w:val="00FA4A47"/>
    <w:rsid w:val="00FA784A"/>
    <w:rsid w:val="00FB0647"/>
    <w:rsid w:val="00FB1011"/>
    <w:rsid w:val="00FB153A"/>
    <w:rsid w:val="00FB2D69"/>
    <w:rsid w:val="00FB7F33"/>
    <w:rsid w:val="00FC0615"/>
    <w:rsid w:val="00FC2586"/>
    <w:rsid w:val="00FC3636"/>
    <w:rsid w:val="00FC4C05"/>
    <w:rsid w:val="00FC54E9"/>
    <w:rsid w:val="00FC63F6"/>
    <w:rsid w:val="00FC68FC"/>
    <w:rsid w:val="00FC761B"/>
    <w:rsid w:val="00FC7FAB"/>
    <w:rsid w:val="00FD0492"/>
    <w:rsid w:val="00FD4C42"/>
    <w:rsid w:val="00FD5257"/>
    <w:rsid w:val="00FD5275"/>
    <w:rsid w:val="00FD6037"/>
    <w:rsid w:val="00FE13A9"/>
    <w:rsid w:val="00FE21C0"/>
    <w:rsid w:val="00FE64B9"/>
    <w:rsid w:val="00FE6AC6"/>
    <w:rsid w:val="00FE71C1"/>
    <w:rsid w:val="00FE7321"/>
    <w:rsid w:val="00FF0165"/>
    <w:rsid w:val="00FF07C3"/>
    <w:rsid w:val="00FF5F32"/>
    <w:rsid w:val="00FF64A6"/>
    <w:rsid w:val="00FF7AFC"/>
    <w:rsid w:val="010D8429"/>
    <w:rsid w:val="012DC0A8"/>
    <w:rsid w:val="012F3620"/>
    <w:rsid w:val="01471A3C"/>
    <w:rsid w:val="0154049A"/>
    <w:rsid w:val="017116E3"/>
    <w:rsid w:val="018797FD"/>
    <w:rsid w:val="018A1453"/>
    <w:rsid w:val="018EAC33"/>
    <w:rsid w:val="018EF8AD"/>
    <w:rsid w:val="019536A5"/>
    <w:rsid w:val="019F2F18"/>
    <w:rsid w:val="01B06985"/>
    <w:rsid w:val="01B324E9"/>
    <w:rsid w:val="01CED177"/>
    <w:rsid w:val="01E935EC"/>
    <w:rsid w:val="01F81C52"/>
    <w:rsid w:val="01FCC886"/>
    <w:rsid w:val="01FDE487"/>
    <w:rsid w:val="01FEB70A"/>
    <w:rsid w:val="0238350B"/>
    <w:rsid w:val="023EA727"/>
    <w:rsid w:val="024B7D2B"/>
    <w:rsid w:val="02528DC2"/>
    <w:rsid w:val="0266AAA3"/>
    <w:rsid w:val="026F2853"/>
    <w:rsid w:val="027B7327"/>
    <w:rsid w:val="027D5D63"/>
    <w:rsid w:val="028525ED"/>
    <w:rsid w:val="029492DF"/>
    <w:rsid w:val="029836D9"/>
    <w:rsid w:val="0299389C"/>
    <w:rsid w:val="02A910B7"/>
    <w:rsid w:val="02AE821C"/>
    <w:rsid w:val="02C433F3"/>
    <w:rsid w:val="02C6078F"/>
    <w:rsid w:val="02CD6A4F"/>
    <w:rsid w:val="02CF1363"/>
    <w:rsid w:val="02DA4F27"/>
    <w:rsid w:val="02E0476B"/>
    <w:rsid w:val="030F999F"/>
    <w:rsid w:val="03178177"/>
    <w:rsid w:val="031D3000"/>
    <w:rsid w:val="0328100C"/>
    <w:rsid w:val="032CA386"/>
    <w:rsid w:val="032DEC34"/>
    <w:rsid w:val="033DF42C"/>
    <w:rsid w:val="03442F10"/>
    <w:rsid w:val="0344FEDE"/>
    <w:rsid w:val="034DEEC6"/>
    <w:rsid w:val="035B34B2"/>
    <w:rsid w:val="03611BF0"/>
    <w:rsid w:val="03699011"/>
    <w:rsid w:val="036C2F8F"/>
    <w:rsid w:val="036DD4F8"/>
    <w:rsid w:val="036EBFC1"/>
    <w:rsid w:val="0380962D"/>
    <w:rsid w:val="039250F7"/>
    <w:rsid w:val="0398AFAA"/>
    <w:rsid w:val="03A6B277"/>
    <w:rsid w:val="03A70DA0"/>
    <w:rsid w:val="03B029FE"/>
    <w:rsid w:val="03BE3B81"/>
    <w:rsid w:val="03C0CF56"/>
    <w:rsid w:val="03C9FD5C"/>
    <w:rsid w:val="03D8AED8"/>
    <w:rsid w:val="03EA05BE"/>
    <w:rsid w:val="03F5A98D"/>
    <w:rsid w:val="03F8D520"/>
    <w:rsid w:val="03F928F9"/>
    <w:rsid w:val="03FAB8B4"/>
    <w:rsid w:val="041255C5"/>
    <w:rsid w:val="04138CC5"/>
    <w:rsid w:val="041C5A05"/>
    <w:rsid w:val="041CB31C"/>
    <w:rsid w:val="0431A254"/>
    <w:rsid w:val="04379387"/>
    <w:rsid w:val="0438966F"/>
    <w:rsid w:val="043E0662"/>
    <w:rsid w:val="04406478"/>
    <w:rsid w:val="044E90F8"/>
    <w:rsid w:val="0456354E"/>
    <w:rsid w:val="0458AA79"/>
    <w:rsid w:val="045D23D7"/>
    <w:rsid w:val="04600454"/>
    <w:rsid w:val="04640B57"/>
    <w:rsid w:val="04665BA2"/>
    <w:rsid w:val="0483C8EC"/>
    <w:rsid w:val="04893898"/>
    <w:rsid w:val="048ACA01"/>
    <w:rsid w:val="0496CFC9"/>
    <w:rsid w:val="049DDBE9"/>
    <w:rsid w:val="049F6B89"/>
    <w:rsid w:val="04AC00EF"/>
    <w:rsid w:val="04AF92DB"/>
    <w:rsid w:val="04B5041C"/>
    <w:rsid w:val="04C873E7"/>
    <w:rsid w:val="04D6015B"/>
    <w:rsid w:val="04D6A651"/>
    <w:rsid w:val="04D6E20C"/>
    <w:rsid w:val="04DE6106"/>
    <w:rsid w:val="04EB9A32"/>
    <w:rsid w:val="04F9D55F"/>
    <w:rsid w:val="05003A85"/>
    <w:rsid w:val="05054A98"/>
    <w:rsid w:val="0513A014"/>
    <w:rsid w:val="0518A1E4"/>
    <w:rsid w:val="051AAD8E"/>
    <w:rsid w:val="051ECD3E"/>
    <w:rsid w:val="052FA12C"/>
    <w:rsid w:val="05302789"/>
    <w:rsid w:val="053908B2"/>
    <w:rsid w:val="05432802"/>
    <w:rsid w:val="054AC8EC"/>
    <w:rsid w:val="054E5E13"/>
    <w:rsid w:val="0550CF44"/>
    <w:rsid w:val="0557DD5B"/>
    <w:rsid w:val="057B6553"/>
    <w:rsid w:val="058279C2"/>
    <w:rsid w:val="05A5B268"/>
    <w:rsid w:val="05AE10EB"/>
    <w:rsid w:val="05BAFD5F"/>
    <w:rsid w:val="05D23DC1"/>
    <w:rsid w:val="05D2BABF"/>
    <w:rsid w:val="05E3EA70"/>
    <w:rsid w:val="0610D8CA"/>
    <w:rsid w:val="0624EE76"/>
    <w:rsid w:val="06278651"/>
    <w:rsid w:val="062946EA"/>
    <w:rsid w:val="062ABB3A"/>
    <w:rsid w:val="062E4F27"/>
    <w:rsid w:val="06529950"/>
    <w:rsid w:val="0661CF12"/>
    <w:rsid w:val="06644448"/>
    <w:rsid w:val="066EF32E"/>
    <w:rsid w:val="067AA8D0"/>
    <w:rsid w:val="067E3551"/>
    <w:rsid w:val="067E3CA4"/>
    <w:rsid w:val="067E8BA7"/>
    <w:rsid w:val="0681F91A"/>
    <w:rsid w:val="0684ED18"/>
    <w:rsid w:val="069F054C"/>
    <w:rsid w:val="06A81708"/>
    <w:rsid w:val="06A99BDD"/>
    <w:rsid w:val="06B0A089"/>
    <w:rsid w:val="06BA4414"/>
    <w:rsid w:val="06BB0DF3"/>
    <w:rsid w:val="06C0D3BE"/>
    <w:rsid w:val="06C37566"/>
    <w:rsid w:val="06CBBCB3"/>
    <w:rsid w:val="06D36C07"/>
    <w:rsid w:val="06D4C3E3"/>
    <w:rsid w:val="06DD1DBF"/>
    <w:rsid w:val="06E4CFCA"/>
    <w:rsid w:val="06E79AE7"/>
    <w:rsid w:val="06F702A6"/>
    <w:rsid w:val="06F761C5"/>
    <w:rsid w:val="07087768"/>
    <w:rsid w:val="070C1D89"/>
    <w:rsid w:val="0717FBB6"/>
    <w:rsid w:val="071E5896"/>
    <w:rsid w:val="073075E2"/>
    <w:rsid w:val="07310AB9"/>
    <w:rsid w:val="073E6EBD"/>
    <w:rsid w:val="07593B54"/>
    <w:rsid w:val="07686D9E"/>
    <w:rsid w:val="076D3572"/>
    <w:rsid w:val="076EEB4A"/>
    <w:rsid w:val="0776740B"/>
    <w:rsid w:val="078364E3"/>
    <w:rsid w:val="078595EF"/>
    <w:rsid w:val="078621C3"/>
    <w:rsid w:val="0791675A"/>
    <w:rsid w:val="0797A516"/>
    <w:rsid w:val="0798A879"/>
    <w:rsid w:val="07BC5E62"/>
    <w:rsid w:val="07C2D042"/>
    <w:rsid w:val="07D29D0C"/>
    <w:rsid w:val="07E49CCA"/>
    <w:rsid w:val="07ED531B"/>
    <w:rsid w:val="080025FF"/>
    <w:rsid w:val="0801364A"/>
    <w:rsid w:val="0808B98A"/>
    <w:rsid w:val="081BD999"/>
    <w:rsid w:val="0821935F"/>
    <w:rsid w:val="0827D3DC"/>
    <w:rsid w:val="082B7C92"/>
    <w:rsid w:val="083231B0"/>
    <w:rsid w:val="083AA900"/>
    <w:rsid w:val="084623C4"/>
    <w:rsid w:val="08493E80"/>
    <w:rsid w:val="085CA41F"/>
    <w:rsid w:val="08611594"/>
    <w:rsid w:val="0869D2D3"/>
    <w:rsid w:val="087847CC"/>
    <w:rsid w:val="0882E18F"/>
    <w:rsid w:val="08837A83"/>
    <w:rsid w:val="08886008"/>
    <w:rsid w:val="088872B1"/>
    <w:rsid w:val="088A6B31"/>
    <w:rsid w:val="08B824CE"/>
    <w:rsid w:val="08BCB9C4"/>
    <w:rsid w:val="08CC4643"/>
    <w:rsid w:val="08DF01F3"/>
    <w:rsid w:val="08E13C6C"/>
    <w:rsid w:val="08EBB8F6"/>
    <w:rsid w:val="08F965A8"/>
    <w:rsid w:val="091DDF16"/>
    <w:rsid w:val="09309C71"/>
    <w:rsid w:val="09386ED9"/>
    <w:rsid w:val="09427806"/>
    <w:rsid w:val="09496311"/>
    <w:rsid w:val="0952B491"/>
    <w:rsid w:val="096C5AF3"/>
    <w:rsid w:val="09739194"/>
    <w:rsid w:val="0975028C"/>
    <w:rsid w:val="097CE721"/>
    <w:rsid w:val="097F725E"/>
    <w:rsid w:val="0987285D"/>
    <w:rsid w:val="099D0C0A"/>
    <w:rsid w:val="09A7A4EF"/>
    <w:rsid w:val="09B766E2"/>
    <w:rsid w:val="09D9910C"/>
    <w:rsid w:val="09E05686"/>
    <w:rsid w:val="09E31A86"/>
    <w:rsid w:val="09F6A050"/>
    <w:rsid w:val="09F87480"/>
    <w:rsid w:val="09FF5746"/>
    <w:rsid w:val="09FFD324"/>
    <w:rsid w:val="0A07438B"/>
    <w:rsid w:val="0A086BF6"/>
    <w:rsid w:val="0A133650"/>
    <w:rsid w:val="0A22403C"/>
    <w:rsid w:val="0A2C9DBA"/>
    <w:rsid w:val="0A41E1F4"/>
    <w:rsid w:val="0A925439"/>
    <w:rsid w:val="0A927F4B"/>
    <w:rsid w:val="0A9290F2"/>
    <w:rsid w:val="0A9FF392"/>
    <w:rsid w:val="0AA0871A"/>
    <w:rsid w:val="0AA23820"/>
    <w:rsid w:val="0AA242EA"/>
    <w:rsid w:val="0AACFC52"/>
    <w:rsid w:val="0AB3F9AC"/>
    <w:rsid w:val="0ABF7E30"/>
    <w:rsid w:val="0AC90BFF"/>
    <w:rsid w:val="0AC9D0AB"/>
    <w:rsid w:val="0ACD0D90"/>
    <w:rsid w:val="0AD4024E"/>
    <w:rsid w:val="0AF09588"/>
    <w:rsid w:val="0AF5E614"/>
    <w:rsid w:val="0B0476DF"/>
    <w:rsid w:val="0B0B250E"/>
    <w:rsid w:val="0B11A72D"/>
    <w:rsid w:val="0B1289E9"/>
    <w:rsid w:val="0B17F819"/>
    <w:rsid w:val="0B1EA822"/>
    <w:rsid w:val="0B35499A"/>
    <w:rsid w:val="0B3D7BFF"/>
    <w:rsid w:val="0B4249F2"/>
    <w:rsid w:val="0B4D85E4"/>
    <w:rsid w:val="0B59574C"/>
    <w:rsid w:val="0B5E8352"/>
    <w:rsid w:val="0B618712"/>
    <w:rsid w:val="0B61DB4A"/>
    <w:rsid w:val="0B6DCB65"/>
    <w:rsid w:val="0B705726"/>
    <w:rsid w:val="0B7BE42C"/>
    <w:rsid w:val="0B7C7166"/>
    <w:rsid w:val="0B84055D"/>
    <w:rsid w:val="0B873C5F"/>
    <w:rsid w:val="0B8816AA"/>
    <w:rsid w:val="0B8AB15C"/>
    <w:rsid w:val="0B9D7BB3"/>
    <w:rsid w:val="0BA84A36"/>
    <w:rsid w:val="0BBB1B45"/>
    <w:rsid w:val="0BBCD524"/>
    <w:rsid w:val="0BC1C712"/>
    <w:rsid w:val="0BC27BEB"/>
    <w:rsid w:val="0BC8299E"/>
    <w:rsid w:val="0BCD2981"/>
    <w:rsid w:val="0BDD971B"/>
    <w:rsid w:val="0BE9ECDB"/>
    <w:rsid w:val="0BEDB903"/>
    <w:rsid w:val="0BF3CE91"/>
    <w:rsid w:val="0C0085DC"/>
    <w:rsid w:val="0C02822B"/>
    <w:rsid w:val="0C053C7E"/>
    <w:rsid w:val="0C0A2462"/>
    <w:rsid w:val="0C157A6F"/>
    <w:rsid w:val="0C173CEC"/>
    <w:rsid w:val="0C19A52A"/>
    <w:rsid w:val="0C3C0F50"/>
    <w:rsid w:val="0C3DDF4E"/>
    <w:rsid w:val="0C4843DB"/>
    <w:rsid w:val="0C6B1639"/>
    <w:rsid w:val="0C712555"/>
    <w:rsid w:val="0C7BF492"/>
    <w:rsid w:val="0C804D1F"/>
    <w:rsid w:val="0C9D4750"/>
    <w:rsid w:val="0CA1A6D3"/>
    <w:rsid w:val="0CA78E51"/>
    <w:rsid w:val="0CAAE6AB"/>
    <w:rsid w:val="0CC1B5DF"/>
    <w:rsid w:val="0CCAB21C"/>
    <w:rsid w:val="0CCE963E"/>
    <w:rsid w:val="0CDC17AA"/>
    <w:rsid w:val="0CDD93DD"/>
    <w:rsid w:val="0CF8BB1D"/>
    <w:rsid w:val="0D002BDA"/>
    <w:rsid w:val="0D0A74AB"/>
    <w:rsid w:val="0D0CE2C9"/>
    <w:rsid w:val="0D297D53"/>
    <w:rsid w:val="0D3AB9BC"/>
    <w:rsid w:val="0D3DB40E"/>
    <w:rsid w:val="0D445009"/>
    <w:rsid w:val="0D484829"/>
    <w:rsid w:val="0D545F88"/>
    <w:rsid w:val="0D598976"/>
    <w:rsid w:val="0D5DFB89"/>
    <w:rsid w:val="0D6DC240"/>
    <w:rsid w:val="0D7010F5"/>
    <w:rsid w:val="0D738F96"/>
    <w:rsid w:val="0D83A66C"/>
    <w:rsid w:val="0D8B0229"/>
    <w:rsid w:val="0D9FB766"/>
    <w:rsid w:val="0DA635A0"/>
    <w:rsid w:val="0DA77217"/>
    <w:rsid w:val="0DB1A50C"/>
    <w:rsid w:val="0DC1B8AC"/>
    <w:rsid w:val="0DC3FA49"/>
    <w:rsid w:val="0DD1BE58"/>
    <w:rsid w:val="0DD34FED"/>
    <w:rsid w:val="0DDEA3DD"/>
    <w:rsid w:val="0DDEB38E"/>
    <w:rsid w:val="0DE50B47"/>
    <w:rsid w:val="0DED6813"/>
    <w:rsid w:val="0DF275AE"/>
    <w:rsid w:val="0E09FC72"/>
    <w:rsid w:val="0E0F0144"/>
    <w:rsid w:val="0E18DD86"/>
    <w:rsid w:val="0E19A53A"/>
    <w:rsid w:val="0E29CDB3"/>
    <w:rsid w:val="0E335798"/>
    <w:rsid w:val="0E3C932D"/>
    <w:rsid w:val="0E3D2681"/>
    <w:rsid w:val="0E486E34"/>
    <w:rsid w:val="0E56DFD3"/>
    <w:rsid w:val="0E67A809"/>
    <w:rsid w:val="0E6F9548"/>
    <w:rsid w:val="0E83F7E0"/>
    <w:rsid w:val="0E8C21AA"/>
    <w:rsid w:val="0E920071"/>
    <w:rsid w:val="0E9593CD"/>
    <w:rsid w:val="0EAA8CC1"/>
    <w:rsid w:val="0EB384EE"/>
    <w:rsid w:val="0EC50AFB"/>
    <w:rsid w:val="0EC533F8"/>
    <w:rsid w:val="0EC9AF30"/>
    <w:rsid w:val="0ED2C869"/>
    <w:rsid w:val="0EE21FD0"/>
    <w:rsid w:val="0EED26A0"/>
    <w:rsid w:val="0EF02767"/>
    <w:rsid w:val="0EF066F8"/>
    <w:rsid w:val="0F09DFC7"/>
    <w:rsid w:val="0F11BF78"/>
    <w:rsid w:val="0F18A6C5"/>
    <w:rsid w:val="0F19E7A8"/>
    <w:rsid w:val="0F1C06D2"/>
    <w:rsid w:val="0F1E06E1"/>
    <w:rsid w:val="0F22FC2A"/>
    <w:rsid w:val="0F23AFD7"/>
    <w:rsid w:val="0F25A1CF"/>
    <w:rsid w:val="0F290A00"/>
    <w:rsid w:val="0F2AE17D"/>
    <w:rsid w:val="0F340E55"/>
    <w:rsid w:val="0F38E59A"/>
    <w:rsid w:val="0F3D5DAB"/>
    <w:rsid w:val="0F41EA7E"/>
    <w:rsid w:val="0F467D9E"/>
    <w:rsid w:val="0F5B4417"/>
    <w:rsid w:val="0F5C512B"/>
    <w:rsid w:val="0F670781"/>
    <w:rsid w:val="0F7CE6AE"/>
    <w:rsid w:val="0F8FECE1"/>
    <w:rsid w:val="0F913136"/>
    <w:rsid w:val="0F98CDE3"/>
    <w:rsid w:val="0FA68039"/>
    <w:rsid w:val="0FA791BA"/>
    <w:rsid w:val="0FAD0BFE"/>
    <w:rsid w:val="0FB35309"/>
    <w:rsid w:val="0FBEECAE"/>
    <w:rsid w:val="0FEE4989"/>
    <w:rsid w:val="0FFC73CA"/>
    <w:rsid w:val="0FFD1352"/>
    <w:rsid w:val="1007DCD7"/>
    <w:rsid w:val="100B5774"/>
    <w:rsid w:val="10152AE8"/>
    <w:rsid w:val="1015EB1D"/>
    <w:rsid w:val="101662ED"/>
    <w:rsid w:val="1022A5E9"/>
    <w:rsid w:val="1026EB7E"/>
    <w:rsid w:val="1030AE4E"/>
    <w:rsid w:val="1047B993"/>
    <w:rsid w:val="104DD518"/>
    <w:rsid w:val="106A3775"/>
    <w:rsid w:val="106AB37D"/>
    <w:rsid w:val="107424ED"/>
    <w:rsid w:val="107DD09F"/>
    <w:rsid w:val="1084FE92"/>
    <w:rsid w:val="1094CEDD"/>
    <w:rsid w:val="10A203B5"/>
    <w:rsid w:val="10AD8FD9"/>
    <w:rsid w:val="10B12F0B"/>
    <w:rsid w:val="10BC2908"/>
    <w:rsid w:val="10BEDB07"/>
    <w:rsid w:val="10C19BAB"/>
    <w:rsid w:val="10C44AE9"/>
    <w:rsid w:val="10CB20FC"/>
    <w:rsid w:val="10D60FB9"/>
    <w:rsid w:val="10DAE6E9"/>
    <w:rsid w:val="10EAF56E"/>
    <w:rsid w:val="10EE7624"/>
    <w:rsid w:val="110D84A6"/>
    <w:rsid w:val="110DE539"/>
    <w:rsid w:val="11111ECC"/>
    <w:rsid w:val="111333D6"/>
    <w:rsid w:val="11186314"/>
    <w:rsid w:val="111EE28D"/>
    <w:rsid w:val="113B2A09"/>
    <w:rsid w:val="1141508B"/>
    <w:rsid w:val="1143621B"/>
    <w:rsid w:val="114B0C9A"/>
    <w:rsid w:val="1161FFBE"/>
    <w:rsid w:val="116870D1"/>
    <w:rsid w:val="1169EFB7"/>
    <w:rsid w:val="116B4E4C"/>
    <w:rsid w:val="116E76FC"/>
    <w:rsid w:val="1178C2F4"/>
    <w:rsid w:val="11826E41"/>
    <w:rsid w:val="11829D83"/>
    <w:rsid w:val="11965A0D"/>
    <w:rsid w:val="11972C8E"/>
    <w:rsid w:val="119DCE0C"/>
    <w:rsid w:val="11A07ADA"/>
    <w:rsid w:val="11ACAD23"/>
    <w:rsid w:val="11B28795"/>
    <w:rsid w:val="11B4B9E7"/>
    <w:rsid w:val="11B5C2A6"/>
    <w:rsid w:val="11C3A94C"/>
    <w:rsid w:val="11C57C73"/>
    <w:rsid w:val="11C99543"/>
    <w:rsid w:val="11CA3511"/>
    <w:rsid w:val="11CCED9E"/>
    <w:rsid w:val="11E00839"/>
    <w:rsid w:val="11E16386"/>
    <w:rsid w:val="11E9A579"/>
    <w:rsid w:val="11ED7F0C"/>
    <w:rsid w:val="11F142C8"/>
    <w:rsid w:val="11F18D38"/>
    <w:rsid w:val="120865FF"/>
    <w:rsid w:val="122E4107"/>
    <w:rsid w:val="1231D8C6"/>
    <w:rsid w:val="1246D1F5"/>
    <w:rsid w:val="1248DEA7"/>
    <w:rsid w:val="1251D92D"/>
    <w:rsid w:val="125B7398"/>
    <w:rsid w:val="1267A97F"/>
    <w:rsid w:val="126DB417"/>
    <w:rsid w:val="12701D62"/>
    <w:rsid w:val="129ADD87"/>
    <w:rsid w:val="129B2DC5"/>
    <w:rsid w:val="12A4074C"/>
    <w:rsid w:val="12BF9100"/>
    <w:rsid w:val="12DB6AF2"/>
    <w:rsid w:val="12DF8420"/>
    <w:rsid w:val="12F90F6B"/>
    <w:rsid w:val="1306B1E0"/>
    <w:rsid w:val="1318691D"/>
    <w:rsid w:val="132436A4"/>
    <w:rsid w:val="133112B6"/>
    <w:rsid w:val="1334B414"/>
    <w:rsid w:val="1336E277"/>
    <w:rsid w:val="13408A5F"/>
    <w:rsid w:val="1362EAAA"/>
    <w:rsid w:val="1370C88C"/>
    <w:rsid w:val="13A9CE64"/>
    <w:rsid w:val="13B32FAD"/>
    <w:rsid w:val="13B86392"/>
    <w:rsid w:val="13B8A0EE"/>
    <w:rsid w:val="13BC643B"/>
    <w:rsid w:val="13C53468"/>
    <w:rsid w:val="13CD81BC"/>
    <w:rsid w:val="13E458A9"/>
    <w:rsid w:val="13E5D946"/>
    <w:rsid w:val="1436749C"/>
    <w:rsid w:val="144879EB"/>
    <w:rsid w:val="144A12AB"/>
    <w:rsid w:val="14546AAD"/>
    <w:rsid w:val="14591DA6"/>
    <w:rsid w:val="1465ED40"/>
    <w:rsid w:val="1479A938"/>
    <w:rsid w:val="149A7799"/>
    <w:rsid w:val="14A28241"/>
    <w:rsid w:val="14A9F6E7"/>
    <w:rsid w:val="14BFCEA1"/>
    <w:rsid w:val="14BFF656"/>
    <w:rsid w:val="14C288B2"/>
    <w:rsid w:val="14DB7292"/>
    <w:rsid w:val="14DDA360"/>
    <w:rsid w:val="14EB685A"/>
    <w:rsid w:val="14F215DD"/>
    <w:rsid w:val="14F34F26"/>
    <w:rsid w:val="14F544DB"/>
    <w:rsid w:val="14FC4BEA"/>
    <w:rsid w:val="15029EFE"/>
    <w:rsid w:val="1514CAD6"/>
    <w:rsid w:val="1516A1DD"/>
    <w:rsid w:val="15194233"/>
    <w:rsid w:val="151978DF"/>
    <w:rsid w:val="1519AFA9"/>
    <w:rsid w:val="15281C57"/>
    <w:rsid w:val="154AA486"/>
    <w:rsid w:val="154AE1F1"/>
    <w:rsid w:val="1554C9B7"/>
    <w:rsid w:val="1569521D"/>
    <w:rsid w:val="157C2C32"/>
    <w:rsid w:val="157F937E"/>
    <w:rsid w:val="1587B4F7"/>
    <w:rsid w:val="158D9BAF"/>
    <w:rsid w:val="159E2E74"/>
    <w:rsid w:val="15AAED92"/>
    <w:rsid w:val="15B5DA63"/>
    <w:rsid w:val="15BC5CB5"/>
    <w:rsid w:val="15D9CCCC"/>
    <w:rsid w:val="15E1C430"/>
    <w:rsid w:val="15F51FDD"/>
    <w:rsid w:val="15F9FF6E"/>
    <w:rsid w:val="16118F35"/>
    <w:rsid w:val="1611F87F"/>
    <w:rsid w:val="161BD00F"/>
    <w:rsid w:val="161D97C9"/>
    <w:rsid w:val="1626A9BA"/>
    <w:rsid w:val="164DC8AD"/>
    <w:rsid w:val="165D8B0D"/>
    <w:rsid w:val="1660C6FE"/>
    <w:rsid w:val="166445FE"/>
    <w:rsid w:val="1666B4C7"/>
    <w:rsid w:val="166B7EA6"/>
    <w:rsid w:val="167AFDD9"/>
    <w:rsid w:val="167CDB04"/>
    <w:rsid w:val="1687BDEF"/>
    <w:rsid w:val="168A5313"/>
    <w:rsid w:val="16948AE3"/>
    <w:rsid w:val="16971A6F"/>
    <w:rsid w:val="169B16A2"/>
    <w:rsid w:val="16A2A36E"/>
    <w:rsid w:val="16B7C4E3"/>
    <w:rsid w:val="16BAD82D"/>
    <w:rsid w:val="16BB98B8"/>
    <w:rsid w:val="16C5720F"/>
    <w:rsid w:val="16CB8445"/>
    <w:rsid w:val="16E16F26"/>
    <w:rsid w:val="16F2EA63"/>
    <w:rsid w:val="16F404FD"/>
    <w:rsid w:val="170146CF"/>
    <w:rsid w:val="17023675"/>
    <w:rsid w:val="170518C3"/>
    <w:rsid w:val="170F2618"/>
    <w:rsid w:val="1711190D"/>
    <w:rsid w:val="1712FE7B"/>
    <w:rsid w:val="17218F30"/>
    <w:rsid w:val="17441AB9"/>
    <w:rsid w:val="17464FF5"/>
    <w:rsid w:val="174D4D57"/>
    <w:rsid w:val="1751A9E9"/>
    <w:rsid w:val="1754E026"/>
    <w:rsid w:val="175899C5"/>
    <w:rsid w:val="17593326"/>
    <w:rsid w:val="1759AFD8"/>
    <w:rsid w:val="175B91AD"/>
    <w:rsid w:val="1760934E"/>
    <w:rsid w:val="1764D283"/>
    <w:rsid w:val="176BAD15"/>
    <w:rsid w:val="1772C24D"/>
    <w:rsid w:val="177303E8"/>
    <w:rsid w:val="17809FD1"/>
    <w:rsid w:val="178384DE"/>
    <w:rsid w:val="178FCE30"/>
    <w:rsid w:val="17A44896"/>
    <w:rsid w:val="17A478B8"/>
    <w:rsid w:val="17AB8F8C"/>
    <w:rsid w:val="17ACC48E"/>
    <w:rsid w:val="17B86747"/>
    <w:rsid w:val="17DD1FF3"/>
    <w:rsid w:val="17E45EA6"/>
    <w:rsid w:val="17E898F5"/>
    <w:rsid w:val="17F25FDD"/>
    <w:rsid w:val="17F38F8E"/>
    <w:rsid w:val="17F9AD39"/>
    <w:rsid w:val="180880F4"/>
    <w:rsid w:val="180FACAE"/>
    <w:rsid w:val="180FBC5E"/>
    <w:rsid w:val="181ACE15"/>
    <w:rsid w:val="181C1076"/>
    <w:rsid w:val="181C47D6"/>
    <w:rsid w:val="182B9AD5"/>
    <w:rsid w:val="185E24CE"/>
    <w:rsid w:val="1862D05A"/>
    <w:rsid w:val="186D31E2"/>
    <w:rsid w:val="1874255B"/>
    <w:rsid w:val="188213DA"/>
    <w:rsid w:val="188B7AE3"/>
    <w:rsid w:val="188C1334"/>
    <w:rsid w:val="188ED310"/>
    <w:rsid w:val="18A7C5C9"/>
    <w:rsid w:val="18A8638F"/>
    <w:rsid w:val="18ACE439"/>
    <w:rsid w:val="18B41A37"/>
    <w:rsid w:val="18C6445F"/>
    <w:rsid w:val="18CB5910"/>
    <w:rsid w:val="18CB9BA6"/>
    <w:rsid w:val="18CFDB9D"/>
    <w:rsid w:val="18D46D6C"/>
    <w:rsid w:val="18DF2811"/>
    <w:rsid w:val="18E58402"/>
    <w:rsid w:val="18E900FE"/>
    <w:rsid w:val="18EF5CC2"/>
    <w:rsid w:val="19228F40"/>
    <w:rsid w:val="19291CC1"/>
    <w:rsid w:val="193113EF"/>
    <w:rsid w:val="194353D7"/>
    <w:rsid w:val="1946102C"/>
    <w:rsid w:val="19475FED"/>
    <w:rsid w:val="19480378"/>
    <w:rsid w:val="194FCDDC"/>
    <w:rsid w:val="19551216"/>
    <w:rsid w:val="196062F2"/>
    <w:rsid w:val="19783F64"/>
    <w:rsid w:val="197AC5A3"/>
    <w:rsid w:val="19802CB9"/>
    <w:rsid w:val="1984A8C0"/>
    <w:rsid w:val="1989B64A"/>
    <w:rsid w:val="19A9D568"/>
    <w:rsid w:val="19B0BB0E"/>
    <w:rsid w:val="19C3CE8F"/>
    <w:rsid w:val="19CB8ECA"/>
    <w:rsid w:val="19D546F6"/>
    <w:rsid w:val="19DA0093"/>
    <w:rsid w:val="19DC0184"/>
    <w:rsid w:val="19DD9FBB"/>
    <w:rsid w:val="19DEE81F"/>
    <w:rsid w:val="19EF9782"/>
    <w:rsid w:val="19F4B75E"/>
    <w:rsid w:val="19F87DE2"/>
    <w:rsid w:val="19FA6C4C"/>
    <w:rsid w:val="19FBB063"/>
    <w:rsid w:val="1A1162C8"/>
    <w:rsid w:val="1A12F14F"/>
    <w:rsid w:val="1A3CD846"/>
    <w:rsid w:val="1A48B9CF"/>
    <w:rsid w:val="1A692503"/>
    <w:rsid w:val="1A802306"/>
    <w:rsid w:val="1A81F7EC"/>
    <w:rsid w:val="1A86188E"/>
    <w:rsid w:val="1A8653B6"/>
    <w:rsid w:val="1A8E4018"/>
    <w:rsid w:val="1A8EE574"/>
    <w:rsid w:val="1A971903"/>
    <w:rsid w:val="1A9828F6"/>
    <w:rsid w:val="1A989FA7"/>
    <w:rsid w:val="1A9CE62F"/>
    <w:rsid w:val="1ABB65A9"/>
    <w:rsid w:val="1AD0F8B6"/>
    <w:rsid w:val="1AD79449"/>
    <w:rsid w:val="1AE69782"/>
    <w:rsid w:val="1AE70E79"/>
    <w:rsid w:val="1AE98292"/>
    <w:rsid w:val="1AEE3D8E"/>
    <w:rsid w:val="1AF7FB03"/>
    <w:rsid w:val="1AFE2CB9"/>
    <w:rsid w:val="1B20DCBE"/>
    <w:rsid w:val="1B2207EF"/>
    <w:rsid w:val="1B2EB5A2"/>
    <w:rsid w:val="1B32F9C8"/>
    <w:rsid w:val="1B39540F"/>
    <w:rsid w:val="1B3DBFDB"/>
    <w:rsid w:val="1B43052D"/>
    <w:rsid w:val="1B437C8F"/>
    <w:rsid w:val="1B5A5333"/>
    <w:rsid w:val="1B5C29FE"/>
    <w:rsid w:val="1B67FC06"/>
    <w:rsid w:val="1B7F7A5F"/>
    <w:rsid w:val="1B84441B"/>
    <w:rsid w:val="1B866289"/>
    <w:rsid w:val="1B875360"/>
    <w:rsid w:val="1B973E2C"/>
    <w:rsid w:val="1BA31C2E"/>
    <w:rsid w:val="1BC30AE9"/>
    <w:rsid w:val="1BDA8557"/>
    <w:rsid w:val="1BDD8C9A"/>
    <w:rsid w:val="1BDE24C3"/>
    <w:rsid w:val="1BE11715"/>
    <w:rsid w:val="1BE187F2"/>
    <w:rsid w:val="1BE629E2"/>
    <w:rsid w:val="1BEC3255"/>
    <w:rsid w:val="1BF0A214"/>
    <w:rsid w:val="1BF13EFB"/>
    <w:rsid w:val="1BF46BE6"/>
    <w:rsid w:val="1C031C86"/>
    <w:rsid w:val="1C09E848"/>
    <w:rsid w:val="1C1A50AD"/>
    <w:rsid w:val="1C24BF23"/>
    <w:rsid w:val="1C302CEF"/>
    <w:rsid w:val="1C3D4217"/>
    <w:rsid w:val="1C619C9F"/>
    <w:rsid w:val="1C67952E"/>
    <w:rsid w:val="1C6C1630"/>
    <w:rsid w:val="1C6D2952"/>
    <w:rsid w:val="1C766E5D"/>
    <w:rsid w:val="1C9492B0"/>
    <w:rsid w:val="1CA5161F"/>
    <w:rsid w:val="1CADE887"/>
    <w:rsid w:val="1CAF86F5"/>
    <w:rsid w:val="1CB304EE"/>
    <w:rsid w:val="1CB38FB7"/>
    <w:rsid w:val="1CBA39F0"/>
    <w:rsid w:val="1CC46564"/>
    <w:rsid w:val="1CCC6B15"/>
    <w:rsid w:val="1CD1EDF3"/>
    <w:rsid w:val="1CD52470"/>
    <w:rsid w:val="1CE3FF65"/>
    <w:rsid w:val="1CF53A3C"/>
    <w:rsid w:val="1CF5D145"/>
    <w:rsid w:val="1D1098BF"/>
    <w:rsid w:val="1D160656"/>
    <w:rsid w:val="1D17E405"/>
    <w:rsid w:val="1D21C06C"/>
    <w:rsid w:val="1D2F9220"/>
    <w:rsid w:val="1D529EB7"/>
    <w:rsid w:val="1D637199"/>
    <w:rsid w:val="1D92CA7B"/>
    <w:rsid w:val="1D9E2606"/>
    <w:rsid w:val="1DBA3D69"/>
    <w:rsid w:val="1DC5FD2C"/>
    <w:rsid w:val="1E06FA5A"/>
    <w:rsid w:val="1E0E99D1"/>
    <w:rsid w:val="1E12D629"/>
    <w:rsid w:val="1E1CA88C"/>
    <w:rsid w:val="1E1E9D2F"/>
    <w:rsid w:val="1E20D3A2"/>
    <w:rsid w:val="1E249734"/>
    <w:rsid w:val="1E2BDA29"/>
    <w:rsid w:val="1E4190D6"/>
    <w:rsid w:val="1E563D56"/>
    <w:rsid w:val="1E57140C"/>
    <w:rsid w:val="1E791C86"/>
    <w:rsid w:val="1E7EFDE2"/>
    <w:rsid w:val="1E8903F7"/>
    <w:rsid w:val="1E983FEC"/>
    <w:rsid w:val="1E98F823"/>
    <w:rsid w:val="1EB39156"/>
    <w:rsid w:val="1EB4C9DF"/>
    <w:rsid w:val="1EB5DA32"/>
    <w:rsid w:val="1EBAD67D"/>
    <w:rsid w:val="1EBDE33F"/>
    <w:rsid w:val="1ECA3E2E"/>
    <w:rsid w:val="1ED52A90"/>
    <w:rsid w:val="1EDAEA70"/>
    <w:rsid w:val="1EE6D33F"/>
    <w:rsid w:val="1EF7210C"/>
    <w:rsid w:val="1EFDC7B2"/>
    <w:rsid w:val="1F1C4C8E"/>
    <w:rsid w:val="1F4226D3"/>
    <w:rsid w:val="1F4682FF"/>
    <w:rsid w:val="1F536ECB"/>
    <w:rsid w:val="1F565A86"/>
    <w:rsid w:val="1F660C46"/>
    <w:rsid w:val="1F6A8A26"/>
    <w:rsid w:val="1FA3D706"/>
    <w:rsid w:val="1FC402A7"/>
    <w:rsid w:val="1FC5C452"/>
    <w:rsid w:val="1FCB6486"/>
    <w:rsid w:val="1FCD0D9C"/>
    <w:rsid w:val="1FD30084"/>
    <w:rsid w:val="1FD9B569"/>
    <w:rsid w:val="1FF23975"/>
    <w:rsid w:val="1FF541A3"/>
    <w:rsid w:val="1FFD7629"/>
    <w:rsid w:val="2001A5E6"/>
    <w:rsid w:val="200A7CCF"/>
    <w:rsid w:val="20107643"/>
    <w:rsid w:val="2013D1A2"/>
    <w:rsid w:val="2016D16B"/>
    <w:rsid w:val="201BA635"/>
    <w:rsid w:val="203C1F99"/>
    <w:rsid w:val="2048922B"/>
    <w:rsid w:val="205E494E"/>
    <w:rsid w:val="206A1958"/>
    <w:rsid w:val="2078467B"/>
    <w:rsid w:val="208832E0"/>
    <w:rsid w:val="208B2832"/>
    <w:rsid w:val="209E6E56"/>
    <w:rsid w:val="20A7D633"/>
    <w:rsid w:val="20A8E8FB"/>
    <w:rsid w:val="20B27CF2"/>
    <w:rsid w:val="20C88500"/>
    <w:rsid w:val="20CE3E1B"/>
    <w:rsid w:val="20D8EC48"/>
    <w:rsid w:val="20E94B96"/>
    <w:rsid w:val="20F7C33E"/>
    <w:rsid w:val="20FAAF83"/>
    <w:rsid w:val="20FB4F62"/>
    <w:rsid w:val="20FD9DEE"/>
    <w:rsid w:val="212302D4"/>
    <w:rsid w:val="212DD9EE"/>
    <w:rsid w:val="2136A5F2"/>
    <w:rsid w:val="213701FD"/>
    <w:rsid w:val="2137F993"/>
    <w:rsid w:val="21419878"/>
    <w:rsid w:val="2146061B"/>
    <w:rsid w:val="214915A2"/>
    <w:rsid w:val="214BE33F"/>
    <w:rsid w:val="216734E7"/>
    <w:rsid w:val="21733634"/>
    <w:rsid w:val="2176E51C"/>
    <w:rsid w:val="21798404"/>
    <w:rsid w:val="218C001D"/>
    <w:rsid w:val="218F7A45"/>
    <w:rsid w:val="219D7647"/>
    <w:rsid w:val="219FEF22"/>
    <w:rsid w:val="21A73C1B"/>
    <w:rsid w:val="21AC5CD5"/>
    <w:rsid w:val="21B75B21"/>
    <w:rsid w:val="21BB456C"/>
    <w:rsid w:val="21C8AB5F"/>
    <w:rsid w:val="21D32DFB"/>
    <w:rsid w:val="21DADAAD"/>
    <w:rsid w:val="21E32BD0"/>
    <w:rsid w:val="21F85704"/>
    <w:rsid w:val="2202AD10"/>
    <w:rsid w:val="22031C1D"/>
    <w:rsid w:val="2208BF08"/>
    <w:rsid w:val="2208D51C"/>
    <w:rsid w:val="220A789D"/>
    <w:rsid w:val="220CE0CD"/>
    <w:rsid w:val="220E84AC"/>
    <w:rsid w:val="2217CF54"/>
    <w:rsid w:val="2227825B"/>
    <w:rsid w:val="222A7A2E"/>
    <w:rsid w:val="222DD588"/>
    <w:rsid w:val="222F45BC"/>
    <w:rsid w:val="2230D620"/>
    <w:rsid w:val="2231F14C"/>
    <w:rsid w:val="223C9FD3"/>
    <w:rsid w:val="22423447"/>
    <w:rsid w:val="22424299"/>
    <w:rsid w:val="224FEFC1"/>
    <w:rsid w:val="2277A9AE"/>
    <w:rsid w:val="2278F0F6"/>
    <w:rsid w:val="22877A61"/>
    <w:rsid w:val="22A1B1BE"/>
    <w:rsid w:val="22D55521"/>
    <w:rsid w:val="22E2F274"/>
    <w:rsid w:val="23030548"/>
    <w:rsid w:val="23076EB4"/>
    <w:rsid w:val="231F96DF"/>
    <w:rsid w:val="232345C1"/>
    <w:rsid w:val="23277F53"/>
    <w:rsid w:val="233516EB"/>
    <w:rsid w:val="233BBF83"/>
    <w:rsid w:val="234465F4"/>
    <w:rsid w:val="2346C3A4"/>
    <w:rsid w:val="2347738D"/>
    <w:rsid w:val="234CD5FC"/>
    <w:rsid w:val="2350FDAD"/>
    <w:rsid w:val="235340E9"/>
    <w:rsid w:val="2356867C"/>
    <w:rsid w:val="235857BF"/>
    <w:rsid w:val="236700DE"/>
    <w:rsid w:val="238E8A3C"/>
    <w:rsid w:val="2399A7DC"/>
    <w:rsid w:val="239FAA55"/>
    <w:rsid w:val="23A610A5"/>
    <w:rsid w:val="23AC87D4"/>
    <w:rsid w:val="23BBFBBD"/>
    <w:rsid w:val="23CB5A60"/>
    <w:rsid w:val="23D2B7A9"/>
    <w:rsid w:val="23F0D82A"/>
    <w:rsid w:val="23F60FC3"/>
    <w:rsid w:val="24081D2D"/>
    <w:rsid w:val="2408C219"/>
    <w:rsid w:val="2416F2E0"/>
    <w:rsid w:val="241CC185"/>
    <w:rsid w:val="242A8F23"/>
    <w:rsid w:val="2433EFA2"/>
    <w:rsid w:val="24423A2F"/>
    <w:rsid w:val="244B967F"/>
    <w:rsid w:val="2450F5BB"/>
    <w:rsid w:val="246D90BE"/>
    <w:rsid w:val="2470DC7A"/>
    <w:rsid w:val="247B3906"/>
    <w:rsid w:val="247FC882"/>
    <w:rsid w:val="2489FFCC"/>
    <w:rsid w:val="24995EE8"/>
    <w:rsid w:val="249C94CB"/>
    <w:rsid w:val="249F91D4"/>
    <w:rsid w:val="24A05941"/>
    <w:rsid w:val="24A8FDFF"/>
    <w:rsid w:val="24AA9AF5"/>
    <w:rsid w:val="24B7068A"/>
    <w:rsid w:val="24DB8995"/>
    <w:rsid w:val="24DC4415"/>
    <w:rsid w:val="24E16B21"/>
    <w:rsid w:val="24EF114A"/>
    <w:rsid w:val="24F2460B"/>
    <w:rsid w:val="24F353F6"/>
    <w:rsid w:val="24F9C690"/>
    <w:rsid w:val="24FC8737"/>
    <w:rsid w:val="24FEA059"/>
    <w:rsid w:val="25003BBC"/>
    <w:rsid w:val="2506D3F6"/>
    <w:rsid w:val="250CA5AD"/>
    <w:rsid w:val="250F5E8A"/>
    <w:rsid w:val="250F8125"/>
    <w:rsid w:val="251A9B31"/>
    <w:rsid w:val="25438BAB"/>
    <w:rsid w:val="2543E7B9"/>
    <w:rsid w:val="254A6E91"/>
    <w:rsid w:val="255A0126"/>
    <w:rsid w:val="256815CA"/>
    <w:rsid w:val="25683F7F"/>
    <w:rsid w:val="2569920E"/>
    <w:rsid w:val="25731B58"/>
    <w:rsid w:val="257EF8E4"/>
    <w:rsid w:val="259C2774"/>
    <w:rsid w:val="259EAD7C"/>
    <w:rsid w:val="25B39670"/>
    <w:rsid w:val="25BDAB19"/>
    <w:rsid w:val="25C7BB95"/>
    <w:rsid w:val="25E517BC"/>
    <w:rsid w:val="25F9920C"/>
    <w:rsid w:val="26070761"/>
    <w:rsid w:val="2608AED2"/>
    <w:rsid w:val="2617E4D5"/>
    <w:rsid w:val="2621C931"/>
    <w:rsid w:val="262532C9"/>
    <w:rsid w:val="2631CB67"/>
    <w:rsid w:val="2631EBC5"/>
    <w:rsid w:val="26334AA2"/>
    <w:rsid w:val="263790DD"/>
    <w:rsid w:val="263CB0C6"/>
    <w:rsid w:val="2650386D"/>
    <w:rsid w:val="2669AC00"/>
    <w:rsid w:val="26791729"/>
    <w:rsid w:val="2682B521"/>
    <w:rsid w:val="2685682E"/>
    <w:rsid w:val="26985546"/>
    <w:rsid w:val="26AAA90E"/>
    <w:rsid w:val="26AEC847"/>
    <w:rsid w:val="26D10207"/>
    <w:rsid w:val="26D9AA08"/>
    <w:rsid w:val="26DBF3B4"/>
    <w:rsid w:val="26E051F0"/>
    <w:rsid w:val="26E97F47"/>
    <w:rsid w:val="26F752CF"/>
    <w:rsid w:val="26FFEFB5"/>
    <w:rsid w:val="2704A948"/>
    <w:rsid w:val="2706BDE2"/>
    <w:rsid w:val="271D65D5"/>
    <w:rsid w:val="271D6AAD"/>
    <w:rsid w:val="2746BAAC"/>
    <w:rsid w:val="274DE8C3"/>
    <w:rsid w:val="2755FEE0"/>
    <w:rsid w:val="2759206A"/>
    <w:rsid w:val="277645FD"/>
    <w:rsid w:val="2780EDF9"/>
    <w:rsid w:val="27A2325D"/>
    <w:rsid w:val="27A4C8D5"/>
    <w:rsid w:val="27AF23E8"/>
    <w:rsid w:val="27B03E24"/>
    <w:rsid w:val="27B76944"/>
    <w:rsid w:val="27C532BE"/>
    <w:rsid w:val="27D69F4B"/>
    <w:rsid w:val="27E23BB7"/>
    <w:rsid w:val="27EF5FB1"/>
    <w:rsid w:val="27EF6785"/>
    <w:rsid w:val="27F42583"/>
    <w:rsid w:val="2804B4BA"/>
    <w:rsid w:val="2807D56C"/>
    <w:rsid w:val="28161DCE"/>
    <w:rsid w:val="2817C26E"/>
    <w:rsid w:val="281AE4B0"/>
    <w:rsid w:val="281BD637"/>
    <w:rsid w:val="281E4E2B"/>
    <w:rsid w:val="2827BDF6"/>
    <w:rsid w:val="28284D04"/>
    <w:rsid w:val="2836A33E"/>
    <w:rsid w:val="2837FEF1"/>
    <w:rsid w:val="283C8314"/>
    <w:rsid w:val="284A8C66"/>
    <w:rsid w:val="2858C637"/>
    <w:rsid w:val="28597A82"/>
    <w:rsid w:val="2860A265"/>
    <w:rsid w:val="286876D9"/>
    <w:rsid w:val="2875AEBF"/>
    <w:rsid w:val="28802A73"/>
    <w:rsid w:val="28854FA8"/>
    <w:rsid w:val="288A016A"/>
    <w:rsid w:val="288F6CE0"/>
    <w:rsid w:val="28AF873E"/>
    <w:rsid w:val="28BEC4A6"/>
    <w:rsid w:val="28C7C476"/>
    <w:rsid w:val="28CB4E30"/>
    <w:rsid w:val="28DC237E"/>
    <w:rsid w:val="28EED82B"/>
    <w:rsid w:val="29007BA1"/>
    <w:rsid w:val="29024F3A"/>
    <w:rsid w:val="2902C8D7"/>
    <w:rsid w:val="29049317"/>
    <w:rsid w:val="29161782"/>
    <w:rsid w:val="29232D15"/>
    <w:rsid w:val="2932FCF2"/>
    <w:rsid w:val="293C4A48"/>
    <w:rsid w:val="2943C71C"/>
    <w:rsid w:val="2957E1E7"/>
    <w:rsid w:val="296B73CF"/>
    <w:rsid w:val="296C8550"/>
    <w:rsid w:val="298D9D81"/>
    <w:rsid w:val="298E4A19"/>
    <w:rsid w:val="298F9CA5"/>
    <w:rsid w:val="299A844E"/>
    <w:rsid w:val="299C6AE9"/>
    <w:rsid w:val="29A3C22D"/>
    <w:rsid w:val="29B3AA9A"/>
    <w:rsid w:val="29CCF444"/>
    <w:rsid w:val="29D483D2"/>
    <w:rsid w:val="29D64262"/>
    <w:rsid w:val="29E3331E"/>
    <w:rsid w:val="29E4BBD7"/>
    <w:rsid w:val="29E8DFDF"/>
    <w:rsid w:val="29F49698"/>
    <w:rsid w:val="29FD0899"/>
    <w:rsid w:val="29FEAD26"/>
    <w:rsid w:val="2A04473A"/>
    <w:rsid w:val="2A07DB90"/>
    <w:rsid w:val="2A0BDA0C"/>
    <w:rsid w:val="2A212009"/>
    <w:rsid w:val="2A2B6EAC"/>
    <w:rsid w:val="2A431079"/>
    <w:rsid w:val="2A45BB2D"/>
    <w:rsid w:val="2A46A324"/>
    <w:rsid w:val="2A52AFED"/>
    <w:rsid w:val="2A669184"/>
    <w:rsid w:val="2A729702"/>
    <w:rsid w:val="2A80BAF6"/>
    <w:rsid w:val="2A8E4CD3"/>
    <w:rsid w:val="2A93DE6A"/>
    <w:rsid w:val="2AA06378"/>
    <w:rsid w:val="2AA1E7E3"/>
    <w:rsid w:val="2AB06226"/>
    <w:rsid w:val="2ABD93FB"/>
    <w:rsid w:val="2AC012FB"/>
    <w:rsid w:val="2ACE7EC1"/>
    <w:rsid w:val="2ADD71B6"/>
    <w:rsid w:val="2AE50A70"/>
    <w:rsid w:val="2AE8E0EC"/>
    <w:rsid w:val="2AF011BF"/>
    <w:rsid w:val="2AF44C61"/>
    <w:rsid w:val="2AF55915"/>
    <w:rsid w:val="2AFEB26F"/>
    <w:rsid w:val="2B40E4F5"/>
    <w:rsid w:val="2B53C087"/>
    <w:rsid w:val="2B5DD749"/>
    <w:rsid w:val="2B626D48"/>
    <w:rsid w:val="2B7212C3"/>
    <w:rsid w:val="2B797312"/>
    <w:rsid w:val="2B80A4B3"/>
    <w:rsid w:val="2B87ACB7"/>
    <w:rsid w:val="2B9A6AEB"/>
    <w:rsid w:val="2B9E9F58"/>
    <w:rsid w:val="2BA234AE"/>
    <w:rsid w:val="2BA98C19"/>
    <w:rsid w:val="2BB37C2F"/>
    <w:rsid w:val="2BB9C93C"/>
    <w:rsid w:val="2BC3E2A4"/>
    <w:rsid w:val="2BCA68BB"/>
    <w:rsid w:val="2BD76759"/>
    <w:rsid w:val="2BDD5D4D"/>
    <w:rsid w:val="2BE7F646"/>
    <w:rsid w:val="2BF9FA5A"/>
    <w:rsid w:val="2BFE1505"/>
    <w:rsid w:val="2C02EEF2"/>
    <w:rsid w:val="2C0C875A"/>
    <w:rsid w:val="2C0D25CB"/>
    <w:rsid w:val="2C16AFFD"/>
    <w:rsid w:val="2C171448"/>
    <w:rsid w:val="2C21BA90"/>
    <w:rsid w:val="2C34439B"/>
    <w:rsid w:val="2C464865"/>
    <w:rsid w:val="2C4692BA"/>
    <w:rsid w:val="2C4EE035"/>
    <w:rsid w:val="2C532901"/>
    <w:rsid w:val="2C55ACDC"/>
    <w:rsid w:val="2C56E24E"/>
    <w:rsid w:val="2C5807BA"/>
    <w:rsid w:val="2C5C7D6E"/>
    <w:rsid w:val="2C6C61A5"/>
    <w:rsid w:val="2C74876D"/>
    <w:rsid w:val="2C7CBBB1"/>
    <w:rsid w:val="2C8272B1"/>
    <w:rsid w:val="2C82C5A3"/>
    <w:rsid w:val="2C8CC3DE"/>
    <w:rsid w:val="2CA2D588"/>
    <w:rsid w:val="2CB23050"/>
    <w:rsid w:val="2CBDF782"/>
    <w:rsid w:val="2CC1FA61"/>
    <w:rsid w:val="2CDBA546"/>
    <w:rsid w:val="2CE94B85"/>
    <w:rsid w:val="2CEE6BB8"/>
    <w:rsid w:val="2CF94EED"/>
    <w:rsid w:val="2CF9A7AA"/>
    <w:rsid w:val="2D0B5E06"/>
    <w:rsid w:val="2D134B8C"/>
    <w:rsid w:val="2D1A6DD8"/>
    <w:rsid w:val="2D497BE9"/>
    <w:rsid w:val="2D4CEB98"/>
    <w:rsid w:val="2D503CC8"/>
    <w:rsid w:val="2D5DC271"/>
    <w:rsid w:val="2D5ED005"/>
    <w:rsid w:val="2D71F863"/>
    <w:rsid w:val="2D7A60AA"/>
    <w:rsid w:val="2D7D97AD"/>
    <w:rsid w:val="2D97A068"/>
    <w:rsid w:val="2D994C9E"/>
    <w:rsid w:val="2D9E6961"/>
    <w:rsid w:val="2DA0B7AA"/>
    <w:rsid w:val="2DB76083"/>
    <w:rsid w:val="2DBAF5F9"/>
    <w:rsid w:val="2DC0DF41"/>
    <w:rsid w:val="2DCD00D9"/>
    <w:rsid w:val="2DD29E8B"/>
    <w:rsid w:val="2DDF0B2D"/>
    <w:rsid w:val="2DE218C6"/>
    <w:rsid w:val="2DE5F89C"/>
    <w:rsid w:val="2DE77263"/>
    <w:rsid w:val="2E0FA565"/>
    <w:rsid w:val="2E113DEA"/>
    <w:rsid w:val="2E178B1E"/>
    <w:rsid w:val="2E1DDFB7"/>
    <w:rsid w:val="2E1E2FF5"/>
    <w:rsid w:val="2E26E43B"/>
    <w:rsid w:val="2E2E4054"/>
    <w:rsid w:val="2E372FC7"/>
    <w:rsid w:val="2E3AE90E"/>
    <w:rsid w:val="2E4BB0DF"/>
    <w:rsid w:val="2E4C28D9"/>
    <w:rsid w:val="2E4F462A"/>
    <w:rsid w:val="2E5655D3"/>
    <w:rsid w:val="2E68CA91"/>
    <w:rsid w:val="2E77E5F7"/>
    <w:rsid w:val="2E7FFA48"/>
    <w:rsid w:val="2E9552BC"/>
    <w:rsid w:val="2E96C86E"/>
    <w:rsid w:val="2EA40EF9"/>
    <w:rsid w:val="2EA60A57"/>
    <w:rsid w:val="2EC6F290"/>
    <w:rsid w:val="2EE00B10"/>
    <w:rsid w:val="2F1690E6"/>
    <w:rsid w:val="2F16B9AD"/>
    <w:rsid w:val="2F16EFF3"/>
    <w:rsid w:val="2F1B78C9"/>
    <w:rsid w:val="2F1B9DB6"/>
    <w:rsid w:val="2F2BECA2"/>
    <w:rsid w:val="2F56C65A"/>
    <w:rsid w:val="2F6483BD"/>
    <w:rsid w:val="2F6A26D5"/>
    <w:rsid w:val="2F94D04A"/>
    <w:rsid w:val="2F9E501A"/>
    <w:rsid w:val="2FAE83F0"/>
    <w:rsid w:val="2FC08236"/>
    <w:rsid w:val="2FC5B968"/>
    <w:rsid w:val="2FCDD46F"/>
    <w:rsid w:val="2FE61C44"/>
    <w:rsid w:val="2FEC6A5D"/>
    <w:rsid w:val="3000F2C3"/>
    <w:rsid w:val="30147EB1"/>
    <w:rsid w:val="301597DE"/>
    <w:rsid w:val="3017F09A"/>
    <w:rsid w:val="302BF7D6"/>
    <w:rsid w:val="303040BA"/>
    <w:rsid w:val="30354211"/>
    <w:rsid w:val="3043E51F"/>
    <w:rsid w:val="30512D3C"/>
    <w:rsid w:val="3074DBCE"/>
    <w:rsid w:val="30851E49"/>
    <w:rsid w:val="3094BFB0"/>
    <w:rsid w:val="309657CB"/>
    <w:rsid w:val="309EC1FA"/>
    <w:rsid w:val="30BEE668"/>
    <w:rsid w:val="30E3FD8A"/>
    <w:rsid w:val="30F11EAB"/>
    <w:rsid w:val="30FCB802"/>
    <w:rsid w:val="30FEA6EF"/>
    <w:rsid w:val="31037AF0"/>
    <w:rsid w:val="310E1691"/>
    <w:rsid w:val="310FA983"/>
    <w:rsid w:val="3124A024"/>
    <w:rsid w:val="3145A869"/>
    <w:rsid w:val="31559656"/>
    <w:rsid w:val="3156CCEF"/>
    <w:rsid w:val="315E4B8A"/>
    <w:rsid w:val="31697E89"/>
    <w:rsid w:val="3176C27E"/>
    <w:rsid w:val="31AC5EA7"/>
    <w:rsid w:val="31B3F070"/>
    <w:rsid w:val="31B4A1CC"/>
    <w:rsid w:val="31CCA946"/>
    <w:rsid w:val="31DB5457"/>
    <w:rsid w:val="31E481CD"/>
    <w:rsid w:val="31EFCDBC"/>
    <w:rsid w:val="31F78088"/>
    <w:rsid w:val="31FCF3D3"/>
    <w:rsid w:val="32016902"/>
    <w:rsid w:val="320E4906"/>
    <w:rsid w:val="3219596A"/>
    <w:rsid w:val="321D26C9"/>
    <w:rsid w:val="3226AF96"/>
    <w:rsid w:val="32357484"/>
    <w:rsid w:val="32477DEC"/>
    <w:rsid w:val="324B17D2"/>
    <w:rsid w:val="324E5A6F"/>
    <w:rsid w:val="3258ABE5"/>
    <w:rsid w:val="326491F4"/>
    <w:rsid w:val="326AF995"/>
    <w:rsid w:val="3271DA84"/>
    <w:rsid w:val="32744DF0"/>
    <w:rsid w:val="327A4846"/>
    <w:rsid w:val="32834457"/>
    <w:rsid w:val="3286245C"/>
    <w:rsid w:val="328BFBA0"/>
    <w:rsid w:val="328C26DD"/>
    <w:rsid w:val="32989B8B"/>
    <w:rsid w:val="32A04E39"/>
    <w:rsid w:val="32A74D54"/>
    <w:rsid w:val="32AA87EE"/>
    <w:rsid w:val="32AFA56F"/>
    <w:rsid w:val="32C83646"/>
    <w:rsid w:val="32D5EB4D"/>
    <w:rsid w:val="32E7747F"/>
    <w:rsid w:val="32E9AF15"/>
    <w:rsid w:val="32F7A0A5"/>
    <w:rsid w:val="32F9F560"/>
    <w:rsid w:val="330486C8"/>
    <w:rsid w:val="331F3080"/>
    <w:rsid w:val="33232226"/>
    <w:rsid w:val="332CE9D0"/>
    <w:rsid w:val="33389501"/>
    <w:rsid w:val="333D337C"/>
    <w:rsid w:val="33423245"/>
    <w:rsid w:val="3347CE20"/>
    <w:rsid w:val="335A4201"/>
    <w:rsid w:val="335C223C"/>
    <w:rsid w:val="3365B845"/>
    <w:rsid w:val="33678BBC"/>
    <w:rsid w:val="3369106C"/>
    <w:rsid w:val="33959418"/>
    <w:rsid w:val="3397C116"/>
    <w:rsid w:val="339ABA2D"/>
    <w:rsid w:val="339DD03E"/>
    <w:rsid w:val="33A10CE2"/>
    <w:rsid w:val="33BD935A"/>
    <w:rsid w:val="33C8024F"/>
    <w:rsid w:val="33DBB14D"/>
    <w:rsid w:val="33DD4875"/>
    <w:rsid w:val="33E63FD2"/>
    <w:rsid w:val="34018056"/>
    <w:rsid w:val="340DAAE5"/>
    <w:rsid w:val="341B0451"/>
    <w:rsid w:val="3426BBC5"/>
    <w:rsid w:val="3443EC0D"/>
    <w:rsid w:val="3443EDF8"/>
    <w:rsid w:val="34452077"/>
    <w:rsid w:val="344D337A"/>
    <w:rsid w:val="34553A20"/>
    <w:rsid w:val="347E6D6A"/>
    <w:rsid w:val="3482A591"/>
    <w:rsid w:val="349249F3"/>
    <w:rsid w:val="34941459"/>
    <w:rsid w:val="349B89DE"/>
    <w:rsid w:val="34B32970"/>
    <w:rsid w:val="34BA09A7"/>
    <w:rsid w:val="34CFF9AC"/>
    <w:rsid w:val="34DCE533"/>
    <w:rsid w:val="34DD31C2"/>
    <w:rsid w:val="34FF7C71"/>
    <w:rsid w:val="35198C26"/>
    <w:rsid w:val="351BAE9E"/>
    <w:rsid w:val="351DFA70"/>
    <w:rsid w:val="3548FD13"/>
    <w:rsid w:val="35495BA9"/>
    <w:rsid w:val="354F5C15"/>
    <w:rsid w:val="35535F49"/>
    <w:rsid w:val="355C2A4D"/>
    <w:rsid w:val="355DD981"/>
    <w:rsid w:val="356108E5"/>
    <w:rsid w:val="356611CF"/>
    <w:rsid w:val="3566554D"/>
    <w:rsid w:val="35678DDD"/>
    <w:rsid w:val="3574561C"/>
    <w:rsid w:val="357527E8"/>
    <w:rsid w:val="3575468C"/>
    <w:rsid w:val="3575A05D"/>
    <w:rsid w:val="35837FA6"/>
    <w:rsid w:val="3598F5F4"/>
    <w:rsid w:val="35AD35E5"/>
    <w:rsid w:val="35C62BC8"/>
    <w:rsid w:val="35D311C4"/>
    <w:rsid w:val="35DBB670"/>
    <w:rsid w:val="35DC86AD"/>
    <w:rsid w:val="35F044FA"/>
    <w:rsid w:val="3608DD58"/>
    <w:rsid w:val="361A2573"/>
    <w:rsid w:val="362B6113"/>
    <w:rsid w:val="362D20E5"/>
    <w:rsid w:val="36493C9E"/>
    <w:rsid w:val="3654ED39"/>
    <w:rsid w:val="36663A7F"/>
    <w:rsid w:val="36870536"/>
    <w:rsid w:val="36926849"/>
    <w:rsid w:val="369A4807"/>
    <w:rsid w:val="36A45D7B"/>
    <w:rsid w:val="36B9CAD1"/>
    <w:rsid w:val="36BE0377"/>
    <w:rsid w:val="36C43C1F"/>
    <w:rsid w:val="36C471E7"/>
    <w:rsid w:val="36C4D91E"/>
    <w:rsid w:val="36D48B90"/>
    <w:rsid w:val="36D906D4"/>
    <w:rsid w:val="36DC6B4D"/>
    <w:rsid w:val="36EEB712"/>
    <w:rsid w:val="36F4ACE4"/>
    <w:rsid w:val="36FCD946"/>
    <w:rsid w:val="36FEABF1"/>
    <w:rsid w:val="370D16AC"/>
    <w:rsid w:val="371D1E9F"/>
    <w:rsid w:val="3721CB92"/>
    <w:rsid w:val="3728EF82"/>
    <w:rsid w:val="372B646A"/>
    <w:rsid w:val="37317511"/>
    <w:rsid w:val="374056D5"/>
    <w:rsid w:val="374F4119"/>
    <w:rsid w:val="3761FC29"/>
    <w:rsid w:val="3775BC1F"/>
    <w:rsid w:val="3783291C"/>
    <w:rsid w:val="37841F3C"/>
    <w:rsid w:val="3788FB0C"/>
    <w:rsid w:val="378937C2"/>
    <w:rsid w:val="378C1214"/>
    <w:rsid w:val="379F0974"/>
    <w:rsid w:val="37A2CC61"/>
    <w:rsid w:val="37B75C0E"/>
    <w:rsid w:val="37CA8A5B"/>
    <w:rsid w:val="37D383B1"/>
    <w:rsid w:val="37F0EF7B"/>
    <w:rsid w:val="37F1FED1"/>
    <w:rsid w:val="37F27B14"/>
    <w:rsid w:val="37F57240"/>
    <w:rsid w:val="37F77C42"/>
    <w:rsid w:val="37FB3FCE"/>
    <w:rsid w:val="37FEBBF8"/>
    <w:rsid w:val="380141F3"/>
    <w:rsid w:val="38277629"/>
    <w:rsid w:val="38287C83"/>
    <w:rsid w:val="38317752"/>
    <w:rsid w:val="3834E8EF"/>
    <w:rsid w:val="38382080"/>
    <w:rsid w:val="383E57E6"/>
    <w:rsid w:val="38411FF4"/>
    <w:rsid w:val="384DBD89"/>
    <w:rsid w:val="384F91C5"/>
    <w:rsid w:val="38B91D5F"/>
    <w:rsid w:val="38BF1CE2"/>
    <w:rsid w:val="38C4F3ED"/>
    <w:rsid w:val="38C5A0C4"/>
    <w:rsid w:val="38CD0B32"/>
    <w:rsid w:val="38CEC8F5"/>
    <w:rsid w:val="38D1C294"/>
    <w:rsid w:val="38F4C3EE"/>
    <w:rsid w:val="38F5A079"/>
    <w:rsid w:val="38F9AAAE"/>
    <w:rsid w:val="38FD8201"/>
    <w:rsid w:val="39109102"/>
    <w:rsid w:val="39273062"/>
    <w:rsid w:val="393F0425"/>
    <w:rsid w:val="3949C680"/>
    <w:rsid w:val="394A38E2"/>
    <w:rsid w:val="395E51C5"/>
    <w:rsid w:val="395E5951"/>
    <w:rsid w:val="395FC779"/>
    <w:rsid w:val="3961DED4"/>
    <w:rsid w:val="396BE6C5"/>
    <w:rsid w:val="396FD69E"/>
    <w:rsid w:val="3976DC95"/>
    <w:rsid w:val="398795CB"/>
    <w:rsid w:val="398B6241"/>
    <w:rsid w:val="39934CA3"/>
    <w:rsid w:val="399C3A6B"/>
    <w:rsid w:val="39A7D509"/>
    <w:rsid w:val="39B0E3C7"/>
    <w:rsid w:val="39C0D865"/>
    <w:rsid w:val="39D4C661"/>
    <w:rsid w:val="39DC7681"/>
    <w:rsid w:val="39DCA448"/>
    <w:rsid w:val="39E60A3B"/>
    <w:rsid w:val="39FF1A89"/>
    <w:rsid w:val="3A0D85AC"/>
    <w:rsid w:val="3A178816"/>
    <w:rsid w:val="3A28EEE7"/>
    <w:rsid w:val="3A37837B"/>
    <w:rsid w:val="3A3D520B"/>
    <w:rsid w:val="3A3EC5A0"/>
    <w:rsid w:val="3A42C6B4"/>
    <w:rsid w:val="3A623ECB"/>
    <w:rsid w:val="3A676B80"/>
    <w:rsid w:val="3A6890CC"/>
    <w:rsid w:val="3A69D761"/>
    <w:rsid w:val="3A738924"/>
    <w:rsid w:val="3A76C5EA"/>
    <w:rsid w:val="3A8A8513"/>
    <w:rsid w:val="3A8F883A"/>
    <w:rsid w:val="3AA54051"/>
    <w:rsid w:val="3AA551B3"/>
    <w:rsid w:val="3AA9DA54"/>
    <w:rsid w:val="3AACA3F9"/>
    <w:rsid w:val="3AC5A6D3"/>
    <w:rsid w:val="3ACEF0F0"/>
    <w:rsid w:val="3AD216E0"/>
    <w:rsid w:val="3AD97755"/>
    <w:rsid w:val="3ADC9D74"/>
    <w:rsid w:val="3AE31763"/>
    <w:rsid w:val="3AE67A1C"/>
    <w:rsid w:val="3AE7D6B8"/>
    <w:rsid w:val="3B1FA49F"/>
    <w:rsid w:val="3B4D6AC2"/>
    <w:rsid w:val="3B5F4E71"/>
    <w:rsid w:val="3B6DDEF4"/>
    <w:rsid w:val="3B7096C2"/>
    <w:rsid w:val="3B8D9EF5"/>
    <w:rsid w:val="3B9B955D"/>
    <w:rsid w:val="3BA28399"/>
    <w:rsid w:val="3BB0C88E"/>
    <w:rsid w:val="3BD0BDF4"/>
    <w:rsid w:val="3BD9658D"/>
    <w:rsid w:val="3BDDDCDB"/>
    <w:rsid w:val="3BDF17F8"/>
    <w:rsid w:val="3BEAFB19"/>
    <w:rsid w:val="3BEECE5C"/>
    <w:rsid w:val="3BF43952"/>
    <w:rsid w:val="3BF817F5"/>
    <w:rsid w:val="3C158902"/>
    <w:rsid w:val="3C2B74E7"/>
    <w:rsid w:val="3C3010BD"/>
    <w:rsid w:val="3C3C770D"/>
    <w:rsid w:val="3C5ED124"/>
    <w:rsid w:val="3C770E02"/>
    <w:rsid w:val="3C786DD5"/>
    <w:rsid w:val="3C7DB324"/>
    <w:rsid w:val="3C95B556"/>
    <w:rsid w:val="3C9EA3A5"/>
    <w:rsid w:val="3CB024C3"/>
    <w:rsid w:val="3CB372D6"/>
    <w:rsid w:val="3CC61966"/>
    <w:rsid w:val="3CC64D6E"/>
    <w:rsid w:val="3CC6EE89"/>
    <w:rsid w:val="3CCAED65"/>
    <w:rsid w:val="3CD7637E"/>
    <w:rsid w:val="3CDBCE03"/>
    <w:rsid w:val="3CE29FF7"/>
    <w:rsid w:val="3CE76F65"/>
    <w:rsid w:val="3CF87D4E"/>
    <w:rsid w:val="3CFA07E9"/>
    <w:rsid w:val="3D145028"/>
    <w:rsid w:val="3D1DAAFD"/>
    <w:rsid w:val="3D26B27D"/>
    <w:rsid w:val="3D28DA7F"/>
    <w:rsid w:val="3D2DE2A2"/>
    <w:rsid w:val="3D4A5D04"/>
    <w:rsid w:val="3D4DC572"/>
    <w:rsid w:val="3D512EB6"/>
    <w:rsid w:val="3D637256"/>
    <w:rsid w:val="3D67C6F6"/>
    <w:rsid w:val="3D6BBC74"/>
    <w:rsid w:val="3D6CBC97"/>
    <w:rsid w:val="3D7EAB8A"/>
    <w:rsid w:val="3D8316C6"/>
    <w:rsid w:val="3D86E22C"/>
    <w:rsid w:val="3D91C226"/>
    <w:rsid w:val="3DA08D31"/>
    <w:rsid w:val="3DB61F50"/>
    <w:rsid w:val="3DBC7AB1"/>
    <w:rsid w:val="3DBD64D3"/>
    <w:rsid w:val="3DCE4778"/>
    <w:rsid w:val="3DD13DAD"/>
    <w:rsid w:val="3DD49500"/>
    <w:rsid w:val="3DDC9EE3"/>
    <w:rsid w:val="3DE6D252"/>
    <w:rsid w:val="3DF415C0"/>
    <w:rsid w:val="3DF4EA74"/>
    <w:rsid w:val="3DF82CDA"/>
    <w:rsid w:val="3E0409EC"/>
    <w:rsid w:val="3E15C58D"/>
    <w:rsid w:val="3E2BA13A"/>
    <w:rsid w:val="3E2CA65C"/>
    <w:rsid w:val="3E4051D4"/>
    <w:rsid w:val="3E41BCDB"/>
    <w:rsid w:val="3E4DFE5D"/>
    <w:rsid w:val="3E5488FD"/>
    <w:rsid w:val="3E5ABD7F"/>
    <w:rsid w:val="3E61AEC3"/>
    <w:rsid w:val="3E621DCF"/>
    <w:rsid w:val="3E68A180"/>
    <w:rsid w:val="3E7CB285"/>
    <w:rsid w:val="3E80A3A9"/>
    <w:rsid w:val="3E80B9DF"/>
    <w:rsid w:val="3E82DBA8"/>
    <w:rsid w:val="3E8680F9"/>
    <w:rsid w:val="3E903CC5"/>
    <w:rsid w:val="3EAB8283"/>
    <w:rsid w:val="3EB02FF3"/>
    <w:rsid w:val="3EB6C81B"/>
    <w:rsid w:val="3EC2AFC5"/>
    <w:rsid w:val="3EC88290"/>
    <w:rsid w:val="3EEF1B08"/>
    <w:rsid w:val="3EFD1B56"/>
    <w:rsid w:val="3F039757"/>
    <w:rsid w:val="3F0907B6"/>
    <w:rsid w:val="3F150163"/>
    <w:rsid w:val="3F15EDB8"/>
    <w:rsid w:val="3F1B8F76"/>
    <w:rsid w:val="3F21585A"/>
    <w:rsid w:val="3F25C902"/>
    <w:rsid w:val="3F379DE1"/>
    <w:rsid w:val="3F49ECE6"/>
    <w:rsid w:val="3F4A370D"/>
    <w:rsid w:val="3F4A8084"/>
    <w:rsid w:val="3F4F5F95"/>
    <w:rsid w:val="3F584B12"/>
    <w:rsid w:val="3F5B124D"/>
    <w:rsid w:val="3F610935"/>
    <w:rsid w:val="3F67C6E3"/>
    <w:rsid w:val="3F77AF1E"/>
    <w:rsid w:val="3F7A8071"/>
    <w:rsid w:val="3F8F97F4"/>
    <w:rsid w:val="3F916A5D"/>
    <w:rsid w:val="3FB050B7"/>
    <w:rsid w:val="3FB15481"/>
    <w:rsid w:val="3FBA43A5"/>
    <w:rsid w:val="3FBAA4B9"/>
    <w:rsid w:val="3FBB242F"/>
    <w:rsid w:val="3FC91B4C"/>
    <w:rsid w:val="3FD7DF04"/>
    <w:rsid w:val="3FDD72F9"/>
    <w:rsid w:val="3FE8F640"/>
    <w:rsid w:val="3FF8C82C"/>
    <w:rsid w:val="3FF9C6C7"/>
    <w:rsid w:val="3FFF393F"/>
    <w:rsid w:val="40109560"/>
    <w:rsid w:val="40158CAB"/>
    <w:rsid w:val="4017AC73"/>
    <w:rsid w:val="4023D3D8"/>
    <w:rsid w:val="40252D52"/>
    <w:rsid w:val="4029DFD7"/>
    <w:rsid w:val="402A7AF1"/>
    <w:rsid w:val="402F62FC"/>
    <w:rsid w:val="403CF383"/>
    <w:rsid w:val="404D6E02"/>
    <w:rsid w:val="4054556E"/>
    <w:rsid w:val="406562E5"/>
    <w:rsid w:val="4076073E"/>
    <w:rsid w:val="40815194"/>
    <w:rsid w:val="4086FA64"/>
    <w:rsid w:val="408BA943"/>
    <w:rsid w:val="4093FBCC"/>
    <w:rsid w:val="40A52951"/>
    <w:rsid w:val="40A6F0DF"/>
    <w:rsid w:val="40ABA912"/>
    <w:rsid w:val="40AF4DC0"/>
    <w:rsid w:val="40CC8534"/>
    <w:rsid w:val="40D05060"/>
    <w:rsid w:val="40D1E6AC"/>
    <w:rsid w:val="40DA49C6"/>
    <w:rsid w:val="40E22181"/>
    <w:rsid w:val="40EDEAFC"/>
    <w:rsid w:val="40EE1885"/>
    <w:rsid w:val="40F41B73"/>
    <w:rsid w:val="4107F7B2"/>
    <w:rsid w:val="411695BE"/>
    <w:rsid w:val="4125DC0E"/>
    <w:rsid w:val="4126F125"/>
    <w:rsid w:val="412DBD80"/>
    <w:rsid w:val="41309676"/>
    <w:rsid w:val="4144BBBB"/>
    <w:rsid w:val="4153C85C"/>
    <w:rsid w:val="4160FFCC"/>
    <w:rsid w:val="4165F207"/>
    <w:rsid w:val="418396BC"/>
    <w:rsid w:val="4190FFA6"/>
    <w:rsid w:val="419418D9"/>
    <w:rsid w:val="41A22AB6"/>
    <w:rsid w:val="41A5C3A7"/>
    <w:rsid w:val="41A5C8F7"/>
    <w:rsid w:val="41C5772A"/>
    <w:rsid w:val="41C96BDF"/>
    <w:rsid w:val="41C9D26F"/>
    <w:rsid w:val="41CF7B7F"/>
    <w:rsid w:val="41F6FB64"/>
    <w:rsid w:val="420D5F34"/>
    <w:rsid w:val="421AFAF1"/>
    <w:rsid w:val="423D8C1F"/>
    <w:rsid w:val="424047D4"/>
    <w:rsid w:val="42471C10"/>
    <w:rsid w:val="42481A31"/>
    <w:rsid w:val="4251366E"/>
    <w:rsid w:val="42958C60"/>
    <w:rsid w:val="429944B8"/>
    <w:rsid w:val="429F5241"/>
    <w:rsid w:val="42B67276"/>
    <w:rsid w:val="42BC1213"/>
    <w:rsid w:val="42C72176"/>
    <w:rsid w:val="42D0CE18"/>
    <w:rsid w:val="42EE8602"/>
    <w:rsid w:val="4302BEA4"/>
    <w:rsid w:val="43071E76"/>
    <w:rsid w:val="430D1B0F"/>
    <w:rsid w:val="43131C8B"/>
    <w:rsid w:val="431A455B"/>
    <w:rsid w:val="431B213F"/>
    <w:rsid w:val="43269C34"/>
    <w:rsid w:val="432FE93A"/>
    <w:rsid w:val="433507C8"/>
    <w:rsid w:val="433B94AB"/>
    <w:rsid w:val="433F3265"/>
    <w:rsid w:val="434A8815"/>
    <w:rsid w:val="4365F040"/>
    <w:rsid w:val="43719CD6"/>
    <w:rsid w:val="4373E089"/>
    <w:rsid w:val="4382E288"/>
    <w:rsid w:val="438AB00C"/>
    <w:rsid w:val="4390E14C"/>
    <w:rsid w:val="43937F3E"/>
    <w:rsid w:val="439ED5DC"/>
    <w:rsid w:val="43A42099"/>
    <w:rsid w:val="43A6EBC1"/>
    <w:rsid w:val="43B19A20"/>
    <w:rsid w:val="43B84ED2"/>
    <w:rsid w:val="43C7A072"/>
    <w:rsid w:val="43D19D04"/>
    <w:rsid w:val="44031475"/>
    <w:rsid w:val="4403F80B"/>
    <w:rsid w:val="441C62C1"/>
    <w:rsid w:val="441DA830"/>
    <w:rsid w:val="4427968A"/>
    <w:rsid w:val="443EC80C"/>
    <w:rsid w:val="445F8087"/>
    <w:rsid w:val="4465B18E"/>
    <w:rsid w:val="44726239"/>
    <w:rsid w:val="447676BA"/>
    <w:rsid w:val="44A04531"/>
    <w:rsid w:val="44F0E4F0"/>
    <w:rsid w:val="44F8FCD9"/>
    <w:rsid w:val="44FB7B3C"/>
    <w:rsid w:val="4500B78E"/>
    <w:rsid w:val="450BFAA8"/>
    <w:rsid w:val="450F0284"/>
    <w:rsid w:val="451B17D0"/>
    <w:rsid w:val="451DD33C"/>
    <w:rsid w:val="4520DF25"/>
    <w:rsid w:val="45291359"/>
    <w:rsid w:val="452A5233"/>
    <w:rsid w:val="4551B711"/>
    <w:rsid w:val="4555B16C"/>
    <w:rsid w:val="455CB34E"/>
    <w:rsid w:val="4562DDF8"/>
    <w:rsid w:val="4572D8DB"/>
    <w:rsid w:val="4577ECBE"/>
    <w:rsid w:val="457EBCD2"/>
    <w:rsid w:val="457FAD90"/>
    <w:rsid w:val="459B1B98"/>
    <w:rsid w:val="45A0DFAE"/>
    <w:rsid w:val="45A2FE94"/>
    <w:rsid w:val="45B922B6"/>
    <w:rsid w:val="45BEA119"/>
    <w:rsid w:val="45C35B99"/>
    <w:rsid w:val="45C7F330"/>
    <w:rsid w:val="45CA0780"/>
    <w:rsid w:val="45D7C976"/>
    <w:rsid w:val="45E5E4CF"/>
    <w:rsid w:val="45E8F244"/>
    <w:rsid w:val="4610DAE8"/>
    <w:rsid w:val="46182CDE"/>
    <w:rsid w:val="46311C29"/>
    <w:rsid w:val="463E03F4"/>
    <w:rsid w:val="4640F388"/>
    <w:rsid w:val="46556B8F"/>
    <w:rsid w:val="466F3BD7"/>
    <w:rsid w:val="4671ACE6"/>
    <w:rsid w:val="4672FCCD"/>
    <w:rsid w:val="4675294E"/>
    <w:rsid w:val="46774C13"/>
    <w:rsid w:val="467BEAB2"/>
    <w:rsid w:val="467D17A8"/>
    <w:rsid w:val="468C6C61"/>
    <w:rsid w:val="4697B003"/>
    <w:rsid w:val="469CF053"/>
    <w:rsid w:val="46A376AA"/>
    <w:rsid w:val="46B6453B"/>
    <w:rsid w:val="46C66DDA"/>
    <w:rsid w:val="46D0E766"/>
    <w:rsid w:val="46D3D47F"/>
    <w:rsid w:val="46D427C8"/>
    <w:rsid w:val="46DACDDD"/>
    <w:rsid w:val="46DBFECF"/>
    <w:rsid w:val="46E3D501"/>
    <w:rsid w:val="46E8AB3C"/>
    <w:rsid w:val="46EAAE97"/>
    <w:rsid w:val="46EE31C1"/>
    <w:rsid w:val="46F27FE1"/>
    <w:rsid w:val="46FF2EE1"/>
    <w:rsid w:val="46FF6ACB"/>
    <w:rsid w:val="4700CD36"/>
    <w:rsid w:val="470322A8"/>
    <w:rsid w:val="470775CE"/>
    <w:rsid w:val="47093DC6"/>
    <w:rsid w:val="4714392C"/>
    <w:rsid w:val="47218CDA"/>
    <w:rsid w:val="4721F1DD"/>
    <w:rsid w:val="4732369B"/>
    <w:rsid w:val="4732FA82"/>
    <w:rsid w:val="4736EBF9"/>
    <w:rsid w:val="4740A327"/>
    <w:rsid w:val="474C09A6"/>
    <w:rsid w:val="47510617"/>
    <w:rsid w:val="476107AD"/>
    <w:rsid w:val="476A568F"/>
    <w:rsid w:val="477FB71A"/>
    <w:rsid w:val="47800D79"/>
    <w:rsid w:val="47897A2D"/>
    <w:rsid w:val="478EFC43"/>
    <w:rsid w:val="47955569"/>
    <w:rsid w:val="47A583CA"/>
    <w:rsid w:val="47C3D800"/>
    <w:rsid w:val="47D27889"/>
    <w:rsid w:val="47D541CD"/>
    <w:rsid w:val="47D972B3"/>
    <w:rsid w:val="47DF2561"/>
    <w:rsid w:val="47DFEEF5"/>
    <w:rsid w:val="47ECD314"/>
    <w:rsid w:val="47F2A090"/>
    <w:rsid w:val="480036E1"/>
    <w:rsid w:val="48075FB5"/>
    <w:rsid w:val="48172107"/>
    <w:rsid w:val="481A4AF3"/>
    <w:rsid w:val="4822BE58"/>
    <w:rsid w:val="483209A6"/>
    <w:rsid w:val="48587FE7"/>
    <w:rsid w:val="485C8B57"/>
    <w:rsid w:val="486E44BF"/>
    <w:rsid w:val="4881E011"/>
    <w:rsid w:val="488A0222"/>
    <w:rsid w:val="48938A0F"/>
    <w:rsid w:val="489A119E"/>
    <w:rsid w:val="48A12D76"/>
    <w:rsid w:val="48A2B857"/>
    <w:rsid w:val="48B1CF8E"/>
    <w:rsid w:val="48B6CCD3"/>
    <w:rsid w:val="48BE24E3"/>
    <w:rsid w:val="48C75E92"/>
    <w:rsid w:val="48CC4AEB"/>
    <w:rsid w:val="48CD093A"/>
    <w:rsid w:val="48D2BC5A"/>
    <w:rsid w:val="48E3CBD1"/>
    <w:rsid w:val="48E5461B"/>
    <w:rsid w:val="48E60246"/>
    <w:rsid w:val="48E91DE1"/>
    <w:rsid w:val="48EF68B3"/>
    <w:rsid w:val="48F11953"/>
    <w:rsid w:val="4902415C"/>
    <w:rsid w:val="490F6A38"/>
    <w:rsid w:val="49121374"/>
    <w:rsid w:val="4914CFE2"/>
    <w:rsid w:val="4918FE85"/>
    <w:rsid w:val="491B877B"/>
    <w:rsid w:val="4929D42B"/>
    <w:rsid w:val="492C8B37"/>
    <w:rsid w:val="494408C3"/>
    <w:rsid w:val="49614D17"/>
    <w:rsid w:val="4973169D"/>
    <w:rsid w:val="49754333"/>
    <w:rsid w:val="4979C0F6"/>
    <w:rsid w:val="497B523D"/>
    <w:rsid w:val="497E42E8"/>
    <w:rsid w:val="499A85E1"/>
    <w:rsid w:val="499BE3DC"/>
    <w:rsid w:val="49AE738F"/>
    <w:rsid w:val="49C0BD0E"/>
    <w:rsid w:val="49C64BDD"/>
    <w:rsid w:val="49DCBAE8"/>
    <w:rsid w:val="49E47D72"/>
    <w:rsid w:val="49E4DC46"/>
    <w:rsid w:val="49E74D35"/>
    <w:rsid w:val="49FB3FA5"/>
    <w:rsid w:val="4A1DDBB4"/>
    <w:rsid w:val="4A240626"/>
    <w:rsid w:val="4A40535F"/>
    <w:rsid w:val="4A49EC24"/>
    <w:rsid w:val="4A4D8B5D"/>
    <w:rsid w:val="4A555523"/>
    <w:rsid w:val="4A573DF4"/>
    <w:rsid w:val="4A584196"/>
    <w:rsid w:val="4A5FE3B8"/>
    <w:rsid w:val="4A6F481A"/>
    <w:rsid w:val="4A80F0CE"/>
    <w:rsid w:val="4A81167C"/>
    <w:rsid w:val="4A84EE42"/>
    <w:rsid w:val="4A898933"/>
    <w:rsid w:val="4A8D24AE"/>
    <w:rsid w:val="4A8EFC63"/>
    <w:rsid w:val="4A977FA0"/>
    <w:rsid w:val="4ACA6528"/>
    <w:rsid w:val="4ACDD6A8"/>
    <w:rsid w:val="4ADDD79E"/>
    <w:rsid w:val="4AEB9FE4"/>
    <w:rsid w:val="4AF989F5"/>
    <w:rsid w:val="4AFE83AE"/>
    <w:rsid w:val="4B0C5854"/>
    <w:rsid w:val="4B0D6734"/>
    <w:rsid w:val="4B1F7E30"/>
    <w:rsid w:val="4B34E936"/>
    <w:rsid w:val="4B3E24AB"/>
    <w:rsid w:val="4B42CBBC"/>
    <w:rsid w:val="4B5B358D"/>
    <w:rsid w:val="4B66879E"/>
    <w:rsid w:val="4B719583"/>
    <w:rsid w:val="4B8DD292"/>
    <w:rsid w:val="4B9CE286"/>
    <w:rsid w:val="4B9F735F"/>
    <w:rsid w:val="4BAB2F38"/>
    <w:rsid w:val="4BB6E13E"/>
    <w:rsid w:val="4BD14E0B"/>
    <w:rsid w:val="4BE07F52"/>
    <w:rsid w:val="4BE75404"/>
    <w:rsid w:val="4BEBB296"/>
    <w:rsid w:val="4BED2D42"/>
    <w:rsid w:val="4BF944B9"/>
    <w:rsid w:val="4BFB89C2"/>
    <w:rsid w:val="4BFFB794"/>
    <w:rsid w:val="4C004949"/>
    <w:rsid w:val="4C066BA5"/>
    <w:rsid w:val="4C0B23CD"/>
    <w:rsid w:val="4C12D78B"/>
    <w:rsid w:val="4C13806B"/>
    <w:rsid w:val="4C17A5B0"/>
    <w:rsid w:val="4C24F6F9"/>
    <w:rsid w:val="4C341E63"/>
    <w:rsid w:val="4C39B1EA"/>
    <w:rsid w:val="4C40F762"/>
    <w:rsid w:val="4C447044"/>
    <w:rsid w:val="4C44AA87"/>
    <w:rsid w:val="4C451721"/>
    <w:rsid w:val="4C530467"/>
    <w:rsid w:val="4C55D140"/>
    <w:rsid w:val="4C586152"/>
    <w:rsid w:val="4C5880FB"/>
    <w:rsid w:val="4C5F7C55"/>
    <w:rsid w:val="4C62A299"/>
    <w:rsid w:val="4C646573"/>
    <w:rsid w:val="4C819CFF"/>
    <w:rsid w:val="4C8D4C5A"/>
    <w:rsid w:val="4CB8B539"/>
    <w:rsid w:val="4CC43602"/>
    <w:rsid w:val="4CC545EC"/>
    <w:rsid w:val="4CC9C8D2"/>
    <w:rsid w:val="4CCFD658"/>
    <w:rsid w:val="4CD0B997"/>
    <w:rsid w:val="4CE4F7B2"/>
    <w:rsid w:val="4CE77C04"/>
    <w:rsid w:val="4CEAC96B"/>
    <w:rsid w:val="4CF2ECF7"/>
    <w:rsid w:val="4D0509EA"/>
    <w:rsid w:val="4D133EF8"/>
    <w:rsid w:val="4D212A94"/>
    <w:rsid w:val="4D2298DB"/>
    <w:rsid w:val="4D3411A8"/>
    <w:rsid w:val="4D3DA2AF"/>
    <w:rsid w:val="4D3F5409"/>
    <w:rsid w:val="4D47FEF6"/>
    <w:rsid w:val="4D5BCB85"/>
    <w:rsid w:val="4D6D9F26"/>
    <w:rsid w:val="4D75A901"/>
    <w:rsid w:val="4D8975F7"/>
    <w:rsid w:val="4D9342BB"/>
    <w:rsid w:val="4D95F609"/>
    <w:rsid w:val="4D9D9B0B"/>
    <w:rsid w:val="4DA344E2"/>
    <w:rsid w:val="4DA55EAE"/>
    <w:rsid w:val="4DA8E98F"/>
    <w:rsid w:val="4DA986D6"/>
    <w:rsid w:val="4DB37E9A"/>
    <w:rsid w:val="4DB79BFE"/>
    <w:rsid w:val="4DBBB461"/>
    <w:rsid w:val="4DBD9207"/>
    <w:rsid w:val="4DC6E833"/>
    <w:rsid w:val="4DCA8E73"/>
    <w:rsid w:val="4DCECA37"/>
    <w:rsid w:val="4DD035A7"/>
    <w:rsid w:val="4DD6050D"/>
    <w:rsid w:val="4DD69A6D"/>
    <w:rsid w:val="4DD6CD82"/>
    <w:rsid w:val="4DD897AE"/>
    <w:rsid w:val="4DE03725"/>
    <w:rsid w:val="4DE76177"/>
    <w:rsid w:val="4DE7BD34"/>
    <w:rsid w:val="4DEF4EFD"/>
    <w:rsid w:val="4E0527F3"/>
    <w:rsid w:val="4E08DF1F"/>
    <w:rsid w:val="4E0E695D"/>
    <w:rsid w:val="4E2AAF26"/>
    <w:rsid w:val="4E41D9AA"/>
    <w:rsid w:val="4E4AE15E"/>
    <w:rsid w:val="4E55BC50"/>
    <w:rsid w:val="4E6362EB"/>
    <w:rsid w:val="4E653ADB"/>
    <w:rsid w:val="4E79157D"/>
    <w:rsid w:val="4E8BD4CF"/>
    <w:rsid w:val="4E988BAE"/>
    <w:rsid w:val="4EA0F09C"/>
    <w:rsid w:val="4EAE990E"/>
    <w:rsid w:val="4ECCE7FC"/>
    <w:rsid w:val="4ED910F3"/>
    <w:rsid w:val="4EDABE5B"/>
    <w:rsid w:val="4EDCA33C"/>
    <w:rsid w:val="4EE116EF"/>
    <w:rsid w:val="4EE2EE06"/>
    <w:rsid w:val="4EE87675"/>
    <w:rsid w:val="4F06C3AA"/>
    <w:rsid w:val="4F088841"/>
    <w:rsid w:val="4F2899FB"/>
    <w:rsid w:val="4F3E0C67"/>
    <w:rsid w:val="4F42199D"/>
    <w:rsid w:val="4F529C44"/>
    <w:rsid w:val="4F5543CA"/>
    <w:rsid w:val="4F64A20E"/>
    <w:rsid w:val="4F6A3FB0"/>
    <w:rsid w:val="4F8B1F5E"/>
    <w:rsid w:val="4F971D17"/>
    <w:rsid w:val="4F9D4852"/>
    <w:rsid w:val="4FA9DA16"/>
    <w:rsid w:val="4FAD141C"/>
    <w:rsid w:val="4FC4CFC3"/>
    <w:rsid w:val="4FCD4C4F"/>
    <w:rsid w:val="4FCE56CD"/>
    <w:rsid w:val="4FCEAAA7"/>
    <w:rsid w:val="4FCFE093"/>
    <w:rsid w:val="4FD11AF7"/>
    <w:rsid w:val="4FE7AF13"/>
    <w:rsid w:val="4FFC9CAD"/>
    <w:rsid w:val="500490C2"/>
    <w:rsid w:val="5006B8F4"/>
    <w:rsid w:val="501CFD2C"/>
    <w:rsid w:val="5027F0DA"/>
    <w:rsid w:val="50409144"/>
    <w:rsid w:val="5046F737"/>
    <w:rsid w:val="5047A50A"/>
    <w:rsid w:val="505E0C24"/>
    <w:rsid w:val="5072B2D3"/>
    <w:rsid w:val="50735841"/>
    <w:rsid w:val="507BC6A2"/>
    <w:rsid w:val="507F9FB8"/>
    <w:rsid w:val="5081B023"/>
    <w:rsid w:val="5083107C"/>
    <w:rsid w:val="50856EC9"/>
    <w:rsid w:val="5088E217"/>
    <w:rsid w:val="508F9C8E"/>
    <w:rsid w:val="50C86F20"/>
    <w:rsid w:val="50C8EFDC"/>
    <w:rsid w:val="50D6F801"/>
    <w:rsid w:val="511839E7"/>
    <w:rsid w:val="5119A642"/>
    <w:rsid w:val="51203D1E"/>
    <w:rsid w:val="51226B90"/>
    <w:rsid w:val="512D8EA5"/>
    <w:rsid w:val="514D04DF"/>
    <w:rsid w:val="514D1922"/>
    <w:rsid w:val="515EA737"/>
    <w:rsid w:val="51624E0B"/>
    <w:rsid w:val="51755AFF"/>
    <w:rsid w:val="5182586E"/>
    <w:rsid w:val="5188A5BE"/>
    <w:rsid w:val="5195EE6B"/>
    <w:rsid w:val="51A06123"/>
    <w:rsid w:val="51A597C6"/>
    <w:rsid w:val="51B7E4E7"/>
    <w:rsid w:val="51BC7CCD"/>
    <w:rsid w:val="51C450A3"/>
    <w:rsid w:val="51D56A37"/>
    <w:rsid w:val="51DA97E5"/>
    <w:rsid w:val="5208B316"/>
    <w:rsid w:val="52110486"/>
    <w:rsid w:val="5218E80D"/>
    <w:rsid w:val="5219A1A0"/>
    <w:rsid w:val="5244DE60"/>
    <w:rsid w:val="52462F35"/>
    <w:rsid w:val="524A54A0"/>
    <w:rsid w:val="524DC8B1"/>
    <w:rsid w:val="5251DBAB"/>
    <w:rsid w:val="52689F74"/>
    <w:rsid w:val="52717E36"/>
    <w:rsid w:val="527BFB85"/>
    <w:rsid w:val="529697E7"/>
    <w:rsid w:val="52975E3E"/>
    <w:rsid w:val="529829AE"/>
    <w:rsid w:val="52A6ECD4"/>
    <w:rsid w:val="52BF5040"/>
    <w:rsid w:val="52C269C1"/>
    <w:rsid w:val="52C57F24"/>
    <w:rsid w:val="52C595BA"/>
    <w:rsid w:val="52C784F3"/>
    <w:rsid w:val="52F1F9D7"/>
    <w:rsid w:val="5302837D"/>
    <w:rsid w:val="5309731C"/>
    <w:rsid w:val="530F2C78"/>
    <w:rsid w:val="53162118"/>
    <w:rsid w:val="531D147A"/>
    <w:rsid w:val="53226DF8"/>
    <w:rsid w:val="5335BCED"/>
    <w:rsid w:val="533E03BD"/>
    <w:rsid w:val="53425BA9"/>
    <w:rsid w:val="53458D4E"/>
    <w:rsid w:val="53553B70"/>
    <w:rsid w:val="535C9493"/>
    <w:rsid w:val="5378F815"/>
    <w:rsid w:val="53793D2E"/>
    <w:rsid w:val="537AD068"/>
    <w:rsid w:val="5389DAD0"/>
    <w:rsid w:val="538BD1ED"/>
    <w:rsid w:val="53A1311B"/>
    <w:rsid w:val="53A5002D"/>
    <w:rsid w:val="53B2DEDE"/>
    <w:rsid w:val="53B3BEC0"/>
    <w:rsid w:val="53B950E5"/>
    <w:rsid w:val="53BA3C01"/>
    <w:rsid w:val="53C3A646"/>
    <w:rsid w:val="53ED097D"/>
    <w:rsid w:val="53F5AC04"/>
    <w:rsid w:val="5409B166"/>
    <w:rsid w:val="540A3F73"/>
    <w:rsid w:val="541372BA"/>
    <w:rsid w:val="5415313F"/>
    <w:rsid w:val="54177729"/>
    <w:rsid w:val="541EF0C6"/>
    <w:rsid w:val="54243627"/>
    <w:rsid w:val="5427346E"/>
    <w:rsid w:val="5427F8C2"/>
    <w:rsid w:val="543CFB89"/>
    <w:rsid w:val="5448D926"/>
    <w:rsid w:val="545D77B6"/>
    <w:rsid w:val="545E3A22"/>
    <w:rsid w:val="546450DA"/>
    <w:rsid w:val="5464ACAE"/>
    <w:rsid w:val="5471E84C"/>
    <w:rsid w:val="548F17C0"/>
    <w:rsid w:val="5492D931"/>
    <w:rsid w:val="5493CD39"/>
    <w:rsid w:val="54A97A6E"/>
    <w:rsid w:val="54AE2880"/>
    <w:rsid w:val="54AFF1BD"/>
    <w:rsid w:val="54BFFEEC"/>
    <w:rsid w:val="54C78568"/>
    <w:rsid w:val="54C82BE4"/>
    <w:rsid w:val="54D4BA24"/>
    <w:rsid w:val="54D65D14"/>
    <w:rsid w:val="54DD3888"/>
    <w:rsid w:val="54E4C73D"/>
    <w:rsid w:val="54EB9E46"/>
    <w:rsid w:val="54EF70A3"/>
    <w:rsid w:val="54F10CFA"/>
    <w:rsid w:val="54F153BB"/>
    <w:rsid w:val="54F433BC"/>
    <w:rsid w:val="55243FFF"/>
    <w:rsid w:val="5531F24A"/>
    <w:rsid w:val="553AD601"/>
    <w:rsid w:val="5549C666"/>
    <w:rsid w:val="555ACBA4"/>
    <w:rsid w:val="5563B63C"/>
    <w:rsid w:val="556E2A86"/>
    <w:rsid w:val="5572F6D3"/>
    <w:rsid w:val="557493C9"/>
    <w:rsid w:val="5576B280"/>
    <w:rsid w:val="55981980"/>
    <w:rsid w:val="559BE043"/>
    <w:rsid w:val="55A051B8"/>
    <w:rsid w:val="55A59AA6"/>
    <w:rsid w:val="55A8AD2B"/>
    <w:rsid w:val="55B244D5"/>
    <w:rsid w:val="55B53B71"/>
    <w:rsid w:val="55D83A63"/>
    <w:rsid w:val="55E7CB2C"/>
    <w:rsid w:val="55E8B48A"/>
    <w:rsid w:val="55EB490A"/>
    <w:rsid w:val="56032FEE"/>
    <w:rsid w:val="5609E366"/>
    <w:rsid w:val="561521D8"/>
    <w:rsid w:val="561836FD"/>
    <w:rsid w:val="561D6EBB"/>
    <w:rsid w:val="5624D3DE"/>
    <w:rsid w:val="56250084"/>
    <w:rsid w:val="562DA4DD"/>
    <w:rsid w:val="564CA2DF"/>
    <w:rsid w:val="565164D7"/>
    <w:rsid w:val="565B85F1"/>
    <w:rsid w:val="565E36FD"/>
    <w:rsid w:val="56742EB6"/>
    <w:rsid w:val="567794E6"/>
    <w:rsid w:val="5679E4F6"/>
    <w:rsid w:val="567B9B5C"/>
    <w:rsid w:val="56927B54"/>
    <w:rsid w:val="5694014B"/>
    <w:rsid w:val="56AA36F1"/>
    <w:rsid w:val="56B17C43"/>
    <w:rsid w:val="56B8341B"/>
    <w:rsid w:val="56C887D6"/>
    <w:rsid w:val="56CC7C4E"/>
    <w:rsid w:val="56D7D6DF"/>
    <w:rsid w:val="56E2F39A"/>
    <w:rsid w:val="56F6A203"/>
    <w:rsid w:val="56F8734F"/>
    <w:rsid w:val="56F8C902"/>
    <w:rsid w:val="56FAFAFE"/>
    <w:rsid w:val="56FDF4D6"/>
    <w:rsid w:val="5702DE66"/>
    <w:rsid w:val="5704922B"/>
    <w:rsid w:val="5733EC18"/>
    <w:rsid w:val="5739613D"/>
    <w:rsid w:val="5754F383"/>
    <w:rsid w:val="575B43EC"/>
    <w:rsid w:val="576B5ED0"/>
    <w:rsid w:val="57735A42"/>
    <w:rsid w:val="5775771D"/>
    <w:rsid w:val="579B743A"/>
    <w:rsid w:val="579C1775"/>
    <w:rsid w:val="579F9100"/>
    <w:rsid w:val="57A047BB"/>
    <w:rsid w:val="57A09D4E"/>
    <w:rsid w:val="57A33249"/>
    <w:rsid w:val="57B389EA"/>
    <w:rsid w:val="57BD6FFE"/>
    <w:rsid w:val="57C07A86"/>
    <w:rsid w:val="57C3D890"/>
    <w:rsid w:val="57C7D3D2"/>
    <w:rsid w:val="57C9753E"/>
    <w:rsid w:val="57CE6A5E"/>
    <w:rsid w:val="57DEB47D"/>
    <w:rsid w:val="57E3B47D"/>
    <w:rsid w:val="57E63276"/>
    <w:rsid w:val="57E75EEF"/>
    <w:rsid w:val="5804FE86"/>
    <w:rsid w:val="5806039C"/>
    <w:rsid w:val="5806E00A"/>
    <w:rsid w:val="5807A202"/>
    <w:rsid w:val="580B9D48"/>
    <w:rsid w:val="580E8E68"/>
    <w:rsid w:val="580FAB80"/>
    <w:rsid w:val="5818C1E0"/>
    <w:rsid w:val="58271165"/>
    <w:rsid w:val="58340645"/>
    <w:rsid w:val="58475BDF"/>
    <w:rsid w:val="5854047C"/>
    <w:rsid w:val="5858BDEF"/>
    <w:rsid w:val="585F6B1A"/>
    <w:rsid w:val="58775851"/>
    <w:rsid w:val="587F5C3A"/>
    <w:rsid w:val="587FCC07"/>
    <w:rsid w:val="5881ADF3"/>
    <w:rsid w:val="588327E1"/>
    <w:rsid w:val="58834CDD"/>
    <w:rsid w:val="588C8B1A"/>
    <w:rsid w:val="5896422A"/>
    <w:rsid w:val="5898150B"/>
    <w:rsid w:val="589ADF3E"/>
    <w:rsid w:val="589C981B"/>
    <w:rsid w:val="58A76923"/>
    <w:rsid w:val="58ABDEDC"/>
    <w:rsid w:val="58BC96C1"/>
    <w:rsid w:val="58D08171"/>
    <w:rsid w:val="58DBD38E"/>
    <w:rsid w:val="58DE7E53"/>
    <w:rsid w:val="58F0EF11"/>
    <w:rsid w:val="58F5D442"/>
    <w:rsid w:val="58F880B7"/>
    <w:rsid w:val="593F7974"/>
    <w:rsid w:val="594266E1"/>
    <w:rsid w:val="5942A209"/>
    <w:rsid w:val="595510CF"/>
    <w:rsid w:val="595BD9D0"/>
    <w:rsid w:val="59677742"/>
    <w:rsid w:val="59725A74"/>
    <w:rsid w:val="59815EEF"/>
    <w:rsid w:val="5987D7F3"/>
    <w:rsid w:val="598B8CB5"/>
    <w:rsid w:val="5992F87E"/>
    <w:rsid w:val="5994BBFC"/>
    <w:rsid w:val="59976547"/>
    <w:rsid w:val="599EF2EB"/>
    <w:rsid w:val="59A5C7C8"/>
    <w:rsid w:val="59AA4322"/>
    <w:rsid w:val="59AF9CB5"/>
    <w:rsid w:val="59B5727C"/>
    <w:rsid w:val="59BC8F64"/>
    <w:rsid w:val="59C14CE9"/>
    <w:rsid w:val="59CDE9C2"/>
    <w:rsid w:val="59CEC13F"/>
    <w:rsid w:val="59DEF400"/>
    <w:rsid w:val="59E1D7B3"/>
    <w:rsid w:val="59E320A8"/>
    <w:rsid w:val="59E87ECB"/>
    <w:rsid w:val="59EA1BB0"/>
    <w:rsid w:val="59F13EDC"/>
    <w:rsid w:val="59F5A9EE"/>
    <w:rsid w:val="5A0FC832"/>
    <w:rsid w:val="5A12C1F0"/>
    <w:rsid w:val="5A163D77"/>
    <w:rsid w:val="5A1D7E54"/>
    <w:rsid w:val="5A30E2FC"/>
    <w:rsid w:val="5A450784"/>
    <w:rsid w:val="5A4F286F"/>
    <w:rsid w:val="5A5987F3"/>
    <w:rsid w:val="5A7171F4"/>
    <w:rsid w:val="5A769FF4"/>
    <w:rsid w:val="5A77A3EF"/>
    <w:rsid w:val="5A7E3E66"/>
    <w:rsid w:val="5A82689C"/>
    <w:rsid w:val="5A88E129"/>
    <w:rsid w:val="5AA83606"/>
    <w:rsid w:val="5ABD11FD"/>
    <w:rsid w:val="5ABF7295"/>
    <w:rsid w:val="5AC42A0F"/>
    <w:rsid w:val="5AC554D9"/>
    <w:rsid w:val="5ACF92E8"/>
    <w:rsid w:val="5AD85294"/>
    <w:rsid w:val="5AE775E7"/>
    <w:rsid w:val="5AF0E130"/>
    <w:rsid w:val="5AF36352"/>
    <w:rsid w:val="5AFB35DC"/>
    <w:rsid w:val="5AFBA7BC"/>
    <w:rsid w:val="5B011600"/>
    <w:rsid w:val="5B165FA7"/>
    <w:rsid w:val="5B175809"/>
    <w:rsid w:val="5B1874E7"/>
    <w:rsid w:val="5B1C62F1"/>
    <w:rsid w:val="5B203219"/>
    <w:rsid w:val="5B2C33D9"/>
    <w:rsid w:val="5B2CE62B"/>
    <w:rsid w:val="5B37085E"/>
    <w:rsid w:val="5B3E9FC4"/>
    <w:rsid w:val="5B431B19"/>
    <w:rsid w:val="5B526E8B"/>
    <w:rsid w:val="5B5B59A4"/>
    <w:rsid w:val="5B5F2095"/>
    <w:rsid w:val="5B6DB9BF"/>
    <w:rsid w:val="5B7226B3"/>
    <w:rsid w:val="5B764EA0"/>
    <w:rsid w:val="5B7A7DC2"/>
    <w:rsid w:val="5B913F18"/>
    <w:rsid w:val="5B91FF81"/>
    <w:rsid w:val="5B9F9858"/>
    <w:rsid w:val="5BA44667"/>
    <w:rsid w:val="5BA7E3FB"/>
    <w:rsid w:val="5BAC3C1B"/>
    <w:rsid w:val="5BC36B5E"/>
    <w:rsid w:val="5BC82B55"/>
    <w:rsid w:val="5BD8EE4F"/>
    <w:rsid w:val="5BED1E48"/>
    <w:rsid w:val="5C03B879"/>
    <w:rsid w:val="5C138602"/>
    <w:rsid w:val="5C155EF4"/>
    <w:rsid w:val="5C1AC054"/>
    <w:rsid w:val="5C1E7A74"/>
    <w:rsid w:val="5C2274AF"/>
    <w:rsid w:val="5C318F90"/>
    <w:rsid w:val="5C38B375"/>
    <w:rsid w:val="5C459505"/>
    <w:rsid w:val="5C569636"/>
    <w:rsid w:val="5C63FE86"/>
    <w:rsid w:val="5C69A266"/>
    <w:rsid w:val="5C7F790F"/>
    <w:rsid w:val="5C99B490"/>
    <w:rsid w:val="5C9CE661"/>
    <w:rsid w:val="5CB787CF"/>
    <w:rsid w:val="5CB80B95"/>
    <w:rsid w:val="5CBBD3A1"/>
    <w:rsid w:val="5CD13665"/>
    <w:rsid w:val="5CD95FE1"/>
    <w:rsid w:val="5CE6AA90"/>
    <w:rsid w:val="5CF3C1AD"/>
    <w:rsid w:val="5CFE4CAE"/>
    <w:rsid w:val="5CFFF63B"/>
    <w:rsid w:val="5D0D5D40"/>
    <w:rsid w:val="5D13ED29"/>
    <w:rsid w:val="5D249B69"/>
    <w:rsid w:val="5D24A72E"/>
    <w:rsid w:val="5D2A975E"/>
    <w:rsid w:val="5D32A0D2"/>
    <w:rsid w:val="5D45505D"/>
    <w:rsid w:val="5D56562E"/>
    <w:rsid w:val="5D5A0CE4"/>
    <w:rsid w:val="5D668706"/>
    <w:rsid w:val="5D74A2F7"/>
    <w:rsid w:val="5D7581E8"/>
    <w:rsid w:val="5D7C57B2"/>
    <w:rsid w:val="5D83F44D"/>
    <w:rsid w:val="5DA6F228"/>
    <w:rsid w:val="5DC9D98B"/>
    <w:rsid w:val="5DC9ECFD"/>
    <w:rsid w:val="5DD179C8"/>
    <w:rsid w:val="5DE19B15"/>
    <w:rsid w:val="5DF218CB"/>
    <w:rsid w:val="5DFDDBE6"/>
    <w:rsid w:val="5DFFCEE7"/>
    <w:rsid w:val="5E005697"/>
    <w:rsid w:val="5E0C20CB"/>
    <w:rsid w:val="5E0E1FBC"/>
    <w:rsid w:val="5E15B494"/>
    <w:rsid w:val="5E160824"/>
    <w:rsid w:val="5E16944C"/>
    <w:rsid w:val="5E172923"/>
    <w:rsid w:val="5E2881F2"/>
    <w:rsid w:val="5E3755CF"/>
    <w:rsid w:val="5E4BCA73"/>
    <w:rsid w:val="5E53ED88"/>
    <w:rsid w:val="5E54DC12"/>
    <w:rsid w:val="5E599989"/>
    <w:rsid w:val="5E5C4485"/>
    <w:rsid w:val="5E693DAA"/>
    <w:rsid w:val="5E6E3866"/>
    <w:rsid w:val="5EA62930"/>
    <w:rsid w:val="5EA700B6"/>
    <w:rsid w:val="5EA7C0DB"/>
    <w:rsid w:val="5EADB58E"/>
    <w:rsid w:val="5EB8F841"/>
    <w:rsid w:val="5EDF6972"/>
    <w:rsid w:val="5EEDF322"/>
    <w:rsid w:val="5EFC7C9F"/>
    <w:rsid w:val="5EFD4683"/>
    <w:rsid w:val="5EFF9519"/>
    <w:rsid w:val="5F1B4A6D"/>
    <w:rsid w:val="5F2B7B94"/>
    <w:rsid w:val="5F2F078F"/>
    <w:rsid w:val="5F4B4485"/>
    <w:rsid w:val="5F4D439F"/>
    <w:rsid w:val="5F566DC0"/>
    <w:rsid w:val="5F5A7C2D"/>
    <w:rsid w:val="5F6D521D"/>
    <w:rsid w:val="5F714936"/>
    <w:rsid w:val="5F716111"/>
    <w:rsid w:val="5F716E78"/>
    <w:rsid w:val="5F7BA729"/>
    <w:rsid w:val="5F7E6C27"/>
    <w:rsid w:val="5F828EA8"/>
    <w:rsid w:val="5F90C6B0"/>
    <w:rsid w:val="5F9B9F48"/>
    <w:rsid w:val="5FB110B1"/>
    <w:rsid w:val="5FD48723"/>
    <w:rsid w:val="5FE19BF8"/>
    <w:rsid w:val="6002B658"/>
    <w:rsid w:val="60038A52"/>
    <w:rsid w:val="600FE9E0"/>
    <w:rsid w:val="601BC3C5"/>
    <w:rsid w:val="601D15D6"/>
    <w:rsid w:val="601E4B52"/>
    <w:rsid w:val="60258555"/>
    <w:rsid w:val="602E50A7"/>
    <w:rsid w:val="60336506"/>
    <w:rsid w:val="604073D6"/>
    <w:rsid w:val="604691CD"/>
    <w:rsid w:val="60511937"/>
    <w:rsid w:val="60560BF9"/>
    <w:rsid w:val="605C4052"/>
    <w:rsid w:val="606D7355"/>
    <w:rsid w:val="60773A81"/>
    <w:rsid w:val="60C10D6B"/>
    <w:rsid w:val="60D31681"/>
    <w:rsid w:val="60D89C55"/>
    <w:rsid w:val="60DE92EA"/>
    <w:rsid w:val="60E490C8"/>
    <w:rsid w:val="60E7ED76"/>
    <w:rsid w:val="60EBB060"/>
    <w:rsid w:val="60EC48E5"/>
    <w:rsid w:val="61106B83"/>
    <w:rsid w:val="6114C8BC"/>
    <w:rsid w:val="6114DE00"/>
    <w:rsid w:val="6117778A"/>
    <w:rsid w:val="611AAC79"/>
    <w:rsid w:val="613266FF"/>
    <w:rsid w:val="613BA884"/>
    <w:rsid w:val="6158FD19"/>
    <w:rsid w:val="615F13D4"/>
    <w:rsid w:val="616022B4"/>
    <w:rsid w:val="616395B6"/>
    <w:rsid w:val="616A7760"/>
    <w:rsid w:val="61700340"/>
    <w:rsid w:val="617B9D45"/>
    <w:rsid w:val="6184060A"/>
    <w:rsid w:val="618BA12D"/>
    <w:rsid w:val="61CA9B28"/>
    <w:rsid w:val="61CF3D71"/>
    <w:rsid w:val="61D574F2"/>
    <w:rsid w:val="61E947C7"/>
    <w:rsid w:val="61EBA429"/>
    <w:rsid w:val="61EFEE4C"/>
    <w:rsid w:val="61F55448"/>
    <w:rsid w:val="61F6809D"/>
    <w:rsid w:val="61FD05EF"/>
    <w:rsid w:val="62027C4D"/>
    <w:rsid w:val="620A34F5"/>
    <w:rsid w:val="621C4E2E"/>
    <w:rsid w:val="621C737C"/>
    <w:rsid w:val="6224556F"/>
    <w:rsid w:val="62255F2D"/>
    <w:rsid w:val="622585AB"/>
    <w:rsid w:val="62291C0D"/>
    <w:rsid w:val="623BAC08"/>
    <w:rsid w:val="623D2470"/>
    <w:rsid w:val="623E8D0D"/>
    <w:rsid w:val="6241000F"/>
    <w:rsid w:val="625B19F7"/>
    <w:rsid w:val="625D9C5A"/>
    <w:rsid w:val="6264923E"/>
    <w:rsid w:val="62711359"/>
    <w:rsid w:val="62720F83"/>
    <w:rsid w:val="62722E20"/>
    <w:rsid w:val="62782CD8"/>
    <w:rsid w:val="628A4136"/>
    <w:rsid w:val="628D66D8"/>
    <w:rsid w:val="62988E6E"/>
    <w:rsid w:val="62A4F884"/>
    <w:rsid w:val="62C9C525"/>
    <w:rsid w:val="62CFDFD0"/>
    <w:rsid w:val="62DB5008"/>
    <w:rsid w:val="62E7EE2C"/>
    <w:rsid w:val="62E96278"/>
    <w:rsid w:val="62EA9A46"/>
    <w:rsid w:val="62ECCF1F"/>
    <w:rsid w:val="62F3FAA0"/>
    <w:rsid w:val="62F63363"/>
    <w:rsid w:val="62F7077D"/>
    <w:rsid w:val="630EBC14"/>
    <w:rsid w:val="63134FC8"/>
    <w:rsid w:val="632ECFB4"/>
    <w:rsid w:val="634DFE3A"/>
    <w:rsid w:val="63534803"/>
    <w:rsid w:val="63553BA6"/>
    <w:rsid w:val="63666B89"/>
    <w:rsid w:val="63675AF0"/>
    <w:rsid w:val="6367CC2E"/>
    <w:rsid w:val="637D651D"/>
    <w:rsid w:val="6396CDFE"/>
    <w:rsid w:val="639CC731"/>
    <w:rsid w:val="63ABE6C1"/>
    <w:rsid w:val="63B84118"/>
    <w:rsid w:val="63BF6ACA"/>
    <w:rsid w:val="63C576E2"/>
    <w:rsid w:val="63C7218C"/>
    <w:rsid w:val="63C77E74"/>
    <w:rsid w:val="63D04523"/>
    <w:rsid w:val="63D1E134"/>
    <w:rsid w:val="63E2E15C"/>
    <w:rsid w:val="63FE7289"/>
    <w:rsid w:val="6405D3C0"/>
    <w:rsid w:val="64065D8F"/>
    <w:rsid w:val="640C6A3A"/>
    <w:rsid w:val="641749BF"/>
    <w:rsid w:val="64194DC2"/>
    <w:rsid w:val="6424ACF7"/>
    <w:rsid w:val="64334121"/>
    <w:rsid w:val="6439DE79"/>
    <w:rsid w:val="644C697E"/>
    <w:rsid w:val="644F184C"/>
    <w:rsid w:val="647498AB"/>
    <w:rsid w:val="64886738"/>
    <w:rsid w:val="6491F95C"/>
    <w:rsid w:val="649A0157"/>
    <w:rsid w:val="649EA1C7"/>
    <w:rsid w:val="64A39C09"/>
    <w:rsid w:val="64AC31BE"/>
    <w:rsid w:val="64C11268"/>
    <w:rsid w:val="64CA1B7A"/>
    <w:rsid w:val="64D4FDAB"/>
    <w:rsid w:val="64D7B788"/>
    <w:rsid w:val="64E374C1"/>
    <w:rsid w:val="64EAAF28"/>
    <w:rsid w:val="64EACCBC"/>
    <w:rsid w:val="64EBE486"/>
    <w:rsid w:val="64F4EECB"/>
    <w:rsid w:val="64F68B1F"/>
    <w:rsid w:val="6506D079"/>
    <w:rsid w:val="6513D572"/>
    <w:rsid w:val="65293494"/>
    <w:rsid w:val="6533DBC8"/>
    <w:rsid w:val="6536E6D9"/>
    <w:rsid w:val="653F40B0"/>
    <w:rsid w:val="654EF882"/>
    <w:rsid w:val="655CE85A"/>
    <w:rsid w:val="655D0B65"/>
    <w:rsid w:val="656BE61C"/>
    <w:rsid w:val="657B20F6"/>
    <w:rsid w:val="6587BA2B"/>
    <w:rsid w:val="659A38CE"/>
    <w:rsid w:val="65A3349A"/>
    <w:rsid w:val="65A6DFD8"/>
    <w:rsid w:val="65A9D21A"/>
    <w:rsid w:val="65B71ED6"/>
    <w:rsid w:val="65BBF166"/>
    <w:rsid w:val="65C7676D"/>
    <w:rsid w:val="65D96513"/>
    <w:rsid w:val="65DABB26"/>
    <w:rsid w:val="65DDAE0A"/>
    <w:rsid w:val="65E77B29"/>
    <w:rsid w:val="65F30918"/>
    <w:rsid w:val="66031321"/>
    <w:rsid w:val="66087BC8"/>
    <w:rsid w:val="660AA912"/>
    <w:rsid w:val="66139DBF"/>
    <w:rsid w:val="66143B42"/>
    <w:rsid w:val="6620085C"/>
    <w:rsid w:val="662AD119"/>
    <w:rsid w:val="662F956A"/>
    <w:rsid w:val="6631D979"/>
    <w:rsid w:val="663859EC"/>
    <w:rsid w:val="6648F971"/>
    <w:rsid w:val="664AF08A"/>
    <w:rsid w:val="665019E9"/>
    <w:rsid w:val="6654E22F"/>
    <w:rsid w:val="665E1FD5"/>
    <w:rsid w:val="666303F0"/>
    <w:rsid w:val="66648826"/>
    <w:rsid w:val="6670CE0C"/>
    <w:rsid w:val="667CA3D1"/>
    <w:rsid w:val="66879684"/>
    <w:rsid w:val="66927702"/>
    <w:rsid w:val="66A5ECEF"/>
    <w:rsid w:val="66BBE4C6"/>
    <w:rsid w:val="66CCD95B"/>
    <w:rsid w:val="66CD3235"/>
    <w:rsid w:val="66D2900B"/>
    <w:rsid w:val="66D42E05"/>
    <w:rsid w:val="66D44048"/>
    <w:rsid w:val="66DDFB02"/>
    <w:rsid w:val="66ED9F88"/>
    <w:rsid w:val="66F8B8BB"/>
    <w:rsid w:val="66FB5CAB"/>
    <w:rsid w:val="66FE84D6"/>
    <w:rsid w:val="670725BB"/>
    <w:rsid w:val="670DF755"/>
    <w:rsid w:val="671148A5"/>
    <w:rsid w:val="67162ACC"/>
    <w:rsid w:val="671BD1D3"/>
    <w:rsid w:val="6724CFA7"/>
    <w:rsid w:val="67250FA4"/>
    <w:rsid w:val="67267F75"/>
    <w:rsid w:val="673179F9"/>
    <w:rsid w:val="6733F382"/>
    <w:rsid w:val="674F92B0"/>
    <w:rsid w:val="6752EF37"/>
    <w:rsid w:val="676AE1E3"/>
    <w:rsid w:val="676D5944"/>
    <w:rsid w:val="6776AB77"/>
    <w:rsid w:val="677B96CD"/>
    <w:rsid w:val="6781829A"/>
    <w:rsid w:val="678612E4"/>
    <w:rsid w:val="678EA694"/>
    <w:rsid w:val="678F8B52"/>
    <w:rsid w:val="6798AE86"/>
    <w:rsid w:val="679E40FD"/>
    <w:rsid w:val="67ABFC50"/>
    <w:rsid w:val="67B00BA3"/>
    <w:rsid w:val="67B0AAD2"/>
    <w:rsid w:val="67CB65CB"/>
    <w:rsid w:val="67CBBD0C"/>
    <w:rsid w:val="67D7506C"/>
    <w:rsid w:val="67E99CC1"/>
    <w:rsid w:val="67F0D08D"/>
    <w:rsid w:val="67F8074A"/>
    <w:rsid w:val="67FA306F"/>
    <w:rsid w:val="67FE28EB"/>
    <w:rsid w:val="68040835"/>
    <w:rsid w:val="6804B05B"/>
    <w:rsid w:val="680EE935"/>
    <w:rsid w:val="682A443F"/>
    <w:rsid w:val="68376BCD"/>
    <w:rsid w:val="683B95DB"/>
    <w:rsid w:val="683DC491"/>
    <w:rsid w:val="683E3BA6"/>
    <w:rsid w:val="6846BF0C"/>
    <w:rsid w:val="6852B94C"/>
    <w:rsid w:val="68639C53"/>
    <w:rsid w:val="6877995D"/>
    <w:rsid w:val="688E04C5"/>
    <w:rsid w:val="6894C629"/>
    <w:rsid w:val="689628E9"/>
    <w:rsid w:val="68A09385"/>
    <w:rsid w:val="68B52C6A"/>
    <w:rsid w:val="68C0E582"/>
    <w:rsid w:val="68C42193"/>
    <w:rsid w:val="68C6BF16"/>
    <w:rsid w:val="68CA25F9"/>
    <w:rsid w:val="68CFC3E3"/>
    <w:rsid w:val="68D3DEC1"/>
    <w:rsid w:val="68D85BC8"/>
    <w:rsid w:val="68D95AB3"/>
    <w:rsid w:val="68DE1508"/>
    <w:rsid w:val="68E1685D"/>
    <w:rsid w:val="68E25852"/>
    <w:rsid w:val="68E3C322"/>
    <w:rsid w:val="68E3D7D0"/>
    <w:rsid w:val="68EEBF98"/>
    <w:rsid w:val="68F453D3"/>
    <w:rsid w:val="690B16FB"/>
    <w:rsid w:val="6917E4CB"/>
    <w:rsid w:val="691AED0B"/>
    <w:rsid w:val="692FE7DB"/>
    <w:rsid w:val="693383E8"/>
    <w:rsid w:val="6944340C"/>
    <w:rsid w:val="695035CD"/>
    <w:rsid w:val="695DC3E0"/>
    <w:rsid w:val="69815BB4"/>
    <w:rsid w:val="6994DF2D"/>
    <w:rsid w:val="699C7E51"/>
    <w:rsid w:val="69AA688A"/>
    <w:rsid w:val="69B02541"/>
    <w:rsid w:val="69B91C58"/>
    <w:rsid w:val="69C652A3"/>
    <w:rsid w:val="69C96710"/>
    <w:rsid w:val="69D5A39F"/>
    <w:rsid w:val="69DA189E"/>
    <w:rsid w:val="69DD8DB1"/>
    <w:rsid w:val="69ECE470"/>
    <w:rsid w:val="69EF055B"/>
    <w:rsid w:val="69F017EB"/>
    <w:rsid w:val="6A2C06B9"/>
    <w:rsid w:val="6A2C8AD5"/>
    <w:rsid w:val="6A313A02"/>
    <w:rsid w:val="6A43D2FD"/>
    <w:rsid w:val="6A5B997C"/>
    <w:rsid w:val="6A732F99"/>
    <w:rsid w:val="6A73554A"/>
    <w:rsid w:val="6A830CE7"/>
    <w:rsid w:val="6A8C0473"/>
    <w:rsid w:val="6A92BA1F"/>
    <w:rsid w:val="6A9477DE"/>
    <w:rsid w:val="6A9E17C2"/>
    <w:rsid w:val="6AA2896B"/>
    <w:rsid w:val="6AB4DD20"/>
    <w:rsid w:val="6ABFC296"/>
    <w:rsid w:val="6AC64756"/>
    <w:rsid w:val="6AC6C20B"/>
    <w:rsid w:val="6AC904BD"/>
    <w:rsid w:val="6ACEC652"/>
    <w:rsid w:val="6AD69A22"/>
    <w:rsid w:val="6AE64DA5"/>
    <w:rsid w:val="6AE81073"/>
    <w:rsid w:val="6AEA529C"/>
    <w:rsid w:val="6AEB77EB"/>
    <w:rsid w:val="6AF8FACA"/>
    <w:rsid w:val="6AFF097E"/>
    <w:rsid w:val="6B12E355"/>
    <w:rsid w:val="6B201F66"/>
    <w:rsid w:val="6B262934"/>
    <w:rsid w:val="6B302B83"/>
    <w:rsid w:val="6B3BC35C"/>
    <w:rsid w:val="6B44D7EA"/>
    <w:rsid w:val="6B5B3298"/>
    <w:rsid w:val="6B868B99"/>
    <w:rsid w:val="6B8CB8FE"/>
    <w:rsid w:val="6B98A1FA"/>
    <w:rsid w:val="6BA61B80"/>
    <w:rsid w:val="6BB23819"/>
    <w:rsid w:val="6BEBF43C"/>
    <w:rsid w:val="6BEDB806"/>
    <w:rsid w:val="6C0B4937"/>
    <w:rsid w:val="6C0D6F60"/>
    <w:rsid w:val="6C153C0A"/>
    <w:rsid w:val="6C27C6BE"/>
    <w:rsid w:val="6C3504D6"/>
    <w:rsid w:val="6C3AE821"/>
    <w:rsid w:val="6C3BCB60"/>
    <w:rsid w:val="6C43AE06"/>
    <w:rsid w:val="6C54C0EC"/>
    <w:rsid w:val="6C6217B7"/>
    <w:rsid w:val="6C771E30"/>
    <w:rsid w:val="6C7EC8C2"/>
    <w:rsid w:val="6C7EE17E"/>
    <w:rsid w:val="6C834884"/>
    <w:rsid w:val="6C836F44"/>
    <w:rsid w:val="6CA06B91"/>
    <w:rsid w:val="6CA6D220"/>
    <w:rsid w:val="6CB25358"/>
    <w:rsid w:val="6CBD0623"/>
    <w:rsid w:val="6CC30D95"/>
    <w:rsid w:val="6CC5342C"/>
    <w:rsid w:val="6CCC9C78"/>
    <w:rsid w:val="6CD6C857"/>
    <w:rsid w:val="6CDCAA83"/>
    <w:rsid w:val="6CDFCE3F"/>
    <w:rsid w:val="6CE4E133"/>
    <w:rsid w:val="6CED809F"/>
    <w:rsid w:val="6D0091CE"/>
    <w:rsid w:val="6D00F8EE"/>
    <w:rsid w:val="6D017A24"/>
    <w:rsid w:val="6D060E62"/>
    <w:rsid w:val="6D071C75"/>
    <w:rsid w:val="6D0A47AE"/>
    <w:rsid w:val="6D1A4D88"/>
    <w:rsid w:val="6D346938"/>
    <w:rsid w:val="6D438827"/>
    <w:rsid w:val="6D4B48EE"/>
    <w:rsid w:val="6D4E5B32"/>
    <w:rsid w:val="6D55DAAA"/>
    <w:rsid w:val="6D651C1E"/>
    <w:rsid w:val="6D6558B5"/>
    <w:rsid w:val="6D7D10B4"/>
    <w:rsid w:val="6DADA267"/>
    <w:rsid w:val="6DBC71D8"/>
    <w:rsid w:val="6DC184BE"/>
    <w:rsid w:val="6DDA4255"/>
    <w:rsid w:val="6DEBDC3A"/>
    <w:rsid w:val="6DF48389"/>
    <w:rsid w:val="6E0FA200"/>
    <w:rsid w:val="6E2A2168"/>
    <w:rsid w:val="6E2FD20B"/>
    <w:rsid w:val="6E31E442"/>
    <w:rsid w:val="6E35EF87"/>
    <w:rsid w:val="6E5EB2C1"/>
    <w:rsid w:val="6E627BD9"/>
    <w:rsid w:val="6E6C828A"/>
    <w:rsid w:val="6E701ACD"/>
    <w:rsid w:val="6E707979"/>
    <w:rsid w:val="6E7B7C98"/>
    <w:rsid w:val="6E7D99C6"/>
    <w:rsid w:val="6E93237F"/>
    <w:rsid w:val="6EA00311"/>
    <w:rsid w:val="6EA5508B"/>
    <w:rsid w:val="6EA96A99"/>
    <w:rsid w:val="6EB0FED4"/>
    <w:rsid w:val="6EB58F97"/>
    <w:rsid w:val="6EB8DD38"/>
    <w:rsid w:val="6EC05593"/>
    <w:rsid w:val="6EE0CE29"/>
    <w:rsid w:val="6EE21D1E"/>
    <w:rsid w:val="6EE8CA50"/>
    <w:rsid w:val="6EF5DAC8"/>
    <w:rsid w:val="6F03E4E5"/>
    <w:rsid w:val="6F0FD509"/>
    <w:rsid w:val="6F1268E9"/>
    <w:rsid w:val="6F3425A9"/>
    <w:rsid w:val="6F44686E"/>
    <w:rsid w:val="6F4A560A"/>
    <w:rsid w:val="6F656A9A"/>
    <w:rsid w:val="6F6D1B2B"/>
    <w:rsid w:val="6F797001"/>
    <w:rsid w:val="6F8F87F1"/>
    <w:rsid w:val="6F9A7670"/>
    <w:rsid w:val="6F9FBCA3"/>
    <w:rsid w:val="6FAE4A0F"/>
    <w:rsid w:val="6FBA5176"/>
    <w:rsid w:val="6FDB6942"/>
    <w:rsid w:val="6FDF1083"/>
    <w:rsid w:val="6FDF24BF"/>
    <w:rsid w:val="6FE96F28"/>
    <w:rsid w:val="6FECD6D8"/>
    <w:rsid w:val="6FFD4BFE"/>
    <w:rsid w:val="70152AC7"/>
    <w:rsid w:val="701C7651"/>
    <w:rsid w:val="702CC073"/>
    <w:rsid w:val="702D7F63"/>
    <w:rsid w:val="702F8509"/>
    <w:rsid w:val="703BAC34"/>
    <w:rsid w:val="703BD372"/>
    <w:rsid w:val="70405433"/>
    <w:rsid w:val="704C2842"/>
    <w:rsid w:val="704CA946"/>
    <w:rsid w:val="704CCF35"/>
    <w:rsid w:val="70616AA7"/>
    <w:rsid w:val="70796A95"/>
    <w:rsid w:val="707F8DD6"/>
    <w:rsid w:val="7084D2B3"/>
    <w:rsid w:val="70920188"/>
    <w:rsid w:val="7099DAE8"/>
    <w:rsid w:val="70A9F588"/>
    <w:rsid w:val="70B5AE4F"/>
    <w:rsid w:val="70B6A80A"/>
    <w:rsid w:val="70BA298A"/>
    <w:rsid w:val="70C03738"/>
    <w:rsid w:val="70C3E490"/>
    <w:rsid w:val="70CC77C9"/>
    <w:rsid w:val="70D19738"/>
    <w:rsid w:val="70D2096A"/>
    <w:rsid w:val="70D4CD91"/>
    <w:rsid w:val="70DCA46A"/>
    <w:rsid w:val="70DEEFE8"/>
    <w:rsid w:val="70E2A758"/>
    <w:rsid w:val="70E2BEF6"/>
    <w:rsid w:val="70EE56E9"/>
    <w:rsid w:val="70F38D37"/>
    <w:rsid w:val="70F705BF"/>
    <w:rsid w:val="7100E9AF"/>
    <w:rsid w:val="710950B6"/>
    <w:rsid w:val="710C60DC"/>
    <w:rsid w:val="710D9ADA"/>
    <w:rsid w:val="710F3C83"/>
    <w:rsid w:val="710F79EC"/>
    <w:rsid w:val="7110A98F"/>
    <w:rsid w:val="711E9DC7"/>
    <w:rsid w:val="71237A9E"/>
    <w:rsid w:val="712D5432"/>
    <w:rsid w:val="71320144"/>
    <w:rsid w:val="713748A8"/>
    <w:rsid w:val="7147C4D7"/>
    <w:rsid w:val="71564CEA"/>
    <w:rsid w:val="71627EB7"/>
    <w:rsid w:val="71687F79"/>
    <w:rsid w:val="716C465E"/>
    <w:rsid w:val="716C7834"/>
    <w:rsid w:val="718EC356"/>
    <w:rsid w:val="7196CD3E"/>
    <w:rsid w:val="71ACD78D"/>
    <w:rsid w:val="71C09974"/>
    <w:rsid w:val="71C190F6"/>
    <w:rsid w:val="71C80757"/>
    <w:rsid w:val="71CE3D5A"/>
    <w:rsid w:val="71D478F5"/>
    <w:rsid w:val="71E8AC78"/>
    <w:rsid w:val="71FB8939"/>
    <w:rsid w:val="7206BADD"/>
    <w:rsid w:val="7207F63C"/>
    <w:rsid w:val="720FB739"/>
    <w:rsid w:val="72240D4C"/>
    <w:rsid w:val="722AD1F9"/>
    <w:rsid w:val="722D7B8A"/>
    <w:rsid w:val="724775CB"/>
    <w:rsid w:val="724C0283"/>
    <w:rsid w:val="7263DAA4"/>
    <w:rsid w:val="7264CC02"/>
    <w:rsid w:val="7269AF35"/>
    <w:rsid w:val="72954620"/>
    <w:rsid w:val="729D8F64"/>
    <w:rsid w:val="72A6B75E"/>
    <w:rsid w:val="72B800C5"/>
    <w:rsid w:val="72C23281"/>
    <w:rsid w:val="72CEEF66"/>
    <w:rsid w:val="72D0D3F1"/>
    <w:rsid w:val="72D2B316"/>
    <w:rsid w:val="72E06BBC"/>
    <w:rsid w:val="72E88B31"/>
    <w:rsid w:val="72EA05A8"/>
    <w:rsid w:val="72EE29C0"/>
    <w:rsid w:val="72F59A1D"/>
    <w:rsid w:val="72F6E49F"/>
    <w:rsid w:val="7306D090"/>
    <w:rsid w:val="731D372B"/>
    <w:rsid w:val="732A5D65"/>
    <w:rsid w:val="7337BD49"/>
    <w:rsid w:val="7337EFC1"/>
    <w:rsid w:val="733D5CFF"/>
    <w:rsid w:val="7342B2F2"/>
    <w:rsid w:val="73455ED9"/>
    <w:rsid w:val="7359F828"/>
    <w:rsid w:val="73720471"/>
    <w:rsid w:val="7394ED67"/>
    <w:rsid w:val="73A6CB49"/>
    <w:rsid w:val="73A9C8D1"/>
    <w:rsid w:val="73B14ECE"/>
    <w:rsid w:val="73B1C704"/>
    <w:rsid w:val="73B33615"/>
    <w:rsid w:val="73BD7232"/>
    <w:rsid w:val="73C1BCA6"/>
    <w:rsid w:val="73C7EB25"/>
    <w:rsid w:val="73C9A24A"/>
    <w:rsid w:val="73DBD771"/>
    <w:rsid w:val="73F20642"/>
    <w:rsid w:val="73F9DF20"/>
    <w:rsid w:val="73FB8552"/>
    <w:rsid w:val="741A08AF"/>
    <w:rsid w:val="7433421F"/>
    <w:rsid w:val="7443224F"/>
    <w:rsid w:val="744961FA"/>
    <w:rsid w:val="744EEE4E"/>
    <w:rsid w:val="744F116E"/>
    <w:rsid w:val="745DC36A"/>
    <w:rsid w:val="746BCA52"/>
    <w:rsid w:val="746C1823"/>
    <w:rsid w:val="74713058"/>
    <w:rsid w:val="747A1ED1"/>
    <w:rsid w:val="747F8F02"/>
    <w:rsid w:val="74869E44"/>
    <w:rsid w:val="7486FAF9"/>
    <w:rsid w:val="7498B79E"/>
    <w:rsid w:val="74B45418"/>
    <w:rsid w:val="74C8A186"/>
    <w:rsid w:val="74D25470"/>
    <w:rsid w:val="74D3B121"/>
    <w:rsid w:val="74DB9A2F"/>
    <w:rsid w:val="74DC5796"/>
    <w:rsid w:val="74EE21CF"/>
    <w:rsid w:val="74F1E165"/>
    <w:rsid w:val="751276F5"/>
    <w:rsid w:val="751F86F2"/>
    <w:rsid w:val="75200298"/>
    <w:rsid w:val="7527B7DE"/>
    <w:rsid w:val="75371601"/>
    <w:rsid w:val="753AA038"/>
    <w:rsid w:val="755162A5"/>
    <w:rsid w:val="7551EA31"/>
    <w:rsid w:val="75547176"/>
    <w:rsid w:val="755A37A3"/>
    <w:rsid w:val="755EA92F"/>
    <w:rsid w:val="75658C29"/>
    <w:rsid w:val="75853EE5"/>
    <w:rsid w:val="759755B3"/>
    <w:rsid w:val="75A3D934"/>
    <w:rsid w:val="75AF93E4"/>
    <w:rsid w:val="75B9BBC9"/>
    <w:rsid w:val="75D13E32"/>
    <w:rsid w:val="75D41963"/>
    <w:rsid w:val="75D866D4"/>
    <w:rsid w:val="75DA8CFB"/>
    <w:rsid w:val="75F8A808"/>
    <w:rsid w:val="75FCB84C"/>
    <w:rsid w:val="76007058"/>
    <w:rsid w:val="76050DCB"/>
    <w:rsid w:val="76079AB3"/>
    <w:rsid w:val="760B24BF"/>
    <w:rsid w:val="7614906B"/>
    <w:rsid w:val="76189D5C"/>
    <w:rsid w:val="761EC2E7"/>
    <w:rsid w:val="761FE758"/>
    <w:rsid w:val="764E515E"/>
    <w:rsid w:val="765537DF"/>
    <w:rsid w:val="76776A90"/>
    <w:rsid w:val="7682976A"/>
    <w:rsid w:val="769B4FD9"/>
    <w:rsid w:val="76A38962"/>
    <w:rsid w:val="76AAEDB8"/>
    <w:rsid w:val="76AD9094"/>
    <w:rsid w:val="76BDA0FC"/>
    <w:rsid w:val="76C3D850"/>
    <w:rsid w:val="76E078F5"/>
    <w:rsid w:val="76ECF0C8"/>
    <w:rsid w:val="76F5F614"/>
    <w:rsid w:val="7701F785"/>
    <w:rsid w:val="771A12AC"/>
    <w:rsid w:val="773D32C8"/>
    <w:rsid w:val="77450D4F"/>
    <w:rsid w:val="77485A4D"/>
    <w:rsid w:val="774B995E"/>
    <w:rsid w:val="774CFB19"/>
    <w:rsid w:val="774F6309"/>
    <w:rsid w:val="7751A37B"/>
    <w:rsid w:val="77567924"/>
    <w:rsid w:val="7769120E"/>
    <w:rsid w:val="77710087"/>
    <w:rsid w:val="7775E44C"/>
    <w:rsid w:val="77784E56"/>
    <w:rsid w:val="77793180"/>
    <w:rsid w:val="7779848A"/>
    <w:rsid w:val="777AED27"/>
    <w:rsid w:val="77857994"/>
    <w:rsid w:val="7786F02E"/>
    <w:rsid w:val="778FA702"/>
    <w:rsid w:val="77960FB9"/>
    <w:rsid w:val="7796B590"/>
    <w:rsid w:val="779C78FD"/>
    <w:rsid w:val="77BF2D20"/>
    <w:rsid w:val="77C1A18B"/>
    <w:rsid w:val="77D0B30F"/>
    <w:rsid w:val="77D60F3F"/>
    <w:rsid w:val="77DCA687"/>
    <w:rsid w:val="77EE647D"/>
    <w:rsid w:val="77F505FF"/>
    <w:rsid w:val="77F8593E"/>
    <w:rsid w:val="78135FE8"/>
    <w:rsid w:val="78190B37"/>
    <w:rsid w:val="78357F83"/>
    <w:rsid w:val="7837E444"/>
    <w:rsid w:val="783E48AE"/>
    <w:rsid w:val="78422A5C"/>
    <w:rsid w:val="78468054"/>
    <w:rsid w:val="78492423"/>
    <w:rsid w:val="785975C9"/>
    <w:rsid w:val="786A0CEA"/>
    <w:rsid w:val="787EAC4B"/>
    <w:rsid w:val="789516A3"/>
    <w:rsid w:val="7895252C"/>
    <w:rsid w:val="78A07EE0"/>
    <w:rsid w:val="78B0D495"/>
    <w:rsid w:val="78B4EAD8"/>
    <w:rsid w:val="78B66308"/>
    <w:rsid w:val="78BFC85C"/>
    <w:rsid w:val="78CEF675"/>
    <w:rsid w:val="78D909DA"/>
    <w:rsid w:val="78E60FB6"/>
    <w:rsid w:val="78FC39B6"/>
    <w:rsid w:val="78FCE031"/>
    <w:rsid w:val="7900E14D"/>
    <w:rsid w:val="7904A4C0"/>
    <w:rsid w:val="791067DE"/>
    <w:rsid w:val="79122DBD"/>
    <w:rsid w:val="791CB8E7"/>
    <w:rsid w:val="7923A8FA"/>
    <w:rsid w:val="793285F1"/>
    <w:rsid w:val="7933998B"/>
    <w:rsid w:val="793F4C08"/>
    <w:rsid w:val="794240DB"/>
    <w:rsid w:val="795689AA"/>
    <w:rsid w:val="7962385B"/>
    <w:rsid w:val="7969FDC7"/>
    <w:rsid w:val="7971D58C"/>
    <w:rsid w:val="797C2F2C"/>
    <w:rsid w:val="797CF0FC"/>
    <w:rsid w:val="7983733D"/>
    <w:rsid w:val="798EB27D"/>
    <w:rsid w:val="799B4A9F"/>
    <w:rsid w:val="79AB4FF6"/>
    <w:rsid w:val="79BAF002"/>
    <w:rsid w:val="79D3B4A5"/>
    <w:rsid w:val="79E250B5"/>
    <w:rsid w:val="79ED94FB"/>
    <w:rsid w:val="79F9EF7D"/>
    <w:rsid w:val="7A1EFB44"/>
    <w:rsid w:val="7A269425"/>
    <w:rsid w:val="7A406897"/>
    <w:rsid w:val="7A44934E"/>
    <w:rsid w:val="7A5287B0"/>
    <w:rsid w:val="7A62AEF4"/>
    <w:rsid w:val="7A6922FC"/>
    <w:rsid w:val="7A812096"/>
    <w:rsid w:val="7A8827B0"/>
    <w:rsid w:val="7A8FA327"/>
    <w:rsid w:val="7A91BCC7"/>
    <w:rsid w:val="7A933C64"/>
    <w:rsid w:val="7AA9FE68"/>
    <w:rsid w:val="7AB3993F"/>
    <w:rsid w:val="7AB53FC9"/>
    <w:rsid w:val="7AC8249C"/>
    <w:rsid w:val="7AC8AA06"/>
    <w:rsid w:val="7ACC70FD"/>
    <w:rsid w:val="7AD1F763"/>
    <w:rsid w:val="7AD8147C"/>
    <w:rsid w:val="7ADE9B4D"/>
    <w:rsid w:val="7AE0F1A4"/>
    <w:rsid w:val="7AE27FB7"/>
    <w:rsid w:val="7AE4B4B6"/>
    <w:rsid w:val="7AF5DFC8"/>
    <w:rsid w:val="7B09D9B9"/>
    <w:rsid w:val="7B0CB20F"/>
    <w:rsid w:val="7B199486"/>
    <w:rsid w:val="7B23B837"/>
    <w:rsid w:val="7B398492"/>
    <w:rsid w:val="7B464AA3"/>
    <w:rsid w:val="7B4FF328"/>
    <w:rsid w:val="7B5877C9"/>
    <w:rsid w:val="7B65E6EC"/>
    <w:rsid w:val="7B8F8EBE"/>
    <w:rsid w:val="7B9D627F"/>
    <w:rsid w:val="7BA4738C"/>
    <w:rsid w:val="7BA5D479"/>
    <w:rsid w:val="7BB388AD"/>
    <w:rsid w:val="7BB76817"/>
    <w:rsid w:val="7BD6F9E8"/>
    <w:rsid w:val="7BF5F529"/>
    <w:rsid w:val="7BFBE4A2"/>
    <w:rsid w:val="7BFCEA3C"/>
    <w:rsid w:val="7C0131A0"/>
    <w:rsid w:val="7C07A3E6"/>
    <w:rsid w:val="7C1BFB6B"/>
    <w:rsid w:val="7C26F579"/>
    <w:rsid w:val="7C2AE536"/>
    <w:rsid w:val="7C2C0B93"/>
    <w:rsid w:val="7C342DEB"/>
    <w:rsid w:val="7C39696D"/>
    <w:rsid w:val="7C3ECC7F"/>
    <w:rsid w:val="7C53B20F"/>
    <w:rsid w:val="7C697A0B"/>
    <w:rsid w:val="7C74AE7B"/>
    <w:rsid w:val="7C766F24"/>
    <w:rsid w:val="7C7A5993"/>
    <w:rsid w:val="7C7BC42F"/>
    <w:rsid w:val="7C7EF91C"/>
    <w:rsid w:val="7C978DA9"/>
    <w:rsid w:val="7CA385E5"/>
    <w:rsid w:val="7CA386CA"/>
    <w:rsid w:val="7CA3CB47"/>
    <w:rsid w:val="7CA9C3DA"/>
    <w:rsid w:val="7CB27241"/>
    <w:rsid w:val="7CB2A4D2"/>
    <w:rsid w:val="7CB765A4"/>
    <w:rsid w:val="7CD05082"/>
    <w:rsid w:val="7CD64F67"/>
    <w:rsid w:val="7CDF6B87"/>
    <w:rsid w:val="7CF9A289"/>
    <w:rsid w:val="7CFCF0A1"/>
    <w:rsid w:val="7D01BD9B"/>
    <w:rsid w:val="7D1D8E68"/>
    <w:rsid w:val="7D1FC8B5"/>
    <w:rsid w:val="7D2598FB"/>
    <w:rsid w:val="7D402EE7"/>
    <w:rsid w:val="7D4108CF"/>
    <w:rsid w:val="7D690E85"/>
    <w:rsid w:val="7D6E3A10"/>
    <w:rsid w:val="7D6E4242"/>
    <w:rsid w:val="7D743B26"/>
    <w:rsid w:val="7D8A2872"/>
    <w:rsid w:val="7D8AE7FA"/>
    <w:rsid w:val="7D8DD900"/>
    <w:rsid w:val="7D912AE4"/>
    <w:rsid w:val="7D96D972"/>
    <w:rsid w:val="7D9A8222"/>
    <w:rsid w:val="7DA31440"/>
    <w:rsid w:val="7DADD180"/>
    <w:rsid w:val="7DB57A03"/>
    <w:rsid w:val="7DCD800E"/>
    <w:rsid w:val="7DDD9F14"/>
    <w:rsid w:val="7DF1C632"/>
    <w:rsid w:val="7DF808E4"/>
    <w:rsid w:val="7E2112B5"/>
    <w:rsid w:val="7E254BFE"/>
    <w:rsid w:val="7E2E6EA4"/>
    <w:rsid w:val="7E36D499"/>
    <w:rsid w:val="7E417A7B"/>
    <w:rsid w:val="7E4D3749"/>
    <w:rsid w:val="7E570B70"/>
    <w:rsid w:val="7E5AA0D8"/>
    <w:rsid w:val="7E6365E5"/>
    <w:rsid w:val="7E67EC2F"/>
    <w:rsid w:val="7E7766F2"/>
    <w:rsid w:val="7E93F366"/>
    <w:rsid w:val="7EB5D10A"/>
    <w:rsid w:val="7EE31162"/>
    <w:rsid w:val="7F0C081E"/>
    <w:rsid w:val="7F103CDE"/>
    <w:rsid w:val="7F1EAE8B"/>
    <w:rsid w:val="7F27F2CF"/>
    <w:rsid w:val="7F2BBCF0"/>
    <w:rsid w:val="7F2CD14C"/>
    <w:rsid w:val="7F2F2BC9"/>
    <w:rsid w:val="7F31A62B"/>
    <w:rsid w:val="7F335913"/>
    <w:rsid w:val="7F37295D"/>
    <w:rsid w:val="7F471447"/>
    <w:rsid w:val="7F5DEDDE"/>
    <w:rsid w:val="7F6DAD31"/>
    <w:rsid w:val="7F71B3C7"/>
    <w:rsid w:val="7F7E2622"/>
    <w:rsid w:val="7F8C5265"/>
    <w:rsid w:val="7F909A33"/>
    <w:rsid w:val="7F940518"/>
    <w:rsid w:val="7F9727C9"/>
    <w:rsid w:val="7FA25EED"/>
    <w:rsid w:val="7FA5BB8D"/>
    <w:rsid w:val="7FA6E08A"/>
    <w:rsid w:val="7FA8671D"/>
    <w:rsid w:val="7FB16C9A"/>
    <w:rsid w:val="7FC3C559"/>
    <w:rsid w:val="7FDB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937F993"/>
  <w15:docId w15:val="{10D7A98D-3057-4594-AE78-90571AD0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85A"/>
    <w:pPr>
      <w:keepNext/>
      <w:keepLines/>
      <w:numPr>
        <w:numId w:val="5"/>
      </w:numPr>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unhideWhenUsed/>
    <w:qFormat/>
    <w:rsid w:val="00AE1C39"/>
    <w:pPr>
      <w:keepNext/>
      <w:keepLines/>
      <w:numPr>
        <w:numId w:val="6"/>
      </w:numPr>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unhideWhenUsed/>
    <w:qFormat/>
    <w:rsid w:val="002C385A"/>
    <w:pPr>
      <w:keepNext/>
      <w:keepLines/>
      <w:spacing w:before="200" w:after="0"/>
      <w:outlineLvl w:val="2"/>
    </w:pPr>
    <w:rPr>
      <w:rFonts w:asciiTheme="majorHAnsi" w:eastAsiaTheme="majorEastAsia" w:hAnsiTheme="majorHAnsi" w:cstheme="majorBidi"/>
      <w:b/>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A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A15A0"/>
    <w:rPr>
      <w:rFonts w:ascii="Times New Roman" w:hAnsi="Times New Roman" w:cs="Times New Roman"/>
      <w:sz w:val="24"/>
    </w:rPr>
  </w:style>
  <w:style w:type="paragraph" w:styleId="Footer">
    <w:name w:val="footer"/>
    <w:basedOn w:val="Normal"/>
    <w:link w:val="FooterChar"/>
    <w:uiPriority w:val="99"/>
    <w:unhideWhenUsed/>
    <w:rsid w:val="00BA15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A15A0"/>
    <w:rPr>
      <w:rFonts w:ascii="Times New Roman" w:hAnsi="Times New Roman" w:cs="Times New Roman"/>
      <w:sz w:val="24"/>
    </w:rPr>
  </w:style>
  <w:style w:type="paragraph" w:customStyle="1" w:styleId="FooterCoverPage">
    <w:name w:val="Footer Cover Page"/>
    <w:basedOn w:val="Normal"/>
    <w:link w:val="FooterCoverPageChar"/>
    <w:rsid w:val="000F70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F7074"/>
    <w:rPr>
      <w:rFonts w:ascii="Times New Roman" w:hAnsi="Times New Roman" w:cs="Times New Roman"/>
      <w:sz w:val="24"/>
    </w:rPr>
  </w:style>
  <w:style w:type="paragraph" w:customStyle="1" w:styleId="HeaderCoverPage">
    <w:name w:val="Header Cover Page"/>
    <w:basedOn w:val="Normal"/>
    <w:link w:val="HeaderCoverPageChar"/>
    <w:rsid w:val="000F70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F7074"/>
    <w:rPr>
      <w:rFonts w:ascii="Times New Roman" w:hAnsi="Times New Roman" w:cs="Times New Roman"/>
      <w:sz w:val="24"/>
    </w:rPr>
  </w:style>
  <w:style w:type="character" w:customStyle="1" w:styleId="Heading1Char">
    <w:name w:val="Heading 1 Char"/>
    <w:basedOn w:val="DefaultParagraphFont"/>
    <w:link w:val="Heading1"/>
    <w:uiPriority w:val="9"/>
    <w:rsid w:val="002C385A"/>
    <w:rPr>
      <w:rFonts w:asciiTheme="majorHAnsi" w:eastAsiaTheme="majorEastAsia" w:hAnsiTheme="majorHAnsi" w:cstheme="majorBidi"/>
      <w:b/>
      <w:color w:val="365F91" w:themeColor="accent1" w:themeShade="BF"/>
      <w:sz w:val="28"/>
    </w:rPr>
  </w:style>
  <w:style w:type="character" w:customStyle="1" w:styleId="Heading2Char">
    <w:name w:val="Heading 2 Char"/>
    <w:basedOn w:val="DefaultParagraphFont"/>
    <w:link w:val="Heading2"/>
    <w:uiPriority w:val="9"/>
    <w:rsid w:val="00AE1C39"/>
    <w:rPr>
      <w:rFonts w:asciiTheme="majorHAnsi" w:eastAsiaTheme="majorEastAsia" w:hAnsiTheme="majorHAnsi" w:cstheme="majorBidi"/>
      <w:b/>
      <w:color w:val="4F81BD" w:themeColor="accent1"/>
      <w:sz w:val="26"/>
    </w:rPr>
  </w:style>
  <w:style w:type="character" w:customStyle="1" w:styleId="Heading3Char">
    <w:name w:val="Heading 3 Char"/>
    <w:basedOn w:val="DefaultParagraphFont"/>
    <w:link w:val="Heading3"/>
    <w:uiPriority w:val="9"/>
    <w:rsid w:val="002C385A"/>
    <w:rPr>
      <w:rFonts w:asciiTheme="majorHAnsi" w:eastAsiaTheme="majorEastAsia" w:hAnsiTheme="majorHAnsi" w:cstheme="majorBidi"/>
      <w:b/>
      <w:color w:val="4F81BD" w:themeColor="accent1"/>
    </w:rPr>
  </w:style>
  <w:style w:type="character" w:styleId="Emphasis">
    <w:name w:val="Emphasis"/>
    <w:basedOn w:val="DefaultParagraphFont"/>
    <w:uiPriority w:val="20"/>
    <w:qFormat/>
    <w:rsid w:val="00527F32"/>
    <w:rPr>
      <w:i/>
    </w:rPr>
  </w:style>
  <w:style w:type="paragraph" w:styleId="TOCHeading">
    <w:name w:val="TOC Heading"/>
    <w:basedOn w:val="Heading1"/>
    <w:next w:val="Normal"/>
    <w:uiPriority w:val="39"/>
    <w:unhideWhenUsed/>
    <w:qFormat/>
    <w:rsid w:val="00FE13A9"/>
    <w:pPr>
      <w:numPr>
        <w:numId w:val="0"/>
      </w:numPr>
      <w:outlineLvl w:val="9"/>
    </w:pPr>
  </w:style>
  <w:style w:type="paragraph" w:styleId="TOC1">
    <w:name w:val="toc 1"/>
    <w:basedOn w:val="Normal"/>
    <w:next w:val="Normal"/>
    <w:autoRedefine/>
    <w:uiPriority w:val="39"/>
    <w:unhideWhenUsed/>
    <w:rsid w:val="00FE13A9"/>
    <w:pPr>
      <w:spacing w:after="100"/>
    </w:pPr>
  </w:style>
  <w:style w:type="paragraph" w:styleId="TOC2">
    <w:name w:val="toc 2"/>
    <w:basedOn w:val="Normal"/>
    <w:next w:val="Normal"/>
    <w:autoRedefine/>
    <w:uiPriority w:val="39"/>
    <w:unhideWhenUsed/>
    <w:rsid w:val="00FE13A9"/>
    <w:pPr>
      <w:spacing w:after="100"/>
      <w:ind w:left="220"/>
    </w:pPr>
  </w:style>
  <w:style w:type="character" w:styleId="Hyperlink">
    <w:name w:val="Hyperlink"/>
    <w:basedOn w:val="DefaultParagraphFont"/>
    <w:uiPriority w:val="99"/>
    <w:unhideWhenUsed/>
    <w:rsid w:val="00FE13A9"/>
    <w:rPr>
      <w:color w:val="0000FF" w:themeColor="hyperlink"/>
      <w:u w:val="single"/>
    </w:rPr>
  </w:style>
  <w:style w:type="paragraph" w:styleId="BalloonText">
    <w:name w:val="Balloon Text"/>
    <w:basedOn w:val="Normal"/>
    <w:link w:val="BalloonTextChar"/>
    <w:uiPriority w:val="99"/>
    <w:semiHidden/>
    <w:unhideWhenUsed/>
    <w:rsid w:val="00FE13A9"/>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FE13A9"/>
    <w:rPr>
      <w:rFonts w:ascii="Tahoma" w:hAnsi="Tahoma" w:cs="Tahoma"/>
      <w:sz w:val="16"/>
    </w:rPr>
  </w:style>
  <w:style w:type="paragraph" w:styleId="ListParagraph">
    <w:name w:val="List Paragraph"/>
    <w:basedOn w:val="Normal"/>
    <w:uiPriority w:val="34"/>
    <w:qFormat/>
    <w:rsid w:val="005669BA"/>
    <w:pPr>
      <w:ind w:left="720"/>
      <w:contextualSpacing/>
    </w:pPr>
  </w:style>
  <w:style w:type="paragraph" w:styleId="FootnoteText">
    <w:name w:val="footnote text"/>
    <w:basedOn w:val="Normal"/>
    <w:link w:val="FootnoteTextChar"/>
    <w:uiPriority w:val="99"/>
    <w:semiHidden/>
    <w:unhideWhenUsed/>
    <w:rsid w:val="00116CC1"/>
    <w:pPr>
      <w:spacing w:after="0" w:line="240" w:lineRule="auto"/>
    </w:pPr>
    <w:rPr>
      <w:sz w:val="20"/>
    </w:rPr>
  </w:style>
  <w:style w:type="character" w:customStyle="1" w:styleId="FootnoteTextChar">
    <w:name w:val="Footnote Text Char"/>
    <w:basedOn w:val="DefaultParagraphFont"/>
    <w:link w:val="FootnoteText"/>
    <w:uiPriority w:val="99"/>
    <w:semiHidden/>
    <w:rsid w:val="00116CC1"/>
    <w:rPr>
      <w:sz w:val="20"/>
    </w:rPr>
  </w:style>
  <w:style w:type="character" w:styleId="FootnoteReference">
    <w:name w:val="footnote reference"/>
    <w:basedOn w:val="DefaultParagraphFont"/>
    <w:uiPriority w:val="99"/>
    <w:semiHidden/>
    <w:unhideWhenUsed/>
    <w:rsid w:val="00116CC1"/>
    <w:rPr>
      <w:vertAlign w:val="superscript"/>
    </w:rPr>
  </w:style>
  <w:style w:type="paragraph" w:customStyle="1" w:styleId="Declassification">
    <w:name w:val="Declassification"/>
    <w:basedOn w:val="Normal"/>
    <w:next w:val="Normal"/>
    <w:rsid w:val="00BA15A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BA15A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BA15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A15A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BA15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Marker">
    <w:name w:val="Marker"/>
    <w:basedOn w:val="DefaultParagraphFont"/>
    <w:rsid w:val="00BA15A0"/>
    <w:rPr>
      <w:color w:val="0000FF"/>
      <w:shd w:val="clear" w:color="auto" w:fill="auto"/>
    </w:rPr>
  </w:style>
  <w:style w:type="paragraph" w:customStyle="1" w:styleId="Pagedecouverture">
    <w:name w:val="Page de couverture"/>
    <w:basedOn w:val="Normal"/>
    <w:next w:val="Normal"/>
    <w:rsid w:val="00BA15A0"/>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3C0D27"/>
    <w:rPr>
      <w:sz w:val="16"/>
    </w:rPr>
  </w:style>
  <w:style w:type="paragraph" w:styleId="CommentText">
    <w:name w:val="annotation text"/>
    <w:basedOn w:val="Normal"/>
    <w:link w:val="CommentTextChar"/>
    <w:uiPriority w:val="99"/>
    <w:semiHidden/>
    <w:unhideWhenUsed/>
    <w:rsid w:val="003C0D27"/>
    <w:pPr>
      <w:spacing w:line="240" w:lineRule="auto"/>
    </w:pPr>
    <w:rPr>
      <w:sz w:val="20"/>
    </w:rPr>
  </w:style>
  <w:style w:type="character" w:customStyle="1" w:styleId="CommentTextChar">
    <w:name w:val="Comment Text Char"/>
    <w:basedOn w:val="DefaultParagraphFont"/>
    <w:link w:val="CommentText"/>
    <w:uiPriority w:val="99"/>
    <w:semiHidden/>
    <w:rsid w:val="003C0D27"/>
    <w:rPr>
      <w:sz w:val="20"/>
    </w:rPr>
  </w:style>
  <w:style w:type="paragraph" w:styleId="CommentSubject">
    <w:name w:val="annotation subject"/>
    <w:basedOn w:val="CommentText"/>
    <w:next w:val="CommentText"/>
    <w:link w:val="CommentSubjectChar"/>
    <w:uiPriority w:val="99"/>
    <w:semiHidden/>
    <w:unhideWhenUsed/>
    <w:rsid w:val="003C0D27"/>
    <w:rPr>
      <w:b/>
    </w:rPr>
  </w:style>
  <w:style w:type="character" w:customStyle="1" w:styleId="CommentSubjectChar">
    <w:name w:val="Comment Subject Char"/>
    <w:basedOn w:val="CommentTextChar"/>
    <w:link w:val="CommentSubject"/>
    <w:uiPriority w:val="99"/>
    <w:semiHidden/>
    <w:rsid w:val="003C0D27"/>
    <w:rPr>
      <w:b/>
      <w:sz w:val="20"/>
    </w:rPr>
  </w:style>
  <w:style w:type="character" w:styleId="FollowedHyperlink">
    <w:name w:val="FollowedHyperlink"/>
    <w:basedOn w:val="DefaultParagraphFont"/>
    <w:uiPriority w:val="99"/>
    <w:semiHidden/>
    <w:unhideWhenUsed/>
    <w:rsid w:val="00B017BE"/>
    <w:rPr>
      <w:color w:val="800080" w:themeColor="followedHyperlink"/>
      <w:u w:val="single"/>
    </w:rPr>
  </w:style>
  <w:style w:type="paragraph" w:customStyle="1" w:styleId="Typedudocument">
    <w:name w:val="Type du document"/>
    <w:basedOn w:val="Normal"/>
    <w:next w:val="Normal"/>
    <w:rsid w:val="006A42C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A42C0"/>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rsid w:val="00B8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1E18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E18C5"/>
    <w:pPr>
      <w:spacing w:after="0"/>
      <w:ind w:left="5103"/>
    </w:pPr>
    <w:rPr>
      <w:rFonts w:ascii="Times New Roman" w:hAnsi="Times New Roman" w:cs="Times New Roman"/>
      <w:sz w:val="28"/>
    </w:rPr>
  </w:style>
  <w:style w:type="paragraph" w:customStyle="1" w:styleId="DateMarking">
    <w:name w:val="DateMarking"/>
    <w:basedOn w:val="Normal"/>
    <w:rsid w:val="001E18C5"/>
    <w:pPr>
      <w:spacing w:after="0"/>
      <w:ind w:left="5103"/>
    </w:pPr>
    <w:rPr>
      <w:rFonts w:ascii="Times New Roman" w:hAnsi="Times New Roman" w:cs="Times New Roman"/>
      <w:i/>
      <w:sz w:val="28"/>
    </w:rPr>
  </w:style>
  <w:style w:type="paragraph" w:customStyle="1" w:styleId="ReleasableTo">
    <w:name w:val="ReleasableTo"/>
    <w:basedOn w:val="Normal"/>
    <w:rsid w:val="001E18C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E18C5"/>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rsid w:val="00302342"/>
  </w:style>
  <w:style w:type="character" w:customStyle="1" w:styleId="superscript">
    <w:name w:val="superscript"/>
    <w:basedOn w:val="DefaultParagraphFont"/>
    <w:rsid w:val="00302342"/>
  </w:style>
  <w:style w:type="character" w:customStyle="1" w:styleId="eop">
    <w:name w:val="eop"/>
    <w:basedOn w:val="DefaultParagraphFont"/>
    <w:rsid w:val="00302342"/>
  </w:style>
  <w:style w:type="paragraph" w:customStyle="1" w:styleId="oj-normal">
    <w:name w:val="oj-normal"/>
    <w:basedOn w:val="Normal"/>
    <w:rsid w:val="00B20311"/>
    <w:pPr>
      <w:spacing w:before="100" w:beforeAutospacing="1" w:after="100" w:afterAutospacing="1" w:line="240" w:lineRule="auto"/>
    </w:pPr>
    <w:rPr>
      <w:rFonts w:ascii="Times New Roman" w:eastAsia="Times New Roman" w:hAnsi="Times New Roman" w:cs="Times New Roman"/>
      <w:sz w:val="24"/>
    </w:rPr>
  </w:style>
  <w:style w:type="character" w:customStyle="1" w:styleId="findhit">
    <w:name w:val="findhit"/>
    <w:basedOn w:val="DefaultParagraphFont"/>
    <w:rsid w:val="00B87B87"/>
  </w:style>
  <w:style w:type="paragraph" w:styleId="Revision">
    <w:name w:val="Revision"/>
    <w:hidden/>
    <w:uiPriority w:val="99"/>
    <w:semiHidden/>
    <w:rsid w:val="00B919D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sid w:val="00BD0787"/>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47">
      <w:bodyDiv w:val="1"/>
      <w:marLeft w:val="0"/>
      <w:marRight w:val="0"/>
      <w:marTop w:val="0"/>
      <w:marBottom w:val="0"/>
      <w:divBdr>
        <w:top w:val="none" w:sz="0" w:space="0" w:color="auto"/>
        <w:left w:val="none" w:sz="0" w:space="0" w:color="auto"/>
        <w:bottom w:val="none" w:sz="0" w:space="0" w:color="auto"/>
        <w:right w:val="none" w:sz="0" w:space="0" w:color="auto"/>
      </w:divBdr>
      <w:divsChild>
        <w:div w:id="1345741144">
          <w:marLeft w:val="0"/>
          <w:marRight w:val="0"/>
          <w:marTop w:val="0"/>
          <w:marBottom w:val="0"/>
          <w:divBdr>
            <w:top w:val="none" w:sz="0" w:space="0" w:color="auto"/>
            <w:left w:val="none" w:sz="0" w:space="0" w:color="auto"/>
            <w:bottom w:val="none" w:sz="0" w:space="0" w:color="auto"/>
            <w:right w:val="none" w:sz="0" w:space="0" w:color="auto"/>
          </w:divBdr>
        </w:div>
        <w:div w:id="1786340408">
          <w:marLeft w:val="0"/>
          <w:marRight w:val="0"/>
          <w:marTop w:val="0"/>
          <w:marBottom w:val="0"/>
          <w:divBdr>
            <w:top w:val="none" w:sz="0" w:space="0" w:color="auto"/>
            <w:left w:val="none" w:sz="0" w:space="0" w:color="auto"/>
            <w:bottom w:val="none" w:sz="0" w:space="0" w:color="auto"/>
            <w:right w:val="none" w:sz="0" w:space="0" w:color="auto"/>
          </w:divBdr>
        </w:div>
      </w:divsChild>
    </w:div>
    <w:div w:id="188304720">
      <w:bodyDiv w:val="1"/>
      <w:marLeft w:val="0"/>
      <w:marRight w:val="0"/>
      <w:marTop w:val="0"/>
      <w:marBottom w:val="0"/>
      <w:divBdr>
        <w:top w:val="none" w:sz="0" w:space="0" w:color="auto"/>
        <w:left w:val="none" w:sz="0" w:space="0" w:color="auto"/>
        <w:bottom w:val="none" w:sz="0" w:space="0" w:color="auto"/>
        <w:right w:val="none" w:sz="0" w:space="0" w:color="auto"/>
      </w:divBdr>
      <w:divsChild>
        <w:div w:id="737945533">
          <w:marLeft w:val="0"/>
          <w:marRight w:val="0"/>
          <w:marTop w:val="0"/>
          <w:marBottom w:val="0"/>
          <w:divBdr>
            <w:top w:val="none" w:sz="0" w:space="0" w:color="auto"/>
            <w:left w:val="none" w:sz="0" w:space="0" w:color="auto"/>
            <w:bottom w:val="none" w:sz="0" w:space="0" w:color="auto"/>
            <w:right w:val="none" w:sz="0" w:space="0" w:color="auto"/>
          </w:divBdr>
        </w:div>
        <w:div w:id="1561283874">
          <w:marLeft w:val="0"/>
          <w:marRight w:val="0"/>
          <w:marTop w:val="0"/>
          <w:marBottom w:val="0"/>
          <w:divBdr>
            <w:top w:val="none" w:sz="0" w:space="0" w:color="auto"/>
            <w:left w:val="none" w:sz="0" w:space="0" w:color="auto"/>
            <w:bottom w:val="none" w:sz="0" w:space="0" w:color="auto"/>
            <w:right w:val="none" w:sz="0" w:space="0" w:color="auto"/>
          </w:divBdr>
        </w:div>
      </w:divsChild>
    </w:div>
    <w:div w:id="238487679">
      <w:bodyDiv w:val="1"/>
      <w:marLeft w:val="0"/>
      <w:marRight w:val="0"/>
      <w:marTop w:val="0"/>
      <w:marBottom w:val="0"/>
      <w:divBdr>
        <w:top w:val="none" w:sz="0" w:space="0" w:color="auto"/>
        <w:left w:val="none" w:sz="0" w:space="0" w:color="auto"/>
        <w:bottom w:val="none" w:sz="0" w:space="0" w:color="auto"/>
        <w:right w:val="none" w:sz="0" w:space="0" w:color="auto"/>
      </w:divBdr>
    </w:div>
    <w:div w:id="487207099">
      <w:bodyDiv w:val="1"/>
      <w:marLeft w:val="0"/>
      <w:marRight w:val="0"/>
      <w:marTop w:val="0"/>
      <w:marBottom w:val="0"/>
      <w:divBdr>
        <w:top w:val="none" w:sz="0" w:space="0" w:color="auto"/>
        <w:left w:val="none" w:sz="0" w:space="0" w:color="auto"/>
        <w:bottom w:val="none" w:sz="0" w:space="0" w:color="auto"/>
        <w:right w:val="none" w:sz="0" w:space="0" w:color="auto"/>
      </w:divBdr>
    </w:div>
    <w:div w:id="840504830">
      <w:bodyDiv w:val="1"/>
      <w:marLeft w:val="0"/>
      <w:marRight w:val="0"/>
      <w:marTop w:val="0"/>
      <w:marBottom w:val="0"/>
      <w:divBdr>
        <w:top w:val="none" w:sz="0" w:space="0" w:color="auto"/>
        <w:left w:val="none" w:sz="0" w:space="0" w:color="auto"/>
        <w:bottom w:val="none" w:sz="0" w:space="0" w:color="auto"/>
        <w:right w:val="none" w:sz="0" w:space="0" w:color="auto"/>
      </w:divBdr>
      <w:divsChild>
        <w:div w:id="308631969">
          <w:marLeft w:val="0"/>
          <w:marRight w:val="0"/>
          <w:marTop w:val="0"/>
          <w:marBottom w:val="0"/>
          <w:divBdr>
            <w:top w:val="none" w:sz="0" w:space="0" w:color="auto"/>
            <w:left w:val="none" w:sz="0" w:space="0" w:color="auto"/>
            <w:bottom w:val="none" w:sz="0" w:space="0" w:color="auto"/>
            <w:right w:val="none" w:sz="0" w:space="0" w:color="auto"/>
          </w:divBdr>
          <w:divsChild>
            <w:div w:id="800880765">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1647903343">
              <w:marLeft w:val="0"/>
              <w:marRight w:val="0"/>
              <w:marTop w:val="0"/>
              <w:marBottom w:val="0"/>
              <w:divBdr>
                <w:top w:val="none" w:sz="0" w:space="0" w:color="auto"/>
                <w:left w:val="none" w:sz="0" w:space="0" w:color="auto"/>
                <w:bottom w:val="none" w:sz="0" w:space="0" w:color="auto"/>
                <w:right w:val="none" w:sz="0" w:space="0" w:color="auto"/>
              </w:divBdr>
            </w:div>
            <w:div w:id="1710571948">
              <w:marLeft w:val="0"/>
              <w:marRight w:val="0"/>
              <w:marTop w:val="0"/>
              <w:marBottom w:val="0"/>
              <w:divBdr>
                <w:top w:val="none" w:sz="0" w:space="0" w:color="auto"/>
                <w:left w:val="none" w:sz="0" w:space="0" w:color="auto"/>
                <w:bottom w:val="none" w:sz="0" w:space="0" w:color="auto"/>
                <w:right w:val="none" w:sz="0" w:space="0" w:color="auto"/>
              </w:divBdr>
            </w:div>
            <w:div w:id="2048095212">
              <w:marLeft w:val="0"/>
              <w:marRight w:val="0"/>
              <w:marTop w:val="0"/>
              <w:marBottom w:val="0"/>
              <w:divBdr>
                <w:top w:val="none" w:sz="0" w:space="0" w:color="auto"/>
                <w:left w:val="none" w:sz="0" w:space="0" w:color="auto"/>
                <w:bottom w:val="none" w:sz="0" w:space="0" w:color="auto"/>
                <w:right w:val="none" w:sz="0" w:space="0" w:color="auto"/>
              </w:divBdr>
            </w:div>
          </w:divsChild>
        </w:div>
        <w:div w:id="1170483908">
          <w:marLeft w:val="0"/>
          <w:marRight w:val="0"/>
          <w:marTop w:val="0"/>
          <w:marBottom w:val="0"/>
          <w:divBdr>
            <w:top w:val="none" w:sz="0" w:space="0" w:color="auto"/>
            <w:left w:val="none" w:sz="0" w:space="0" w:color="auto"/>
            <w:bottom w:val="none" w:sz="0" w:space="0" w:color="auto"/>
            <w:right w:val="none" w:sz="0" w:space="0" w:color="auto"/>
          </w:divBdr>
        </w:div>
        <w:div w:id="1242791368">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 w:id="136337306">
              <w:marLeft w:val="0"/>
              <w:marRight w:val="0"/>
              <w:marTop w:val="0"/>
              <w:marBottom w:val="0"/>
              <w:divBdr>
                <w:top w:val="none" w:sz="0" w:space="0" w:color="auto"/>
                <w:left w:val="none" w:sz="0" w:space="0" w:color="auto"/>
                <w:bottom w:val="none" w:sz="0" w:space="0" w:color="auto"/>
                <w:right w:val="none" w:sz="0" w:space="0" w:color="auto"/>
              </w:divBdr>
            </w:div>
            <w:div w:id="1102148004">
              <w:marLeft w:val="0"/>
              <w:marRight w:val="0"/>
              <w:marTop w:val="0"/>
              <w:marBottom w:val="0"/>
              <w:divBdr>
                <w:top w:val="none" w:sz="0" w:space="0" w:color="auto"/>
                <w:left w:val="none" w:sz="0" w:space="0" w:color="auto"/>
                <w:bottom w:val="none" w:sz="0" w:space="0" w:color="auto"/>
                <w:right w:val="none" w:sz="0" w:space="0" w:color="auto"/>
              </w:divBdr>
            </w:div>
            <w:div w:id="1114133370">
              <w:marLeft w:val="0"/>
              <w:marRight w:val="0"/>
              <w:marTop w:val="0"/>
              <w:marBottom w:val="0"/>
              <w:divBdr>
                <w:top w:val="none" w:sz="0" w:space="0" w:color="auto"/>
                <w:left w:val="none" w:sz="0" w:space="0" w:color="auto"/>
                <w:bottom w:val="none" w:sz="0" w:space="0" w:color="auto"/>
                <w:right w:val="none" w:sz="0" w:space="0" w:color="auto"/>
              </w:divBdr>
            </w:div>
            <w:div w:id="1262491995">
              <w:marLeft w:val="0"/>
              <w:marRight w:val="0"/>
              <w:marTop w:val="0"/>
              <w:marBottom w:val="0"/>
              <w:divBdr>
                <w:top w:val="none" w:sz="0" w:space="0" w:color="auto"/>
                <w:left w:val="none" w:sz="0" w:space="0" w:color="auto"/>
                <w:bottom w:val="none" w:sz="0" w:space="0" w:color="auto"/>
                <w:right w:val="none" w:sz="0" w:space="0" w:color="auto"/>
              </w:divBdr>
            </w:div>
          </w:divsChild>
        </w:div>
        <w:div w:id="1328248302">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0"/>
              <w:marBottom w:val="0"/>
              <w:divBdr>
                <w:top w:val="none" w:sz="0" w:space="0" w:color="auto"/>
                <w:left w:val="none" w:sz="0" w:space="0" w:color="auto"/>
                <w:bottom w:val="none" w:sz="0" w:space="0" w:color="auto"/>
                <w:right w:val="none" w:sz="0" w:space="0" w:color="auto"/>
              </w:divBdr>
            </w:div>
            <w:div w:id="439764246">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31">
      <w:bodyDiv w:val="1"/>
      <w:marLeft w:val="0"/>
      <w:marRight w:val="0"/>
      <w:marTop w:val="0"/>
      <w:marBottom w:val="0"/>
      <w:divBdr>
        <w:top w:val="none" w:sz="0" w:space="0" w:color="auto"/>
        <w:left w:val="none" w:sz="0" w:space="0" w:color="auto"/>
        <w:bottom w:val="none" w:sz="0" w:space="0" w:color="auto"/>
        <w:right w:val="none" w:sz="0" w:space="0" w:color="auto"/>
      </w:divBdr>
    </w:div>
    <w:div w:id="1206681056">
      <w:bodyDiv w:val="1"/>
      <w:marLeft w:val="0"/>
      <w:marRight w:val="0"/>
      <w:marTop w:val="0"/>
      <w:marBottom w:val="0"/>
      <w:divBdr>
        <w:top w:val="none" w:sz="0" w:space="0" w:color="auto"/>
        <w:left w:val="none" w:sz="0" w:space="0" w:color="auto"/>
        <w:bottom w:val="none" w:sz="0" w:space="0" w:color="auto"/>
        <w:right w:val="none" w:sz="0" w:space="0" w:color="auto"/>
      </w:divBdr>
      <w:divsChild>
        <w:div w:id="922035813">
          <w:marLeft w:val="0"/>
          <w:marRight w:val="0"/>
          <w:marTop w:val="0"/>
          <w:marBottom w:val="0"/>
          <w:divBdr>
            <w:top w:val="none" w:sz="0" w:space="0" w:color="auto"/>
            <w:left w:val="none" w:sz="0" w:space="0" w:color="auto"/>
            <w:bottom w:val="none" w:sz="0" w:space="0" w:color="auto"/>
            <w:right w:val="none" w:sz="0" w:space="0" w:color="auto"/>
          </w:divBdr>
        </w:div>
        <w:div w:id="2072070895">
          <w:marLeft w:val="0"/>
          <w:marRight w:val="0"/>
          <w:marTop w:val="0"/>
          <w:marBottom w:val="0"/>
          <w:divBdr>
            <w:top w:val="none" w:sz="0" w:space="0" w:color="auto"/>
            <w:left w:val="none" w:sz="0" w:space="0" w:color="auto"/>
            <w:bottom w:val="none" w:sz="0" w:space="0" w:color="auto"/>
            <w:right w:val="none" w:sz="0" w:space="0" w:color="auto"/>
          </w:divBdr>
        </w:div>
        <w:div w:id="2142114105">
          <w:marLeft w:val="0"/>
          <w:marRight w:val="0"/>
          <w:marTop w:val="0"/>
          <w:marBottom w:val="0"/>
          <w:divBdr>
            <w:top w:val="none" w:sz="0" w:space="0" w:color="auto"/>
            <w:left w:val="none" w:sz="0" w:space="0" w:color="auto"/>
            <w:bottom w:val="none" w:sz="0" w:space="0" w:color="auto"/>
            <w:right w:val="none" w:sz="0" w:space="0" w:color="auto"/>
          </w:divBdr>
        </w:div>
      </w:divsChild>
    </w:div>
    <w:div w:id="1465541226">
      <w:bodyDiv w:val="1"/>
      <w:marLeft w:val="0"/>
      <w:marRight w:val="0"/>
      <w:marTop w:val="0"/>
      <w:marBottom w:val="0"/>
      <w:divBdr>
        <w:top w:val="none" w:sz="0" w:space="0" w:color="auto"/>
        <w:left w:val="none" w:sz="0" w:space="0" w:color="auto"/>
        <w:bottom w:val="none" w:sz="0" w:space="0" w:color="auto"/>
        <w:right w:val="none" w:sz="0" w:space="0" w:color="auto"/>
      </w:divBdr>
      <w:divsChild>
        <w:div w:id="429667586">
          <w:marLeft w:val="0"/>
          <w:marRight w:val="0"/>
          <w:marTop w:val="0"/>
          <w:marBottom w:val="0"/>
          <w:divBdr>
            <w:top w:val="none" w:sz="0" w:space="0" w:color="auto"/>
            <w:left w:val="none" w:sz="0" w:space="0" w:color="auto"/>
            <w:bottom w:val="none" w:sz="0" w:space="0" w:color="auto"/>
            <w:right w:val="none" w:sz="0" w:space="0" w:color="auto"/>
          </w:divBdr>
        </w:div>
        <w:div w:id="431510027">
          <w:marLeft w:val="0"/>
          <w:marRight w:val="0"/>
          <w:marTop w:val="0"/>
          <w:marBottom w:val="0"/>
          <w:divBdr>
            <w:top w:val="none" w:sz="0" w:space="0" w:color="auto"/>
            <w:left w:val="none" w:sz="0" w:space="0" w:color="auto"/>
            <w:bottom w:val="none" w:sz="0" w:space="0" w:color="auto"/>
            <w:right w:val="none" w:sz="0" w:space="0" w:color="auto"/>
          </w:divBdr>
        </w:div>
        <w:div w:id="492456342">
          <w:marLeft w:val="0"/>
          <w:marRight w:val="0"/>
          <w:marTop w:val="0"/>
          <w:marBottom w:val="0"/>
          <w:divBdr>
            <w:top w:val="none" w:sz="0" w:space="0" w:color="auto"/>
            <w:left w:val="none" w:sz="0" w:space="0" w:color="auto"/>
            <w:bottom w:val="none" w:sz="0" w:space="0" w:color="auto"/>
            <w:right w:val="none" w:sz="0" w:space="0" w:color="auto"/>
          </w:divBdr>
        </w:div>
        <w:div w:id="798111197">
          <w:marLeft w:val="0"/>
          <w:marRight w:val="0"/>
          <w:marTop w:val="0"/>
          <w:marBottom w:val="0"/>
          <w:divBdr>
            <w:top w:val="none" w:sz="0" w:space="0" w:color="auto"/>
            <w:left w:val="none" w:sz="0" w:space="0" w:color="auto"/>
            <w:bottom w:val="none" w:sz="0" w:space="0" w:color="auto"/>
            <w:right w:val="none" w:sz="0" w:space="0" w:color="auto"/>
          </w:divBdr>
        </w:div>
        <w:div w:id="827478726">
          <w:marLeft w:val="0"/>
          <w:marRight w:val="0"/>
          <w:marTop w:val="0"/>
          <w:marBottom w:val="0"/>
          <w:divBdr>
            <w:top w:val="none" w:sz="0" w:space="0" w:color="auto"/>
            <w:left w:val="none" w:sz="0" w:space="0" w:color="auto"/>
            <w:bottom w:val="none" w:sz="0" w:space="0" w:color="auto"/>
            <w:right w:val="none" w:sz="0" w:space="0" w:color="auto"/>
          </w:divBdr>
        </w:div>
        <w:div w:id="1508129727">
          <w:marLeft w:val="0"/>
          <w:marRight w:val="0"/>
          <w:marTop w:val="0"/>
          <w:marBottom w:val="0"/>
          <w:divBdr>
            <w:top w:val="none" w:sz="0" w:space="0" w:color="auto"/>
            <w:left w:val="none" w:sz="0" w:space="0" w:color="auto"/>
            <w:bottom w:val="none" w:sz="0" w:space="0" w:color="auto"/>
            <w:right w:val="none" w:sz="0" w:space="0" w:color="auto"/>
          </w:divBdr>
        </w:div>
        <w:div w:id="1785732676">
          <w:marLeft w:val="0"/>
          <w:marRight w:val="0"/>
          <w:marTop w:val="0"/>
          <w:marBottom w:val="0"/>
          <w:divBdr>
            <w:top w:val="none" w:sz="0" w:space="0" w:color="auto"/>
            <w:left w:val="none" w:sz="0" w:space="0" w:color="auto"/>
            <w:bottom w:val="none" w:sz="0" w:space="0" w:color="auto"/>
            <w:right w:val="none" w:sz="0" w:space="0" w:color="auto"/>
          </w:divBdr>
        </w:div>
        <w:div w:id="2103182555">
          <w:marLeft w:val="0"/>
          <w:marRight w:val="0"/>
          <w:marTop w:val="0"/>
          <w:marBottom w:val="0"/>
          <w:divBdr>
            <w:top w:val="none" w:sz="0" w:space="0" w:color="auto"/>
            <w:left w:val="none" w:sz="0" w:space="0" w:color="auto"/>
            <w:bottom w:val="none" w:sz="0" w:space="0" w:color="auto"/>
            <w:right w:val="none" w:sz="0" w:space="0" w:color="auto"/>
          </w:divBdr>
        </w:div>
      </w:divsChild>
    </w:div>
    <w:div w:id="1496994147">
      <w:bodyDiv w:val="1"/>
      <w:marLeft w:val="0"/>
      <w:marRight w:val="0"/>
      <w:marTop w:val="0"/>
      <w:marBottom w:val="0"/>
      <w:divBdr>
        <w:top w:val="none" w:sz="0" w:space="0" w:color="auto"/>
        <w:left w:val="none" w:sz="0" w:space="0" w:color="auto"/>
        <w:bottom w:val="none" w:sz="0" w:space="0" w:color="auto"/>
        <w:right w:val="none" w:sz="0" w:space="0" w:color="auto"/>
      </w:divBdr>
    </w:div>
    <w:div w:id="1502768612">
      <w:bodyDiv w:val="1"/>
      <w:marLeft w:val="0"/>
      <w:marRight w:val="0"/>
      <w:marTop w:val="0"/>
      <w:marBottom w:val="0"/>
      <w:divBdr>
        <w:top w:val="none" w:sz="0" w:space="0" w:color="auto"/>
        <w:left w:val="none" w:sz="0" w:space="0" w:color="auto"/>
        <w:bottom w:val="none" w:sz="0" w:space="0" w:color="auto"/>
        <w:right w:val="none" w:sz="0" w:space="0" w:color="auto"/>
      </w:divBdr>
    </w:div>
    <w:div w:id="1532569279">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19146657">
      <w:bodyDiv w:val="1"/>
      <w:marLeft w:val="0"/>
      <w:marRight w:val="0"/>
      <w:marTop w:val="0"/>
      <w:marBottom w:val="0"/>
      <w:divBdr>
        <w:top w:val="none" w:sz="0" w:space="0" w:color="auto"/>
        <w:left w:val="none" w:sz="0" w:space="0" w:color="auto"/>
        <w:bottom w:val="none" w:sz="0" w:space="0" w:color="auto"/>
        <w:right w:val="none" w:sz="0" w:space="0" w:color="auto"/>
      </w:divBdr>
    </w:div>
    <w:div w:id="1848445477">
      <w:bodyDiv w:val="1"/>
      <w:marLeft w:val="0"/>
      <w:marRight w:val="0"/>
      <w:marTop w:val="0"/>
      <w:marBottom w:val="0"/>
      <w:divBdr>
        <w:top w:val="none" w:sz="0" w:space="0" w:color="auto"/>
        <w:left w:val="none" w:sz="0" w:space="0" w:color="auto"/>
        <w:bottom w:val="none" w:sz="0" w:space="0" w:color="auto"/>
        <w:right w:val="none" w:sz="0" w:space="0" w:color="auto"/>
      </w:divBdr>
    </w:div>
    <w:div w:id="1879969195">
      <w:bodyDiv w:val="1"/>
      <w:marLeft w:val="0"/>
      <w:marRight w:val="0"/>
      <w:marTop w:val="0"/>
      <w:marBottom w:val="0"/>
      <w:divBdr>
        <w:top w:val="none" w:sz="0" w:space="0" w:color="auto"/>
        <w:left w:val="none" w:sz="0" w:space="0" w:color="auto"/>
        <w:bottom w:val="none" w:sz="0" w:space="0" w:color="auto"/>
        <w:right w:val="none" w:sz="0" w:space="0" w:color="auto"/>
      </w:divBdr>
    </w:div>
    <w:div w:id="1969165600">
      <w:bodyDiv w:val="1"/>
      <w:marLeft w:val="0"/>
      <w:marRight w:val="0"/>
      <w:marTop w:val="0"/>
      <w:marBottom w:val="0"/>
      <w:divBdr>
        <w:top w:val="none" w:sz="0" w:space="0" w:color="auto"/>
        <w:left w:val="none" w:sz="0" w:space="0" w:color="auto"/>
        <w:bottom w:val="none" w:sz="0" w:space="0" w:color="auto"/>
        <w:right w:val="none" w:sz="0" w:space="0" w:color="auto"/>
      </w:divBdr>
    </w:div>
    <w:div w:id="19875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C:2023:061:SOM:PL:HTML" TargetMode="External"/><Relationship Id="rId2" Type="http://schemas.openxmlformats.org/officeDocument/2006/relationships/hyperlink" Target="https://www.acer.europa.eu/news-and-events/news/acer-submitted-framework-guideline-demand-response-european-commission-first-step-towards-binding-eu-rules" TargetMode="External"/><Relationship Id="rId1" Type="http://schemas.openxmlformats.org/officeDocument/2006/relationships/hyperlink" Target="https://eur-lex.europa.eu/legal-content/PL/AUTO/?uri=celex:32022R1854" TargetMode="External"/></Relationships>
</file>

<file path=word/documenttasks/documenttasks1.xml><?xml version="1.0" encoding="utf-8"?>
<t:Tasks xmlns:t="http://schemas.microsoft.com/office/tasks/2019/documenttasks" xmlns:oel="http://schemas.microsoft.com/office/2019/extlst">
  <t:Task id="{11B2EBA1-1AC3-4282-A553-8D0EA26E9033}">
    <t:Anchor>
      <t:Comment id="665996347"/>
    </t:Anchor>
    <t:History>
      <t:Event id="{77DF86A1-3A04-49A6-9C6C-6BFCA98F7263}" time="2023-03-22T11:47:37.046Z">
        <t:Attribution userId="S::maria-eugenia.leoz-martin-casallo@ec.europa.eu::094ef9fa-902d-46ba-8e90-927e21af04d5" userProvider="AD" userName="LEOZ MARTIN-CASALLO Maria Eugenia (ENER)"/>
        <t:Anchor>
          <t:Comment id="741482244"/>
        </t:Anchor>
        <t:Create/>
      </t:Event>
      <t:Event id="{2A11A830-3618-4A39-A0E7-DE50F10CDEAF}" time="2023-03-22T11:47:37.046Z">
        <t:Attribution userId="S::maria-eugenia.leoz-martin-casallo@ec.europa.eu::094ef9fa-902d-46ba-8e90-927e21af04d5" userProvider="AD" userName="LEOZ MARTIN-CASALLO Maria Eugenia (ENER)"/>
        <t:Anchor>
          <t:Comment id="741482244"/>
        </t:Anchor>
        <t:Assign userId="S::Paula.CEBALLOS-COLOMA@ec.europa.eu::51468e81-4d2d-48af-ac53-88022e3d030a" userProvider="AD" userName="CEBALLOS COLOMA Paula (ENER)"/>
      </t:Event>
      <t:Event id="{9AB77D25-60F9-40A2-9BC5-4BF3BF13C3FC}" time="2023-03-22T11:47:37.046Z">
        <t:Attribution userId="S::maria-eugenia.leoz-martin-casallo@ec.europa.eu::094ef9fa-902d-46ba-8e90-927e21af04d5" userProvider="AD" userName="LEOZ MARTIN-CASALLO Maria Eugenia (ENER)"/>
        <t:Anchor>
          <t:Comment id="741482244"/>
        </t:Anchor>
        <t:SetTitle title="…of detail because in the OPC we had some Qs regarding the prolongation of the cap on inframarginal revenues. @CEBALLOS COLOMA Paula (ENER) - do you recall if the replies were more linked to the prolongation of the cap via EMD reform or did they …"/>
      </t:Event>
      <t:Event id="{F56809BA-D11A-40E5-B6E5-37D1BB95A0B0}" time="2023-03-22T13:46:21.35Z">
        <t:Attribution userId="S::paula.ceballos-coloma@ec.europa.eu::51468e81-4d2d-48af-ac53-88022e3d030a" userProvider="AD" userName="CEBALLOS COLOMA Paula (ENER)"/>
        <t:Progress percentComplete="100"/>
      </t:Event>
    </t:History>
  </t:Task>
  <t:Task id="{D01777A7-4151-42E4-8200-7627813A2E45}">
    <t:Anchor>
      <t:Comment id="2060588561"/>
    </t:Anchor>
    <t:History>
      <t:Event id="{57201E4C-230E-447A-9FA4-D17D95B4C3C8}" time="2023-03-22T11:55:33.183Z">
        <t:Attribution userId="S::maria-eugenia.leoz-martin-casallo@ec.europa.eu::094ef9fa-902d-46ba-8e90-927e21af04d5" userProvider="AD" userName="LEOZ MARTIN-CASALLO Maria Eugenia (ENER)"/>
        <t:Anchor>
          <t:Comment id="2060588561"/>
        </t:Anchor>
        <t:Create/>
      </t:Event>
      <t:Event id="{3FFCEB12-F8B4-454F-8804-852ACF933337}" time="2023-03-22T11:55:33.183Z">
        <t:Attribution userId="S::maria-eugenia.leoz-martin-casallo@ec.europa.eu::094ef9fa-902d-46ba-8e90-927e21af04d5" userProvider="AD" userName="LEOZ MARTIN-CASALLO Maria Eugenia (ENER)"/>
        <t:Anchor>
          <t:Comment id="2060588561"/>
        </t:Anchor>
        <t:Assign userId="S::Mathilde.LALLEMAND-DUPUY@ec.europa.eu::1a65fd7e-2893-4b4c-8a87-7d9b05cc269d" userProvider="AD" userName="LALLEMAND DUPUY Mathilde (ENER)"/>
      </t:Event>
      <t:Event id="{68DBA99A-503D-441A-9C66-4D4F151CA601}" time="2023-03-22T11:55:33.183Z">
        <t:Attribution userId="S::maria-eugenia.leoz-martin-casallo@ec.europa.eu::094ef9fa-902d-46ba-8e90-927e21af04d5" userProvider="AD" userName="LEOZ MARTIN-CASALLO Maria Eugenia (ENER)"/>
        <t:Anchor>
          <t:Comment id="2060588561"/>
        </t:Anchor>
        <t:SetTitle title="@LALLEMAND DUPUY Mathilde (ENER) Something seems to be missing here :-)"/>
      </t:Event>
    </t:History>
  </t:Task>
  <t:Task id="{51A1A8AA-E70B-4833-8FA5-EB68946D3528}">
    <t:Anchor>
      <t:Comment id="188542878"/>
    </t:Anchor>
    <t:History>
      <t:Event id="{6CBFDD71-2228-4216-8AAE-1A87CC25280E}" time="2023-03-28T17:58:32.756Z">
        <t:Attribution userId="S::maria-eugenia.leoz-martin-casallo@ec.europa.eu::094ef9fa-902d-46ba-8e90-927e21af04d5" userProvider="AD" userName="LEOZ MARTIN-CASALLO Maria Eugenia (ENER)"/>
        <t:Anchor>
          <t:Comment id="188542878"/>
        </t:Anchor>
        <t:Create/>
      </t:Event>
      <t:Event id="{A96601E6-4C67-4FC6-A9E6-C62AE1C15E9D}" time="2023-03-28T17:58:32.756Z">
        <t:Attribution userId="S::maria-eugenia.leoz-martin-casallo@ec.europa.eu::094ef9fa-902d-46ba-8e90-927e21af04d5" userProvider="AD" userName="LEOZ MARTIN-CASALLO Maria Eugenia (ENER)"/>
        <t:Anchor>
          <t:Comment id="188542878"/>
        </t:Anchor>
        <t:Assign userId="S::Mathilde.LEYGE@ec.europa.eu::275e77d8-0dbe-4fd0-b678-056f8cd3adb6" userProvider="AD" userName="LEYGE Mathilde (ENER)"/>
      </t:Event>
      <t:Event id="{E1FC370B-7146-4C57-9276-80CB32C70927}" time="2023-03-28T17:58:32.756Z">
        <t:Attribution userId="S::maria-eugenia.leoz-martin-casallo@ec.europa.eu::094ef9fa-902d-46ba-8e90-927e21af04d5" userProvider="AD" userName="LEOZ MARTIN-CASALLO Maria Eugenia (ENER)"/>
        <t:Anchor>
          <t:Comment id="188542878"/>
        </t:Anchor>
        <t:SetTitle title="@LEYGE Mathilde (ENER) - dear Mathilde, could you confirm that this understanding is correct? Many thanks!"/>
      </t:Event>
    </t:History>
  </t:Task>
  <t:Task id="{CAD30991-22CA-4342-94F2-AEEFC464F87E}">
    <t:Anchor>
      <t:Comment id="141794647"/>
    </t:Anchor>
    <t:History>
      <t:Event id="{49BD6C07-0EFC-4356-82B2-F9C9FF0894B8}" time="2023-03-28T18:13:54.918Z">
        <t:Attribution userId="S::maria-eugenia.leoz-martin-casallo@ec.europa.eu::094ef9fa-902d-46ba-8e90-927e21af04d5" userProvider="AD" userName="LEOZ MARTIN-CASALLO Maria Eugenia (ENER)"/>
        <t:Anchor>
          <t:Comment id="141794647"/>
        </t:Anchor>
        <t:Create/>
      </t:Event>
      <t:Event id="{49046922-0F1C-43B5-915F-D1B59D28586D}" time="2023-03-28T18:13:54.918Z">
        <t:Attribution userId="S::maria-eugenia.leoz-martin-casallo@ec.europa.eu::094ef9fa-902d-46ba-8e90-927e21af04d5" userProvider="AD" userName="LEOZ MARTIN-CASALLO Maria Eugenia (ENER)"/>
        <t:Anchor>
          <t:Comment id="141794647"/>
        </t:Anchor>
        <t:Assign userId="S::Elissavet.KAZILI@ec.europa.eu::f219292d-3412-44ca-b2ef-738adf09da14" userProvider="AD" userName="KAZILI Elissavet (ENER)"/>
      </t:Event>
      <t:Event id="{23085931-845E-41AA-B176-953AF9564DBD}" time="2023-03-28T18:13:54.918Z">
        <t:Attribution userId="S::maria-eugenia.leoz-martin-casallo@ec.europa.eu::094ef9fa-902d-46ba-8e90-927e21af04d5" userProvider="AD" userName="LEOZ MARTIN-CASALLO Maria Eugenia (ENER)"/>
        <t:Anchor>
          <t:Comment id="141794647"/>
        </t:Anchor>
        <t:SetTitle title="@KAZILI Elissavet (ENER) have a look at Article 22 and see if you agree. For Art. 4 it is clear but for Article 3 not so much, but I interpret it as being linked to application of Article 5 :-)"/>
      </t:Event>
    </t:History>
  </t:Task>
  <t:Task id="{162BBE47-1A9F-4496-8500-9825A94C5874}">
    <t:Anchor>
      <t:Comment id="431647202"/>
    </t:Anchor>
    <t:History>
      <t:Event id="{5DC1C9B0-1ED8-4ADB-A05F-3AD0C8B3D2DD}" time="2023-03-28T18:13:54.918Z">
        <t:Attribution userId="S::maria-eugenia.leoz-martin-casallo@ec.europa.eu::094ef9fa-902d-46ba-8e90-927e21af04d5" userProvider="AD" userName="LEOZ MARTIN-CASALLO Maria Eugenia (ENER)"/>
        <t:Anchor>
          <t:Comment id="431647202"/>
        </t:Anchor>
        <t:Create/>
      </t:Event>
      <t:Event id="{9BEB2560-D8A7-43F8-82EA-5FE0C00543C3}" time="2023-03-28T18:13:54.918Z">
        <t:Attribution userId="S::maria-eugenia.leoz-martin-casallo@ec.europa.eu::094ef9fa-902d-46ba-8e90-927e21af04d5" userProvider="AD" userName="LEOZ MARTIN-CASALLO Maria Eugenia (ENER)"/>
        <t:Anchor>
          <t:Comment id="431647202"/>
        </t:Anchor>
        <t:Assign userId="S::Elissavet.KAZILI@ec.europa.eu::f219292d-3412-44ca-b2ef-738adf09da14" userProvider="AD" userName="KAZILI Elissavet (ENER)"/>
      </t:Event>
      <t:Event id="{97338F8E-8E18-424B-815A-237149D2B7D5}" time="2023-03-28T18:13:54.918Z">
        <t:Attribution userId="S::maria-eugenia.leoz-martin-casallo@ec.europa.eu::094ef9fa-902d-46ba-8e90-927e21af04d5" userProvider="AD" userName="LEOZ MARTIN-CASALLO Maria Eugenia (ENER)"/>
        <t:Anchor>
          <t:Comment id="431647202"/>
        </t:Anchor>
        <t:SetTitle title="@KAZILI Elissavet (ENER) have a look at Article 22 and see if you agree. For Art. 4 it is clear but for Article 3 not so much, but I interpret it as being linked to application of Article 5 :-)"/>
      </t:Event>
    </t:History>
  </t:Task>
  <t:Task id="{7739B38A-9A03-405F-8C9B-683983542F81}">
    <t:Anchor>
      <t:Comment id="809939282"/>
    </t:Anchor>
    <t:History>
      <t:Event id="{6ACCCC09-B93F-4310-8E29-F09393C51EC6}" time="2023-03-28T18:19:23.357Z">
        <t:Attribution userId="S::maria-eugenia.leoz-martin-casallo@ec.europa.eu::094ef9fa-902d-46ba-8e90-927e21af04d5" userProvider="AD" userName="LEOZ MARTIN-CASALLO Maria Eugenia (ENER)"/>
        <t:Anchor>
          <t:Comment id="809939282"/>
        </t:Anchor>
        <t:Create/>
      </t:Event>
      <t:Event id="{30E0D658-4E2B-4E64-824C-8525EEBA72C3}" time="2023-03-28T18:19:23.357Z">
        <t:Attribution userId="S::maria-eugenia.leoz-martin-casallo@ec.europa.eu::094ef9fa-902d-46ba-8e90-927e21af04d5" userProvider="AD" userName="LEOZ MARTIN-CASALLO Maria Eugenia (ENER)"/>
        <t:Anchor>
          <t:Comment id="809939282"/>
        </t:Anchor>
        <t:Assign userId="S::Mathilde.LALLEMAND-DUPUY@ec.europa.eu::1a65fd7e-2893-4b4c-8a87-7d9b05cc269d" userProvider="AD" userName="LALLEMAND DUPUY Mathilde (ENER)"/>
      </t:Event>
      <t:Event id="{04DB5D28-43C2-408E-BAD4-CCF28B9E4296}" time="2023-03-28T18:19:23.357Z">
        <t:Attribution userId="S::maria-eugenia.leoz-martin-casallo@ec.europa.eu::094ef9fa-902d-46ba-8e90-927e21af04d5" userProvider="AD" userName="LEOZ MARTIN-CASALLO Maria Eugenia (ENER)"/>
        <t:Anchor>
          <t:Comment id="809939282"/>
        </t:Anchor>
        <t:SetTitle title="@LALLEMAND DUPUY Mathilde (ENER) @KAZILI Elissavet (ENER) See if you agree. I suggest to tone it a bit because we haven't done an independent assessment to verify whether this has been the case..."/>
      </t:Event>
    </t:History>
  </t:Task>
  <t:Task id="{B8AF2FCA-4A8B-41D7-9F92-5DA837FC5CAA}">
    <t:Anchor>
      <t:Comment id="1612737022"/>
    </t:Anchor>
    <t:History>
      <t:Event id="{5CDFFED8-7229-476A-99CA-D28CB3689E19}" time="2023-04-06T07:49:24.961Z">
        <t:Attribution userId="S::elissavet.kazili@ec.europa.eu::f219292d-3412-44ca-b2ef-738adf09da14" userProvider="AD" userName="KAZILI Elissavet (ENER)"/>
        <t:Anchor>
          <t:Comment id="1612737022"/>
        </t:Anchor>
        <t:Create/>
      </t:Event>
      <t:Event id="{7209A831-5DF2-4066-A098-79C1B6CB709F}" time="2023-04-06T07:49:24.961Z">
        <t:Attribution userId="S::elissavet.kazili@ec.europa.eu::f219292d-3412-44ca-b2ef-738adf09da14" userProvider="AD" userName="KAZILI Elissavet (ENER)"/>
        <t:Anchor>
          <t:Comment id="1612737022"/>
        </t:Anchor>
        <t:Assign userId="S::Mathilde.LALLEMAND-DUPUY@ec.europa.eu::1a65fd7e-2893-4b4c-8a87-7d9b05cc269d" userProvider="AD" userName="LALLEMAND DUPUY Mathilde (ENER)"/>
      </t:Event>
      <t:Event id="{3429978A-6774-4816-8371-D72BEB3380B3}" time="2023-04-06T07:49:24.961Z">
        <t:Attribution userId="S::elissavet.kazili@ec.europa.eu::f219292d-3412-44ca-b2ef-738adf09da14" userProvider="AD" userName="KAZILI Elissavet (ENER)"/>
        <t:Anchor>
          <t:Comment id="1612737022"/>
        </t:Anchor>
        <t:SetTitle title="@LALLEMAND DUPUY Mathilde (ENER) Dear Mathilde, this is &quot;as compared to ? (for e.g., last December)? over the reference period? ). could you please clarif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EE3A3275D4145AB379CD80A4377E6" ma:contentTypeVersion="6" ma:contentTypeDescription="Create a new document." ma:contentTypeScope="" ma:versionID="21b9becb2cbdb87ef1bb0c93bfbddbf5">
  <xsd:schema xmlns:xsd="http://www.w3.org/2001/XMLSchema" xmlns:xs="http://www.w3.org/2001/XMLSchema" xmlns:p="http://schemas.microsoft.com/office/2006/metadata/properties" xmlns:ns2="41f94065-dc50-4e1d-8628-34124a5a20ee" xmlns:ns3="419a7f5a-1e06-4dec-8b14-fbcae2d04a1f" targetNamespace="http://schemas.microsoft.com/office/2006/metadata/properties" ma:root="true" ma:fieldsID="93b60ef773bebe30a54c1068f9835401" ns2:_="" ns3:_="">
    <xsd:import namespace="41f94065-dc50-4e1d-8628-34124a5a20ee"/>
    <xsd:import namespace="419a7f5a-1e06-4dec-8b14-fbcae2d04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4065-dc50-4e1d-8628-34124a5a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a7f5a-1e06-4dec-8b14-fbcae2d04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19a7f5a-1e06-4dec-8b14-fbcae2d04a1f">
      <UserInfo>
        <DisplayName>KOCH Oliver (ENER)</DisplayName>
        <AccountId>37</AccountId>
        <AccountType/>
      </UserInfo>
      <UserInfo>
        <DisplayName>RIVAS RABAGO Manuel (ENER)</DisplayName>
        <AccountId>124</AccountId>
        <AccountType/>
      </UserInfo>
      <UserInfo>
        <DisplayName>VON METTENHEIM Manuel (ENER)</DisplayName>
        <AccountId>125</AccountId>
        <AccountType/>
      </UserInfo>
      <UserInfo>
        <DisplayName>GIL TERTRE Miguel (ENER)</DisplayName>
        <AccountId>123</AccountId>
        <AccountType/>
      </UserInfo>
      <UserInfo>
        <DisplayName>PETIT Feodora (ENER)</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77A8-8143-45C8-8F9B-D741F1467558}">
  <ds:schemaRefs>
    <ds:schemaRef ds:uri="http://schemas.microsoft.com/sharepoint/v3/contenttype/forms"/>
  </ds:schemaRefs>
</ds:datastoreItem>
</file>

<file path=customXml/itemProps2.xml><?xml version="1.0" encoding="utf-8"?>
<ds:datastoreItem xmlns:ds="http://schemas.openxmlformats.org/officeDocument/2006/customXml" ds:itemID="{10B55749-FC50-486D-9340-964F1405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4065-dc50-4e1d-8628-34124a5a20ee"/>
    <ds:schemaRef ds:uri="419a7f5a-1e06-4dec-8b14-fbcae2d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142AE-6704-46D7-8A91-D1B1EC2336FF}">
  <ds:schemaRefs>
    <ds:schemaRef ds:uri="http://schemas.microsoft.com/office/2006/metadata/properties"/>
    <ds:schemaRef ds:uri="http://schemas.microsoft.com/office/infopath/2007/PartnerControls"/>
    <ds:schemaRef ds:uri="419a7f5a-1e06-4dec-8b14-fbcae2d04a1f"/>
  </ds:schemaRefs>
</ds:datastoreItem>
</file>

<file path=customXml/itemProps4.xml><?xml version="1.0" encoding="utf-8"?>
<ds:datastoreItem xmlns:ds="http://schemas.openxmlformats.org/officeDocument/2006/customXml" ds:itemID="{D4505C78-EE28-42E9-9985-CBB3AEAA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22</Pages>
  <Words>5650</Words>
  <Characters>38765</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69</cp:revision>
  <cp:lastPrinted>2018-05-26T09:43:00Z</cp:lastPrinted>
  <dcterms:created xsi:type="dcterms:W3CDTF">2023-05-30T11:43:00Z</dcterms:created>
  <dcterms:modified xsi:type="dcterms:W3CDTF">2023-06-16T15:21:00Z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ontentTypeId">
    <vt:lpwstr>0x010100E11EE3A3275D4145AB379CD80A4377E6</vt:lpwstr>
  </property>
  <property fmtid="{D5CDD505-2E9C-101B-9397-08002B2CF9AE}" pid="8" name="MSIP_Label_6bd9ddd1-4d20-43f6-abfa-fc3c07406f94_Enabled">
    <vt:lpwstr>true</vt:lpwstr>
  </property>
  <property fmtid="{D5CDD505-2E9C-101B-9397-08002B2CF9AE}" pid="9" name="MSIP_Label_6bd9ddd1-4d20-43f6-abfa-fc3c07406f94_SetDate">
    <vt:lpwstr>2023-03-08T07:50:19Z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f99e776c-e32a-44e2-9578-522d422c96c3</vt:lpwstr>
  </property>
  <property fmtid="{D5CDD505-2E9C-101B-9397-08002B2CF9AE}" pid="14" name="MSIP_Label_6bd9ddd1-4d20-43f6-abfa-fc3c07406f94_ContentBits">
    <vt:lpwstr>0</vt:lpwstr>
  </property>
  <property fmtid="{D5CDD505-2E9C-101B-9397-08002B2CF9AE}" pid="15" name="CPTemplateID">
    <vt:lpwstr>CP-006</vt:lpwstr>
  </property>
</Properties>
</file>