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67C1045-6076-40B1-96B3-7C5B63A3A059" style="width:455.75pt;height:545.4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Povzetek</w:t>
      </w:r>
    </w:p>
    <w:p>
      <w:pPr>
        <w:pBdr>
          <w:top w:val="single" w:sz="4" w:space="1" w:color="auto"/>
          <w:left w:val="single" w:sz="4" w:space="4" w:color="auto"/>
          <w:bottom w:val="single" w:sz="4" w:space="7" w:color="auto"/>
          <w:right w:val="single" w:sz="4" w:space="4" w:color="auto"/>
        </w:pBdr>
        <w:spacing w:after="0"/>
        <w:rPr>
          <w:rFonts w:eastAsia="Times New Roman" w:cs="Times New Roman"/>
          <w:noProof/>
        </w:rPr>
      </w:pPr>
      <w:r>
        <w:rPr>
          <w:noProof/>
        </w:rPr>
        <w:t xml:space="preserve">Strukturna reforma ciprskega pravosodnega sistema se nadaljuje, vendar prihaja do zamud. Osnutek zakonodaje o razdelitvi sedanjega vrhovnega sodišča na vrhovno ustavno sodišče in višje sodišče ter o postopkih imenovanja sodnikov in predsednikov teh dveh novih jurisdikcij čaka na obravnavo v parlamentu. O teh imenovanjih bi odločal predsednik republike na podlagi nezavezujočih predlogov svetovalnega sodnega sveta. Pomembno je, da ta reforma zagotavlja neodvisnost sodstva v skladu s pravom EU in ob upoštevanju priporočil Sveta Evrope. V parlamentu poteka tudi razprava o ustanovitvi pritožbenega sodišča. Ustanovitev specializiranih sodišč in prestrukturiranje sodišč sta še v teku. Odobrena so bila nova pravila pravdnega postopka, katerih cilj je pospešiti sodne postopke. Nadaljuje se povečanje zmogljivosti pravobranilstva, vključno z ločevanjem funkcij in postopki zaposlovanja. Cilj nadaljnjih reform je premagati pomembne izzive za učinkovitost in kakovost pravosodnega sistema, zlasti v zvezi z digitalizacijo. Civilni, gospodarski in upravni sodni postopki so še naprej zelo dolgotrajni.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spacing w:after="0"/>
        <w:rPr>
          <w:rFonts w:eastAsia="Times New Roman" w:cs="Times New Roman"/>
          <w:bCs/>
          <w:noProof/>
          <w:szCs w:val="20"/>
        </w:rPr>
      </w:pPr>
      <w:r>
        <w:rPr>
          <w:noProof/>
        </w:rPr>
        <w:t xml:space="preserve">Ciper še naprej izboljšuje svoj zakonodajni okvir za boj proti korupciji, čeprav še vedno niso končane nekatere pomembne reforme, kot so ustanovitev protikorupcijske agencije, zaščita prijaviteljev nepravilnosti, ureditev lobiranja in prijava premoženjskega stanja za izvoljene uradnike. Urad za preglednost in preprečevanje korupcije je zadolžen za nadzor nad izvajanjem novega protikorupcijskega načrta za obdobje 2021–2026. Preiskave primerov korupcije so se nadaljevale, pri čemer je bilo prirejanje rezultatov športnih tekmovanj izpostavljeno kot posebno tvegano področje, vendar je število razsodb v primerih korupcije še vedno nizko. Urad generalnega državnega tožilca je prejel nova sredstva, s spremembo kazenskega zakonika pa so se povečale sankcije za kaznivo dejanje zlorabe položaja, kar je omogočilo uporabo posebnih preiskovalnih tehnik za preiskovanje tega kaznivega dejanja. Vlada je začela preiskavo shem državljanstva za vlagatelje, da bi odgovorila na obtožbe o korupciji, v katero so vpleteni tuji posamezniki in visoki uradniki. Sprejet je bil nov kodeks ravnanja, osredotočen na boj proti korupciji, katerega namen je izboljšati integriteto policije. Med pandemijo COVID-19 so bili poleg ukrepov za zagotovitev finančne pomoči sprejeti tudi ukrepi za zmanjšanje tveganja goljufij in korupcije.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rPr>
          <w:rFonts w:eastAsia="Times New Roman" w:cs="Times New Roman"/>
          <w:noProof/>
        </w:rPr>
      </w:pPr>
      <w:r>
        <w:rPr>
          <w:noProof/>
        </w:rPr>
        <w:t xml:space="preserve">Svoboda izražanja in pravica dostopa do informacij sta pravno in formalno zaščiteni v ustavi. Sekundarna zakonodaja izrecno zagotavlja zaščito novinarskih virov in spodbuja pluralnost medijev v radijskem in televizijskem sektorju. Od decembra 2020 velja sekundarna zakonodaja, ki določa okvir in pogoje za dostop javnosti do informacij ter s katero je ustanovljen urad komisarja za informacije. Osnutki zakonov, ki naj bi bili sprejeti v drugi polovici leta 2021, so namenjeni spodbujanju neodvisnosti ciprskega organa za radio in televizijo, krepitvi jamstev glede svobode govora in preglednosti lastništva. </w:t>
      </w:r>
    </w:p>
    <w:p>
      <w:pPr>
        <w:pBdr>
          <w:top w:val="single" w:sz="4" w:space="1" w:color="auto"/>
          <w:left w:val="single" w:sz="4" w:space="4" w:color="auto"/>
          <w:bottom w:val="single" w:sz="4" w:space="7" w:color="auto"/>
          <w:right w:val="single" w:sz="4" w:space="4" w:color="auto"/>
        </w:pBdr>
        <w:rPr>
          <w:rFonts w:cs="Times New Roman"/>
          <w:bCs/>
          <w:noProof/>
        </w:rPr>
      </w:pPr>
      <w:r>
        <w:rPr>
          <w:noProof/>
        </w:rPr>
        <w:t xml:space="preserve">Sistem zavor in ravnovesij vključuje posvetovalni postopek kot del projekta za boljše pravno urejanje. Vendar je postopek posvetovanja o osnutkih zakonodaje omejen na razprave v predstavniškem domu in obstajajo pomisleki glede dostopa javnosti do osnutkov. Izredno stanje, ki je zapisano v ustavi, med pandemijo ni bilo razglašeno. Vendar so bile za državljane in podjetja uvedene omejitve v skladu z zakonom o karanteni, ki svet ministrov pooblašča, da izdaja odloke v zvezi s pandemijo COVID-19. Nekatere organizacije civilne družbe se še vedno spopadajo z določenimi izzivi v zvezi z okvirom za registracijo, kot je navedeno v Poročilu o stanju pravne države za leto 2020, čeprav so v novi zakonodaji opazne izboljšave, ki olajšujejo registracijo zvez nevladnih organizacij. </w:t>
      </w:r>
    </w:p>
    <w:p>
      <w:pPr>
        <w:pStyle w:val="Heading1"/>
        <w:numPr>
          <w:ilvl w:val="0"/>
          <w:numId w:val="8"/>
        </w:numPr>
        <w:rPr>
          <w:noProof/>
        </w:rPr>
      </w:pPr>
      <w:r>
        <w:rPr>
          <w:noProof/>
        </w:rPr>
        <w:lastRenderedPageBreak/>
        <w:t xml:space="preserve">Pravosodni sistem </w:t>
      </w:r>
    </w:p>
    <w:p>
      <w:pPr>
        <w:rPr>
          <w:rFonts w:eastAsia="Times New Roman" w:cs="Times New Roman"/>
          <w:noProof/>
          <w:szCs w:val="20"/>
        </w:rPr>
      </w:pPr>
      <w:r>
        <w:rPr>
          <w:noProof/>
        </w:rPr>
        <w:t>V sodnem sistemu</w:t>
      </w:r>
      <w:r>
        <w:rPr>
          <w:rStyle w:val="FootnoteReference"/>
          <w:rFonts w:eastAsia="Times New Roman" w:cs="Times New Roman"/>
          <w:noProof/>
          <w:szCs w:val="20"/>
          <w:lang w:eastAsia="fr-FR"/>
        </w:rPr>
        <w:footnoteReference w:id="2"/>
      </w:r>
      <w:r>
        <w:rPr>
          <w:noProof/>
        </w:rPr>
        <w:t xml:space="preserve"> je šest okrožnih sodišč, šest kazenskih porotnih sodišč</w:t>
      </w:r>
      <w:r>
        <w:rPr>
          <w:rStyle w:val="FootnoteReference"/>
          <w:rFonts w:eastAsia="Times New Roman" w:cs="Times New Roman"/>
          <w:noProof/>
          <w:szCs w:val="20"/>
          <w:lang w:eastAsia="fr-FR"/>
        </w:rPr>
        <w:footnoteReference w:id="3"/>
      </w:r>
      <w:r>
        <w:rPr>
          <w:noProof/>
        </w:rPr>
        <w:t>, upravno sodišče</w:t>
      </w:r>
      <w:r>
        <w:rPr>
          <w:rStyle w:val="FootnoteReference"/>
          <w:rFonts w:eastAsia="Times New Roman" w:cs="Times New Roman"/>
          <w:noProof/>
          <w:szCs w:val="20"/>
          <w:lang w:eastAsia="fr-FR"/>
        </w:rPr>
        <w:footnoteReference w:id="4"/>
      </w:r>
      <w:r>
        <w:rPr>
          <w:noProof/>
        </w:rPr>
        <w:t>, upravno sodišče za odločanje o mednarodni zaščiti</w:t>
      </w:r>
      <w:r>
        <w:rPr>
          <w:rStyle w:val="FootnoteReference"/>
          <w:rFonts w:eastAsia="Times New Roman" w:cs="Times New Roman"/>
          <w:noProof/>
          <w:szCs w:val="20"/>
          <w:lang w:eastAsia="fr-FR"/>
        </w:rPr>
        <w:footnoteReference w:id="5"/>
      </w:r>
      <w:r>
        <w:rPr>
          <w:noProof/>
        </w:rPr>
        <w:t xml:space="preserve"> in vrhovno sodišče</w:t>
      </w:r>
      <w:r>
        <w:rPr>
          <w:rStyle w:val="FootnoteReference"/>
          <w:rFonts w:eastAsia="Times New Roman" w:cs="Times New Roman"/>
          <w:noProof/>
          <w:szCs w:val="20"/>
          <w:lang w:eastAsia="fr-FR"/>
        </w:rPr>
        <w:footnoteReference w:id="6"/>
      </w:r>
      <w:r>
        <w:rPr>
          <w:noProof/>
        </w:rPr>
        <w:t>. V teku je vzpostavitev ustavnega sodišča. Poleg tega obstajajo sodišča za družinske zadeve, sodišča za nadzor nad najemninami, sodišča za spore med delodajalci in sindikati ter vojaško sodišče</w:t>
      </w:r>
      <w:r>
        <w:rPr>
          <w:rStyle w:val="FootnoteReference"/>
          <w:rFonts w:eastAsia="Times New Roman" w:cs="Times New Roman"/>
          <w:noProof/>
          <w:szCs w:val="20"/>
          <w:lang w:eastAsia="fr-FR"/>
        </w:rPr>
        <w:footnoteReference w:id="7"/>
      </w:r>
      <w:r>
        <w:rPr>
          <w:noProof/>
        </w:rPr>
        <w:t>. Na vseh sodiščih prve stopnje deluje 113 sodnikov, na vrhovnem sodišču pa 13 sodnikov. Sodnike vrhovnega sodišča imenuje predsednik republike s položajev v sodstvu in na priporočilo vrhovnega sodišča, ki mu predsednik ni dolžan slediti. Vendar predsednik republike v skladu z ustaljeno prakso sledi priporočilom vrhovnega sodišča, ki na podlagi delovne dobe za vsako prosto delovno mesto predlaga najstarejšega zaposlenega sodnika. Enaka praksa velja za imenovanje predsednika vrhovnega sodišča, pri čemer predsednik republike vedno upošteva priporočilo glede imenovanja najstarejšega sodnika, ki je zaposlen na tem sodišču</w:t>
      </w:r>
      <w:r>
        <w:rPr>
          <w:rStyle w:val="FootnoteReference"/>
          <w:rFonts w:eastAsia="Times New Roman" w:cs="Times New Roman"/>
          <w:noProof/>
          <w:szCs w:val="20"/>
          <w:lang w:eastAsia="fr-FR"/>
        </w:rPr>
        <w:footnoteReference w:id="8"/>
      </w:r>
      <w:r>
        <w:rPr>
          <w:noProof/>
        </w:rPr>
        <w:t>. Sodnike na prvi stopnji imenuje, premesti in poviša vrhovni sodni svet, ki ga sestavljajo vsi člani vrhovnega sodišča (predsednik in 12 vrhovnih sodnikov)</w:t>
      </w:r>
      <w:r>
        <w:rPr>
          <w:rStyle w:val="FootnoteReference"/>
          <w:rFonts w:eastAsia="Times New Roman" w:cs="Times New Roman"/>
          <w:noProof/>
          <w:szCs w:val="20"/>
          <w:lang w:eastAsia="fr-FR"/>
        </w:rPr>
        <w:footnoteReference w:id="9"/>
      </w:r>
      <w:r>
        <w:rPr>
          <w:noProof/>
        </w:rPr>
        <w:t>. Tožilstvo je neodvisno in organizirano pod vodstvom generalnega državnega tožilca. Generalni državni tožilec vodi pravobranilstvo republike, neodvisen urad, ki mu pomaga in ni podrejen nobenemu ministrstvu</w:t>
      </w:r>
      <w:r>
        <w:rPr>
          <w:rStyle w:val="FootnoteReference"/>
          <w:rFonts w:eastAsia="Times New Roman" w:cs="Times New Roman"/>
          <w:noProof/>
          <w:szCs w:val="20"/>
          <w:lang w:eastAsia="fr-FR"/>
        </w:rPr>
        <w:footnoteReference w:id="10"/>
      </w:r>
      <w:r>
        <w:rPr>
          <w:noProof/>
        </w:rPr>
        <w:t>. Generalni državni tožilec ima pooblastila za uvedbo, izvedbo, prevzem in nadaljevanje ali prekinitev katerega koli postopka zaradi kaznivega dejanja zoper osebo (pravno ali fizično) v republiki, ki jih izvršuje po lastni presoji in v javnem interesu. Poleg tega je pravni svetovalec republike, predsednika, sveta ministrov in posameznih ministrov. Opravlja tudi vse druge funkcije in naloge, ki se mu podelijo na podlagi ustave ali zakonskega prava</w:t>
      </w:r>
      <w:r>
        <w:rPr>
          <w:rStyle w:val="FootnoteReference"/>
          <w:rFonts w:eastAsia="Times New Roman" w:cs="Times New Roman"/>
          <w:noProof/>
          <w:szCs w:val="20"/>
          <w:lang w:eastAsia="fr-FR"/>
        </w:rPr>
        <w:footnoteReference w:id="11"/>
      </w:r>
      <w:r>
        <w:rPr>
          <w:noProof/>
        </w:rPr>
        <w:t>. Ciper sodeluje v Evropskem javnem tožilstvu. Neodvisna nacionalna odvetniška zbornica ima regulativno in disciplinsko pristojnost v zvezi s svojimi člani.</w:t>
      </w:r>
    </w:p>
    <w:p>
      <w:pPr>
        <w:pStyle w:val="Heading2"/>
        <w:rPr>
          <w:noProof/>
        </w:rPr>
      </w:pPr>
      <w:r>
        <w:rPr>
          <w:noProof/>
        </w:rPr>
        <w:t xml:space="preserve">Neodvisnost </w:t>
      </w:r>
    </w:p>
    <w:p>
      <w:pPr>
        <w:rPr>
          <w:rFonts w:eastAsia="Times New Roman" w:cs="Times New Roman"/>
          <w:b/>
          <w:bCs/>
          <w:noProof/>
        </w:rPr>
      </w:pPr>
      <w:r>
        <w:rPr>
          <w:b/>
          <w:bCs/>
          <w:noProof/>
        </w:rPr>
        <w:t>Stopnja zaznane neodvisnosti sodstva je povprečna.</w:t>
      </w:r>
      <w:r>
        <w:rPr>
          <w:noProof/>
        </w:rPr>
        <w:t xml:space="preserve"> V širši javnosti 48 % anketirancev meni, da je neodvisnost sodstva „dokaj dobra“ ali „zelo dobra“, ta delež pa se je leta 2021 zmanjšal za 7 odstotnih točk v primerjavi z letom 2020. Ustrezen odstotek pri podjetjih je 45 %, od leta 2020 pa se je zmanjšal za 3 odstotne točke</w:t>
      </w:r>
      <w:r>
        <w:rPr>
          <w:rStyle w:val="FootnoteReference"/>
          <w:rFonts w:eastAsia="Times New Roman" w:cs="Times New Roman"/>
          <w:noProof/>
          <w:lang w:eastAsia="fr-FR"/>
        </w:rPr>
        <w:footnoteReference w:id="12"/>
      </w:r>
      <w:r>
        <w:rPr>
          <w:noProof/>
        </w:rPr>
        <w:t>. Ta stopnja zaznane neodvisnosti sodstva</w:t>
      </w:r>
      <w:r>
        <w:rPr>
          <w:rStyle w:val="FootnoteReference"/>
          <w:rFonts w:eastAsia="Times New Roman" w:cs="Times New Roman"/>
          <w:noProof/>
          <w:lang w:eastAsia="fr-FR"/>
        </w:rPr>
        <w:footnoteReference w:id="13"/>
      </w:r>
      <w:r>
        <w:rPr>
          <w:noProof/>
        </w:rPr>
        <w:t xml:space="preserve"> je povprečna od leta 2016.</w:t>
      </w:r>
    </w:p>
    <w:p>
      <w:pPr>
        <w:autoSpaceDE w:val="0"/>
        <w:autoSpaceDN w:val="0"/>
        <w:spacing w:before="40" w:after="40"/>
        <w:rPr>
          <w:rFonts w:eastAsia="Times New Roman"/>
          <w:noProof/>
          <w:szCs w:val="20"/>
        </w:rPr>
      </w:pPr>
      <w:r>
        <w:rPr>
          <w:b/>
          <w:noProof/>
        </w:rPr>
        <w:t>Delitev sedanjega vrhovnega sodišča na vrhovno ustavno sodišče in višje sodišče čaka na obravnavo v parlamentu</w:t>
      </w:r>
      <w:r>
        <w:rPr>
          <w:rStyle w:val="FootnoteReference"/>
          <w:rFonts w:cs="Times New Roman"/>
          <w:b/>
          <w:bCs/>
          <w:noProof/>
        </w:rPr>
        <w:footnoteReference w:id="14"/>
      </w:r>
      <w:r>
        <w:rPr>
          <w:b/>
          <w:bCs/>
          <w:noProof/>
        </w:rPr>
        <w:t xml:space="preserve">. </w:t>
      </w:r>
      <w:r>
        <w:rPr>
          <w:noProof/>
        </w:rPr>
        <w:t>Osnutek zakonodaje je bil predložen parlamentu konec leta 2020, pri čemer je bil ustanovljen ad hoc odbor za dokončno oblikovanje besedila</w:t>
      </w:r>
      <w:r>
        <w:rPr>
          <w:rStyle w:val="FootnoteReference"/>
          <w:rFonts w:cs="Times New Roman"/>
          <w:noProof/>
        </w:rPr>
        <w:footnoteReference w:id="15"/>
      </w:r>
      <w:r>
        <w:rPr>
          <w:noProof/>
        </w:rPr>
        <w:t>. Osnutek trenutno določa, da sodnike in predsednike teh sodišč imenuje izključno predsednik republike</w:t>
      </w:r>
      <w:r>
        <w:rPr>
          <w:rStyle w:val="FootnoteReference"/>
          <w:rFonts w:eastAsia="Times New Roman" w:cs="Times New Roman"/>
          <w:noProof/>
          <w:szCs w:val="20"/>
          <w:lang w:eastAsia="fr-FR"/>
        </w:rPr>
        <w:footnoteReference w:id="16"/>
      </w:r>
      <w:r>
        <w:rPr>
          <w:noProof/>
        </w:rPr>
        <w:t>. Predvideva ustanovitev svetovalnega sodnega sveta</w:t>
      </w:r>
      <w:r>
        <w:rPr>
          <w:rStyle w:val="FootnoteReference"/>
          <w:rFonts w:eastAsia="Times New Roman" w:cs="Times New Roman"/>
          <w:noProof/>
          <w:szCs w:val="20"/>
          <w:lang w:eastAsia="fr-FR"/>
        </w:rPr>
        <w:footnoteReference w:id="17"/>
      </w:r>
      <w:r>
        <w:rPr>
          <w:noProof/>
        </w:rPr>
        <w:t>, ki se razlikuje od vrhovnega sodnega sveta in bi bil zadolžen za pripravo seznama najprimernejših kandidatov za imenovanje, ki za predsednika ne bi bil zavezujoč</w:t>
      </w:r>
      <w:r>
        <w:rPr>
          <w:rStyle w:val="FootnoteReference"/>
          <w:rFonts w:eastAsia="Times New Roman" w:cs="Times New Roman"/>
          <w:noProof/>
          <w:szCs w:val="20"/>
          <w:lang w:eastAsia="fr-FR"/>
        </w:rPr>
        <w:footnoteReference w:id="18"/>
      </w:r>
      <w:r>
        <w:rPr>
          <w:noProof/>
        </w:rPr>
        <w:t>. Pomembno je, da ta reforma zagotovi neodvisnost sodstva v skladu s pravom EU in pri tem upošteva priporočila Sveta Evrope</w:t>
      </w:r>
      <w:r>
        <w:rPr>
          <w:rStyle w:val="FootnoteReference"/>
          <w:rFonts w:cs="Times New Roman"/>
          <w:noProof/>
          <w:szCs w:val="24"/>
        </w:rPr>
        <w:footnoteReference w:id="19"/>
      </w:r>
      <w:r>
        <w:rPr>
          <w:noProof/>
        </w:rPr>
        <w:t>.</w:t>
      </w:r>
      <w:r>
        <w:rPr>
          <w:noProof/>
          <w:color w:val="000000"/>
          <w:szCs w:val="24"/>
        </w:rPr>
        <w:t xml:space="preserve"> Posvetovanje z Beneško komisijo o osnutku zakonodaje bi v tem smislu vlilo zaupanje v predlagano reformo.</w:t>
      </w:r>
      <w:r>
        <w:rPr>
          <w:noProof/>
        </w:rPr>
        <w:t xml:space="preserve"> V osnutku zakonodaje je predvidena tudi ustanovitev pritožbenega sodišča, čigar sodnike in predsednika bi imenoval vrhovni sodni svet. Po razpustitvi parlamenta 14. aprila 2021 zaradi parlamentarnih volitev, ki so potekale 30. maja, bo o predlogih zakonov, ki še niso bili sprejeti, razpravljal novoizvoljeni parlament. </w:t>
      </w:r>
    </w:p>
    <w:p>
      <w:pPr>
        <w:autoSpaceDE w:val="0"/>
        <w:autoSpaceDN w:val="0"/>
        <w:spacing w:before="40" w:after="40"/>
        <w:rPr>
          <w:rFonts w:ascii="Calibri" w:eastAsia="Times New Roman" w:hAnsi="Calibri" w:cs="Calibri"/>
          <w:b/>
          <w:noProof/>
          <w:szCs w:val="24"/>
          <w:lang w:eastAsia="en-GB"/>
        </w:rPr>
      </w:pPr>
    </w:p>
    <w:p>
      <w:pPr>
        <w:rPr>
          <w:rFonts w:cs="Times New Roman"/>
          <w:noProof/>
        </w:rPr>
      </w:pPr>
      <w:r>
        <w:rPr>
          <w:b/>
          <w:bCs/>
          <w:noProof/>
        </w:rPr>
        <w:t>V zvezi z vrhovnim sodnim svetom potekajo reforme, s katerimi bodo deli pravosodnega sistema enakomerneje zastopani v njem.</w:t>
      </w:r>
      <w:r>
        <w:rPr>
          <w:noProof/>
        </w:rPr>
        <w:t xml:space="preserve"> V predlogu zakona, pripravljenem leta 2020, je bila predlagana širitev vrhovnega sodnega sveta. Sestavljali naj bi ga člani vrhovnega sodišča, predsednik in sodniki višjega sodišča, predsednik pritožbenega sodišča, predsednik okrožnega sodišča z najdaljšim stažem, predsednik združenja sodnikov, generalni državni tožilec in predsednik ciprske odvetniške zbornice. Sodstvo je izrazilo naklonjenost preoblikovanemu vrhovnemu sodnemu svetu, ki bi ga sestavljali izključno sodniki</w:t>
      </w:r>
      <w:r>
        <w:rPr>
          <w:rStyle w:val="FootnoteReference"/>
          <w:rFonts w:cs="Times New Roman"/>
          <w:noProof/>
        </w:rPr>
        <w:footnoteReference w:id="20"/>
      </w:r>
      <w:r>
        <w:rPr>
          <w:noProof/>
        </w:rPr>
        <w:t>. Ta predlog zakona je trenutno v obravnavi od konca leta 2020 in ni bil sprejet pred razpustitvijo Parlamenta spomladi letos</w:t>
      </w:r>
      <w:r>
        <w:rPr>
          <w:rStyle w:val="FootnoteReference"/>
          <w:rFonts w:cs="Times New Roman"/>
          <w:noProof/>
        </w:rPr>
        <w:footnoteReference w:id="21"/>
      </w:r>
      <w:r>
        <w:rPr>
          <w:noProof/>
        </w:rPr>
        <w:t>. Pomembno je, da ta reforma upošteva priporočila Sveta Evrope</w:t>
      </w:r>
      <w:r>
        <w:rPr>
          <w:rStyle w:val="FootnoteReference"/>
          <w:rFonts w:cs="Times New Roman"/>
          <w:noProof/>
        </w:rPr>
        <w:footnoteReference w:id="22"/>
      </w:r>
      <w:r>
        <w:rPr>
          <w:noProof/>
        </w:rPr>
        <w:t>.</w:t>
      </w:r>
    </w:p>
    <w:p>
      <w:pPr>
        <w:pStyle w:val="ManualConsidrant"/>
        <w:spacing w:before="0" w:after="0"/>
        <w:ind w:left="0" w:firstLine="0"/>
        <w:rPr>
          <w:noProof/>
          <w:szCs w:val="24"/>
        </w:rPr>
      </w:pPr>
      <w:r>
        <w:rPr>
          <w:b/>
          <w:noProof/>
          <w:szCs w:val="20"/>
        </w:rPr>
        <w:t>Izvaja se akcijski načrt za okrepitev pravobranilstva republike</w:t>
      </w:r>
      <w:r>
        <w:rPr>
          <w:rStyle w:val="FootnoteReference"/>
          <w:rFonts w:eastAsia="Times New Roman"/>
          <w:b/>
          <w:noProof/>
          <w:szCs w:val="20"/>
          <w:lang w:eastAsia="fr-FR"/>
        </w:rPr>
        <w:footnoteReference w:id="23"/>
      </w:r>
      <w:r>
        <w:rPr>
          <w:b/>
          <w:noProof/>
          <w:szCs w:val="20"/>
        </w:rPr>
        <w:t xml:space="preserve">, predvidena pa je tudi zakonodaja, ki bo zagotovila proračunsko neodvisnost pravobranilstva. </w:t>
      </w:r>
      <w:r>
        <w:rPr>
          <w:noProof/>
        </w:rPr>
        <w:t>Reforma</w:t>
      </w:r>
      <w:r>
        <w:rPr>
          <w:rStyle w:val="FootnoteReference"/>
          <w:rFonts w:eastAsia="Times New Roman"/>
          <w:noProof/>
          <w:szCs w:val="20"/>
          <w:lang w:eastAsia="fr-FR"/>
        </w:rPr>
        <w:footnoteReference w:id="24"/>
      </w:r>
      <w:r>
        <w:rPr>
          <w:noProof/>
        </w:rPr>
        <w:t xml:space="preserve"> med drugim vključuje prestrukturiranje in ustanovitev ločenih, avtonomnih direktoratov znotraj pravobranilstva, da bi bila ločitev obeh glavnih funkcij generalnega državnega tožilca uspešnejša, nova delovna mesta, racionalizacijo postopkov, ločitev funkcij in postopke zaposlovanja. Generalni državni tožilec in ministrstvo za finance še vedno razpravljata o osnutku zakonodaje v zvezi s proračunsko neodvisnostjo pravobranilstva</w:t>
      </w:r>
      <w:r>
        <w:rPr>
          <w:rStyle w:val="FootnoteReference"/>
          <w:rFonts w:eastAsia="Times New Roman"/>
          <w:noProof/>
          <w:szCs w:val="20"/>
          <w:lang w:eastAsia="fr-FR"/>
        </w:rPr>
        <w:footnoteReference w:id="25"/>
      </w:r>
      <w:r>
        <w:rPr>
          <w:noProof/>
        </w:rPr>
        <w:t>. Da bi se pripravili na predvideno reformo, so konec leta 2020 v pravobranilstvu republike zaposlili znatno število novih odvetnikov, številni od njih pa obravnavajo kazenske zadeve, vključno s primeri korupcije</w:t>
      </w:r>
      <w:r>
        <w:rPr>
          <w:rStyle w:val="FootnoteReference"/>
          <w:noProof/>
          <w:szCs w:val="24"/>
        </w:rPr>
        <w:footnoteReference w:id="26"/>
      </w:r>
      <w:r>
        <w:rPr>
          <w:noProof/>
        </w:rPr>
        <w:t xml:space="preserve">. </w:t>
      </w:r>
    </w:p>
    <w:p>
      <w:pPr>
        <w:pStyle w:val="ManualConsidrant"/>
        <w:spacing w:before="0" w:after="0"/>
        <w:ind w:left="0" w:firstLine="0"/>
        <w:rPr>
          <w:noProof/>
          <w:szCs w:val="24"/>
        </w:rPr>
      </w:pPr>
    </w:p>
    <w:p>
      <w:pPr>
        <w:pStyle w:val="Heading2"/>
        <w:rPr>
          <w:noProof/>
        </w:rPr>
      </w:pPr>
      <w:r>
        <w:rPr>
          <w:noProof/>
        </w:rPr>
        <w:t xml:space="preserve">Kakovost </w:t>
      </w:r>
    </w:p>
    <w:p>
      <w:pPr>
        <w:rPr>
          <w:rFonts w:eastAsia="Times New Roman" w:cs="Times New Roman"/>
          <w:noProof/>
          <w:szCs w:val="20"/>
        </w:rPr>
      </w:pPr>
      <w:r>
        <w:rPr>
          <w:b/>
          <w:noProof/>
          <w:szCs w:val="20"/>
        </w:rPr>
        <w:t xml:space="preserve">Sprejemajo se ukrepi za izboljšanje digitalizacije pravosodja, vendar v zvezi s tem področjem še vedno ostajajo resni pomisleki. </w:t>
      </w:r>
      <w:r>
        <w:rPr>
          <w:noProof/>
        </w:rPr>
        <w:t>Splošni javnosti so prek spleta na voljo zelo omejene informacije o pravosodnem sistemu</w:t>
      </w:r>
      <w:r>
        <w:rPr>
          <w:rStyle w:val="FootnoteReference"/>
          <w:rFonts w:eastAsia="Times New Roman" w:cs="Times New Roman"/>
          <w:noProof/>
          <w:szCs w:val="20"/>
          <w:lang w:eastAsia="fr-FR"/>
        </w:rPr>
        <w:footnoteReference w:id="27"/>
      </w:r>
      <w:r>
        <w:rPr>
          <w:noProof/>
        </w:rPr>
        <w:t>. Poleg tega je na voljo zelo malo digitalnih rešitev za sprožitev in spremljanje postopkov v civilnih/gospodarskih in upravnih zadevah</w:t>
      </w:r>
      <w:r>
        <w:rPr>
          <w:rStyle w:val="FootnoteReference"/>
          <w:rFonts w:eastAsia="Times New Roman" w:cs="Times New Roman"/>
          <w:noProof/>
          <w:szCs w:val="20"/>
          <w:lang w:eastAsia="fr-FR"/>
        </w:rPr>
        <w:footnoteReference w:id="28"/>
      </w:r>
      <w:r>
        <w:rPr>
          <w:noProof/>
        </w:rPr>
        <w:t>. Uvedba elektronskega sistema za upravljanje sodišč je eden od glavnih ciljev tekočih reform</w:t>
      </w:r>
      <w:r>
        <w:rPr>
          <w:rStyle w:val="FootnoteReference"/>
          <w:rFonts w:eastAsia="Times New Roman" w:cs="Times New Roman"/>
          <w:noProof/>
          <w:szCs w:val="20"/>
          <w:lang w:eastAsia="fr-FR"/>
        </w:rPr>
        <w:footnoteReference w:id="29"/>
      </w:r>
      <w:r>
        <w:rPr>
          <w:noProof/>
        </w:rPr>
        <w:t>. Vendar se je od leta 2017 pri izvedbi sistema in zadevnih postopkih oddaje javnih naročil zamujalo. Medtem je bil pripravljen mini elektronski register za vlaganje tožb, ki je leta 2020 začel delovati na vseh matičnih uradih in na vrhovnem sodišču, da bi se omogočila učinkovitejša obdelava tožb, dokler sistem e-pravosodje ne bo v celoti izveden</w:t>
      </w:r>
      <w:r>
        <w:rPr>
          <w:rStyle w:val="FootnoteReference"/>
          <w:rFonts w:eastAsia="Times New Roman" w:cs="Times New Roman"/>
          <w:noProof/>
          <w:szCs w:val="20"/>
          <w:lang w:eastAsia="fr-FR"/>
        </w:rPr>
        <w:footnoteReference w:id="30"/>
      </w:r>
      <w:r>
        <w:rPr>
          <w:noProof/>
        </w:rPr>
        <w:t>. Vpeljavo registra je pospešila pandemija COVID-19.</w:t>
      </w:r>
    </w:p>
    <w:p>
      <w:pPr>
        <w:rPr>
          <w:rFonts w:cs="Times New Roman"/>
          <w:noProof/>
        </w:rPr>
      </w:pPr>
      <w:r>
        <w:rPr>
          <w:b/>
          <w:noProof/>
        </w:rPr>
        <w:t>Nadalje so se razvijala informativna spletišča o sodni praksi in zakonodaji za javnost.</w:t>
      </w:r>
      <w:r>
        <w:rPr>
          <w:noProof/>
        </w:rPr>
        <w:t xml:space="preserve"> Spletišče, ki ga upravlja ciprska odvetniška zbornica, omogoča odprt, brezplačen javni dostop do številnih naborov podatkov, kot so podatkovne zbirke s sodno prakso in zakonodajo. Zagotavlja namreč dostop do podatkovne zbirke ciprske sodne prakse, sodne prakse ciprskega vrhovnega sodišča in Evropskega sodišča za človekove pravice ter ciprske zakonodaje. Dostop do nacionalnih in tujih spletnih podatkovnih zbirk ciprskim sodnikom zagotavlja vrhovno sodišče, ki krije stroške</w:t>
      </w:r>
      <w:r>
        <w:rPr>
          <w:rStyle w:val="FootnoteReference"/>
          <w:rFonts w:cs="Times New Roman"/>
          <w:noProof/>
        </w:rPr>
        <w:footnoteReference w:id="31"/>
      </w:r>
      <w:r>
        <w:rPr>
          <w:noProof/>
        </w:rPr>
        <w:t>.</w:t>
      </w:r>
    </w:p>
    <w:p>
      <w:pPr>
        <w:pStyle w:val="Heading2"/>
        <w:rPr>
          <w:noProof/>
        </w:rPr>
      </w:pPr>
      <w:r>
        <w:rPr>
          <w:noProof/>
        </w:rPr>
        <w:t>Učinkovitost</w:t>
      </w:r>
    </w:p>
    <w:p>
      <w:pPr>
        <w:rPr>
          <w:rFonts w:cs="Times New Roman"/>
          <w:noProof/>
          <w:szCs w:val="24"/>
        </w:rPr>
      </w:pPr>
      <w:r>
        <w:rPr>
          <w:b/>
          <w:noProof/>
          <w:szCs w:val="24"/>
        </w:rPr>
        <w:t>Pravosodni sistem se še naprej spopada z resnimi težavami glede učinkovitosti</w:t>
      </w:r>
      <w:r>
        <w:rPr>
          <w:rStyle w:val="FootnoteReference"/>
          <w:rFonts w:cs="Times New Roman"/>
          <w:b/>
          <w:noProof/>
          <w:szCs w:val="24"/>
        </w:rPr>
        <w:footnoteReference w:id="32"/>
      </w:r>
      <w:r>
        <w:rPr>
          <w:b/>
          <w:noProof/>
          <w:szCs w:val="24"/>
        </w:rPr>
        <w:t xml:space="preserve">. </w:t>
      </w:r>
      <w:r>
        <w:rPr>
          <w:noProof/>
        </w:rPr>
        <w:t>Čas, potreben za rešitev civilnih, gospodarskih in upravnih zadev na sodiščih prve stopnje (882 dni leta 2019 v primerjavi s 737 dnevi leta 2018), ostaja med najdaljšimi v EU</w:t>
      </w:r>
      <w:r>
        <w:rPr>
          <w:rStyle w:val="FootnoteReference"/>
          <w:rFonts w:cs="Times New Roman"/>
          <w:noProof/>
          <w:szCs w:val="24"/>
        </w:rPr>
        <w:footnoteReference w:id="33"/>
      </w:r>
      <w:r>
        <w:rPr>
          <w:noProof/>
        </w:rPr>
        <w:t>. V upravnem pravosodju na prvi stopnji so se postopki podaljšali (495 dni leta 2019 v primerjavi s 487 dnevi leta 2018)</w:t>
      </w:r>
      <w:r>
        <w:rPr>
          <w:rStyle w:val="FootnoteReference"/>
          <w:rFonts w:cs="Times New Roman"/>
          <w:noProof/>
          <w:szCs w:val="24"/>
        </w:rPr>
        <w:footnoteReference w:id="34"/>
      </w:r>
      <w:r>
        <w:rPr>
          <w:noProof/>
        </w:rPr>
        <w:t>, stopnja rešenih zadev pa se je zmanjšala (približno 170 % leta 2019 v primerjavi s približno 219 % leta 2018)</w:t>
      </w:r>
      <w:r>
        <w:rPr>
          <w:rStyle w:val="FootnoteReference"/>
          <w:rFonts w:cs="Times New Roman"/>
          <w:noProof/>
          <w:szCs w:val="24"/>
        </w:rPr>
        <w:footnoteReference w:id="35"/>
      </w:r>
      <w:r>
        <w:rPr>
          <w:noProof/>
        </w:rPr>
        <w:t>. Od septembra 2020 se na okrožnem sodišču v Pafosu izvaja pilotni projekt za zmanjšanje sodnih zaostankov. Po zaposlitvi več dodatnih sodnikov je bila ustanovljena projektna skupina, ki se osredotoča zlasti na obravnavanje sodnih zaostankov</w:t>
      </w:r>
      <w:r>
        <w:rPr>
          <w:rStyle w:val="FootnoteReference"/>
          <w:rFonts w:cs="Times New Roman"/>
          <w:noProof/>
          <w:szCs w:val="24"/>
        </w:rPr>
        <w:footnoteReference w:id="36"/>
      </w:r>
      <w:r>
        <w:rPr>
          <w:noProof/>
        </w:rPr>
        <w:t>.</w:t>
      </w:r>
    </w:p>
    <w:p>
      <w:pPr>
        <w:rPr>
          <w:rFonts w:cs="Times New Roman"/>
          <w:noProof/>
        </w:rPr>
      </w:pPr>
      <w:r>
        <w:rPr>
          <w:b/>
          <w:noProof/>
          <w:szCs w:val="20"/>
        </w:rPr>
        <w:t>Izvajanje akcijskega načrta za obravnavanje izzivov na področju učinkovitosti se nadaljuje, čeprav z nekaj zamude</w:t>
      </w:r>
      <w:r>
        <w:rPr>
          <w:rStyle w:val="FootnoteReference"/>
          <w:rFonts w:eastAsia="Times New Roman" w:cs="Times New Roman"/>
          <w:b/>
          <w:noProof/>
          <w:szCs w:val="20"/>
          <w:lang w:eastAsia="fr-FR"/>
        </w:rPr>
        <w:footnoteReference w:id="37"/>
      </w:r>
      <w:r>
        <w:rPr>
          <w:b/>
          <w:noProof/>
          <w:szCs w:val="20"/>
        </w:rPr>
        <w:t xml:space="preserve">. </w:t>
      </w:r>
      <w:r>
        <w:rPr>
          <w:noProof/>
        </w:rPr>
        <w:t>V tem okviru predlog zakona, ki ga je konec leta 2020 pripravilo ministrstvo za pravosodje in javni red, določa povečanje pristojnosti v civilnih zadevah za sodnike okrožnih sodišč in višje sodnike okrožnih sodišč v zvezi s številom sporov, ki jih lahko obravnavajo in o katerih lahko razsojajo, da se omogoči večja prožnost sistema</w:t>
      </w:r>
      <w:r>
        <w:rPr>
          <w:rStyle w:val="FootnoteReference"/>
          <w:rFonts w:cs="Times New Roman"/>
          <w:noProof/>
        </w:rPr>
        <w:footnoteReference w:id="38"/>
      </w:r>
      <w:r>
        <w:rPr>
          <w:noProof/>
        </w:rPr>
        <w:t>. Odločitev vrhovnega sodišča februarja 2019, da se finančni spori – sodni postopki, povezani s slabimi posojili – dodelijo v obravnavo šestim višjim sodnikom na okrožnih sodiščih, ki že opravljajo svojo funkcijo, se še naprej izvaja</w:t>
      </w:r>
      <w:bookmarkStart w:id="2" w:name="_Hlk18567410"/>
      <w:r>
        <w:rPr>
          <w:rStyle w:val="FootnoteReference"/>
          <w:rFonts w:cs="Times New Roman"/>
          <w:noProof/>
        </w:rPr>
        <w:footnoteReference w:id="39"/>
      </w:r>
      <w:r>
        <w:rPr>
          <w:noProof/>
        </w:rPr>
        <w:t>.</w:t>
      </w:r>
      <w:bookmarkEnd w:id="2"/>
    </w:p>
    <w:p>
      <w:pPr>
        <w:rPr>
          <w:rFonts w:cs="Times New Roman"/>
          <w:noProof/>
        </w:rPr>
      </w:pPr>
      <w:r>
        <w:rPr>
          <w:b/>
          <w:noProof/>
          <w:szCs w:val="24"/>
        </w:rPr>
        <w:t xml:space="preserve">Odobrena so bila nova pravila pravdnega postopka. </w:t>
      </w:r>
      <w:r>
        <w:rPr>
          <w:noProof/>
        </w:rPr>
        <w:t>Vrhovno sodišče je 19. maja 2021 odobrilo nova pravila pravdnega postopka, ki so nadomestila zastarel pravni okvir, ki je veljal od leta 1958</w:t>
      </w:r>
      <w:r>
        <w:rPr>
          <w:rStyle w:val="FootnoteReference"/>
          <w:rFonts w:eastAsia="Times New Roman" w:cs="Times New Roman"/>
          <w:noProof/>
          <w:szCs w:val="24"/>
          <w:lang w:eastAsia="en-GB"/>
        </w:rPr>
        <w:footnoteReference w:id="40"/>
      </w:r>
      <w:r>
        <w:rPr>
          <w:noProof/>
        </w:rPr>
        <w:t>. Cilj teh pravil, ki se še ne izvajajo, je pospešiti sodne postopke in povečati splošno učinkovitost civilnih sodnih postopkov, tudi v zvezi z izvrševanjem sodnih odločb</w:t>
      </w:r>
      <w:r>
        <w:rPr>
          <w:rStyle w:val="FootnoteReference"/>
          <w:rFonts w:cs="Times New Roman"/>
          <w:noProof/>
        </w:rPr>
        <w:footnoteReference w:id="41"/>
      </w:r>
      <w:r>
        <w:rPr>
          <w:noProof/>
        </w:rPr>
        <w:t>.</w:t>
      </w:r>
    </w:p>
    <w:p>
      <w:pPr>
        <w:pStyle w:val="Heading1"/>
        <w:numPr>
          <w:ilvl w:val="0"/>
          <w:numId w:val="8"/>
        </w:numPr>
        <w:rPr>
          <w:noProof/>
        </w:rPr>
      </w:pPr>
      <w:r>
        <w:rPr>
          <w:noProof/>
        </w:rPr>
        <w:t xml:space="preserve">Protikorupcijski okvir </w:t>
      </w:r>
    </w:p>
    <w:p>
      <w:pPr>
        <w:pStyle w:val="Normal1"/>
        <w:spacing w:before="0" w:beforeAutospacing="0" w:after="240" w:afterAutospacing="0"/>
        <w:jc w:val="both"/>
        <w:textAlignment w:val="baseline"/>
        <w:rPr>
          <w:bCs/>
          <w:noProof/>
        </w:rPr>
      </w:pPr>
      <w:r>
        <w:rPr>
          <w:noProof/>
          <w:shd w:val="clear" w:color="auto" w:fill="FFFFFF"/>
        </w:rPr>
        <w:t xml:space="preserve">Sprejet je bil nov akcijski načrt </w:t>
      </w:r>
      <w:r>
        <w:rPr>
          <w:noProof/>
        </w:rPr>
        <w:t xml:space="preserve">za boj proti korupciji za obdobje 2021–2026, za spremljanje njegovega izvajanja pa je zadolžen urad za preglednost in preprečevanje korupcije. </w:t>
      </w:r>
      <w:r>
        <w:rPr>
          <w:noProof/>
          <w:shd w:val="clear" w:color="auto" w:fill="FFFFFF"/>
        </w:rPr>
        <w:t xml:space="preserve">Generalni državni tožilec ima splošno pristojnost za pregon kaznivih dejanj, vključno s korupcijo. Tožilstvo pravno svetuje organom kazenskega pregona, ki preiskujejo kazniva dejanja korupcije. </w:t>
      </w:r>
      <w:r>
        <w:rPr>
          <w:noProof/>
        </w:rPr>
        <w:t xml:space="preserve">Imenovan je bil nov generalni državni tožilec, zaposlili so se novi uslužbenci in reorganiziral urad za preiskovanje finančnih kaznivih dejanj. </w:t>
      </w:r>
      <w:r>
        <w:rPr>
          <w:noProof/>
          <w:shd w:val="clear" w:color="auto" w:fill="FFFFFF"/>
        </w:rPr>
        <w:t xml:space="preserve">Nov zakon o dostopu do informacij javnega značaja prinaša izboljšanje zakonodajnega okvira za boj proti korupciji. </w:t>
      </w:r>
    </w:p>
    <w:p>
      <w:pPr>
        <w:spacing w:line="259" w:lineRule="auto"/>
        <w:jc w:val="left"/>
        <w:rPr>
          <w:rFonts w:cs="Times New Roman"/>
          <w:noProof/>
          <w:szCs w:val="24"/>
        </w:rPr>
      </w:pPr>
      <w:r>
        <w:rPr>
          <w:b/>
          <w:noProof/>
          <w:szCs w:val="24"/>
        </w:rPr>
        <w:t>Strokovnjaki in vodstveni delavci menijo, da je stopnja korupcije v javnem sektorju še vedno razmeroma visoka.</w:t>
      </w:r>
      <w:r>
        <w:rPr>
          <w:noProof/>
        </w:rPr>
        <w:t xml:space="preserve"> Na indeksu zaznave korupcije, ki ga objavlja organizacija Transparency International, je Ciper za leto 2020 prejel oceno 57/100, s čimer se uvršča na 12. mesto v Evropski uniji in 42. mesto na svetu</w:t>
      </w:r>
      <w:r>
        <w:rPr>
          <w:rFonts w:cs="Times New Roman"/>
          <w:bCs/>
          <w:noProof/>
          <w:szCs w:val="24"/>
          <w:vertAlign w:val="superscript"/>
        </w:rPr>
        <w:footnoteReference w:id="42"/>
      </w:r>
      <w:r>
        <w:rPr>
          <w:noProof/>
        </w:rPr>
        <w:t>. Zaznavanje korupcije se je v zadnjih petih letih</w:t>
      </w:r>
      <w:r>
        <w:rPr>
          <w:rFonts w:cs="Times New Roman"/>
          <w:noProof/>
          <w:szCs w:val="24"/>
          <w:vertAlign w:val="superscript"/>
        </w:rPr>
        <w:footnoteReference w:id="43"/>
      </w:r>
      <w:r>
        <w:rPr>
          <w:noProof/>
        </w:rPr>
        <w:t xml:space="preserve"> poslabšalo</w:t>
      </w:r>
      <w:r>
        <w:rPr>
          <w:rFonts w:cs="Times New Roman"/>
          <w:noProof/>
          <w:szCs w:val="24"/>
          <w:vertAlign w:val="superscript"/>
          <w:lang w:val="en-IE"/>
        </w:rPr>
        <w:footnoteReference w:id="44"/>
      </w:r>
      <w:r>
        <w:rPr>
          <w:noProof/>
        </w:rPr>
        <w:t>.</w:t>
      </w:r>
    </w:p>
    <w:p>
      <w:pPr>
        <w:autoSpaceDE w:val="0"/>
        <w:autoSpaceDN w:val="0"/>
        <w:adjustRightInd w:val="0"/>
        <w:spacing w:after="0"/>
        <w:rPr>
          <w:rFonts w:cs="Times New Roman"/>
          <w:b/>
          <w:bCs/>
          <w:noProof/>
          <w:color w:val="000000"/>
          <w:szCs w:val="24"/>
        </w:rPr>
      </w:pPr>
      <w:r>
        <w:rPr>
          <w:b/>
          <w:noProof/>
          <w:szCs w:val="24"/>
        </w:rPr>
        <w:t xml:space="preserve">Strateški okvir za boj proti korupciji je bil revidiran. </w:t>
      </w:r>
      <w:r>
        <w:rPr>
          <w:noProof/>
        </w:rPr>
        <w:t>Predsednik republike ter minister za pravosodje in javni red sta januarja 2021 sprejela novo strategijo proti korupciji za obdobje 2021–2026. Predlagani ukrepi se nanašajo na vprašanja preglednosti, odgovornosti in korupcije, njihov cilj pa je okrepiti obstoječe institucije in vzpostaviti nove zaščitne ukrepe</w:t>
      </w:r>
      <w:r>
        <w:rPr>
          <w:rFonts w:cs="Times New Roman"/>
          <w:noProof/>
          <w:szCs w:val="24"/>
          <w:vertAlign w:val="superscript"/>
        </w:rPr>
        <w:footnoteReference w:id="45"/>
      </w:r>
      <w:r>
        <w:rPr>
          <w:noProof/>
        </w:rPr>
        <w:t>. Strategija vključuje tri stebre</w:t>
      </w:r>
      <w:r>
        <w:rPr>
          <w:rFonts w:cs="Times New Roman"/>
          <w:noProof/>
          <w:szCs w:val="24"/>
          <w:vertAlign w:val="superscript"/>
        </w:rPr>
        <w:footnoteReference w:id="46"/>
      </w:r>
      <w:r>
        <w:rPr>
          <w:noProof/>
        </w:rPr>
        <w:t>, razdeljene na posebne ukrepe</w:t>
      </w:r>
      <w:r>
        <w:rPr>
          <w:rFonts w:cs="Times New Roman"/>
          <w:bCs/>
          <w:noProof/>
          <w:szCs w:val="24"/>
          <w:vertAlign w:val="superscript"/>
        </w:rPr>
        <w:footnoteReference w:id="47"/>
      </w:r>
      <w:r>
        <w:rPr>
          <w:noProof/>
        </w:rPr>
        <w:t xml:space="preserve">. </w:t>
      </w:r>
      <w:r>
        <w:rPr>
          <w:noProof/>
          <w:color w:val="000000"/>
          <w:szCs w:val="24"/>
        </w:rPr>
        <w:t>Urad za preglednost in preprečevanje korupcije (ki deluje pod okriljem ministrstva za pravosodje in javni red) je imenoval dva uradnika, zadolžena za medinstitucionalno usklajevanje in izvajanje strategije. Vsaka javna institucija ima informacijsko točko o protikorupcijski strategiji, ki poroča o napredku pri izvajanju protikorupcijskih ukrepov, ki spadajo v njeno pristojnost. Urad za preglednost in preprečevanje korupcije zbira in centralizira informacije o izvajanju strategije ter objavlja rezultate na spletni platformi</w:t>
      </w:r>
      <w:r>
        <w:rPr>
          <w:rFonts w:eastAsia="Times New Roman" w:cs="Times New Roman"/>
          <w:noProof/>
          <w:color w:val="000000"/>
          <w:szCs w:val="24"/>
          <w:vertAlign w:val="superscript"/>
          <w:lang w:eastAsia="en-GB"/>
        </w:rPr>
        <w:footnoteReference w:id="48"/>
      </w:r>
      <w:r>
        <w:rPr>
          <w:noProof/>
          <w:color w:val="000000"/>
          <w:szCs w:val="24"/>
        </w:rPr>
        <w:t xml:space="preserve">. Konec </w:t>
      </w:r>
      <w:r>
        <w:rPr>
          <w:noProof/>
        </w:rPr>
        <w:t xml:space="preserve">leta 2020 je svet ministrov začel izvajati tudi nacionalni program za integriteto, ki temelji na </w:t>
      </w:r>
      <w:r>
        <w:rPr>
          <w:noProof/>
          <w:szCs w:val="24"/>
          <w:shd w:val="clear" w:color="auto" w:fill="FFFFFF"/>
        </w:rPr>
        <w:t>standardu Mednarodne organizacije za standardizacijo</w:t>
      </w:r>
      <w:r>
        <w:rPr>
          <w:noProof/>
        </w:rPr>
        <w:t xml:space="preserve"> o </w:t>
      </w:r>
      <w:r>
        <w:rPr>
          <w:noProof/>
          <w:szCs w:val="24"/>
          <w:shd w:val="clear" w:color="auto" w:fill="FFFFFF"/>
        </w:rPr>
        <w:t>sistemu za boj proti podkupovanju</w:t>
      </w:r>
      <w:r>
        <w:rPr>
          <w:noProof/>
        </w:rPr>
        <w:t>. Za nadzor izvajanja tega programa je odgovorno ministrstvo za pravosodje</w:t>
      </w:r>
      <w:r>
        <w:rPr>
          <w:rFonts w:eastAsia="Times New Roman" w:cs="Times New Roman"/>
          <w:noProof/>
          <w:szCs w:val="24"/>
          <w:vertAlign w:val="superscript"/>
          <w:lang w:eastAsia="en-GB"/>
        </w:rPr>
        <w:footnoteReference w:id="49"/>
      </w:r>
      <w:r>
        <w:rPr>
          <w:noProof/>
        </w:rPr>
        <w:t>.</w:t>
      </w:r>
    </w:p>
    <w:p>
      <w:pPr>
        <w:autoSpaceDE w:val="0"/>
        <w:autoSpaceDN w:val="0"/>
        <w:adjustRightInd w:val="0"/>
        <w:spacing w:after="0"/>
        <w:rPr>
          <w:rFonts w:cs="Times New Roman"/>
          <w:b/>
          <w:bCs/>
          <w:noProof/>
          <w:color w:val="000000"/>
          <w:szCs w:val="24"/>
        </w:rPr>
      </w:pPr>
    </w:p>
    <w:p>
      <w:pPr>
        <w:widowControl w:val="0"/>
        <w:autoSpaceDE w:val="0"/>
        <w:autoSpaceDN w:val="0"/>
        <w:adjustRightInd w:val="0"/>
        <w:spacing w:after="160"/>
        <w:rPr>
          <w:rFonts w:cs="Times New Roman"/>
          <w:bCs/>
          <w:noProof/>
          <w:szCs w:val="24"/>
        </w:rPr>
      </w:pPr>
      <w:r>
        <w:rPr>
          <w:b/>
          <w:noProof/>
          <w:szCs w:val="24"/>
        </w:rPr>
        <w:t xml:space="preserve">Zakon o dostopu do informacij javnega značaja je bil sprejet, parlament pa še vedno razpravlja o drugi protikorupcijski zakonodaji. </w:t>
      </w:r>
      <w:r>
        <w:rPr>
          <w:noProof/>
        </w:rPr>
        <w:t>Zakon o pravici dostopa do informacij v javnem sektorju</w:t>
      </w:r>
      <w:r>
        <w:rPr>
          <w:rFonts w:cs="Times New Roman"/>
          <w:bCs/>
          <w:noProof/>
          <w:szCs w:val="24"/>
          <w:vertAlign w:val="superscript"/>
        </w:rPr>
        <w:footnoteReference w:id="50"/>
      </w:r>
      <w:r>
        <w:rPr>
          <w:noProof/>
        </w:rPr>
        <w:t xml:space="preserve">, </w:t>
      </w:r>
      <w:r>
        <w:rPr>
          <w:noProof/>
          <w:color w:val="212529"/>
          <w:szCs w:val="24"/>
          <w:shd w:val="clear" w:color="auto" w:fill="FFFFFF"/>
        </w:rPr>
        <w:t>ki fizičnim in pravnim osebam zagotavlja pravico dostopa do informacij, ki jih hranijo javni organi,</w:t>
      </w:r>
      <w:r>
        <w:rPr>
          <w:noProof/>
        </w:rPr>
        <w:t xml:space="preserve"> je začel veljati decembra 2020. Predlog zakona o ustanovitvi neodvisnega protikorupcijskega organa in predlog zakona o lobiranju sta prestala prvo obravnavo pred pristojnim parlamentarnim odborom. Več osnutkov zakonov o prijavi premoženjskega stanja izvoljenih in državnih uradnikov čaka na obravnavo parlamentarnega odbora za institucije, zasluge in komisarja za upravo</w:t>
      </w:r>
      <w:r>
        <w:rPr>
          <w:rFonts w:cs="Times New Roman"/>
          <w:noProof/>
          <w:szCs w:val="24"/>
          <w:vertAlign w:val="superscript"/>
        </w:rPr>
        <w:footnoteReference w:id="51"/>
      </w:r>
      <w:r>
        <w:rPr>
          <w:noProof/>
        </w:rPr>
        <w:t xml:space="preserve">. Vendar časovni okvir za njihovo končno sprejetje ni znan. </w:t>
      </w:r>
    </w:p>
    <w:p>
      <w:pPr>
        <w:autoSpaceDE w:val="0"/>
        <w:autoSpaceDN w:val="0"/>
        <w:adjustRightInd w:val="0"/>
        <w:spacing w:after="0"/>
        <w:rPr>
          <w:rFonts w:cs="Times New Roman"/>
          <w:noProof/>
          <w:color w:val="000000"/>
          <w:shd w:val="clear" w:color="auto" w:fill="FFFFFF"/>
        </w:rPr>
      </w:pPr>
      <w:r>
        <w:rPr>
          <w:b/>
          <w:bCs/>
          <w:noProof/>
          <w:color w:val="000000"/>
        </w:rPr>
        <w:t xml:space="preserve">Sankcija za kaznivo dejanje zlorabe javnega položaja se je povečala. </w:t>
      </w:r>
      <w:r>
        <w:rPr>
          <w:noProof/>
          <w:color w:val="000000"/>
        </w:rPr>
        <w:t>Marca 2021 je bila sankcija za kaznivo dejanje zlorabe položaja</w:t>
      </w:r>
      <w:r>
        <w:rPr>
          <w:rStyle w:val="FootnoteReference"/>
          <w:rFonts w:cs="Times New Roman"/>
          <w:noProof/>
          <w:color w:val="000000"/>
        </w:rPr>
        <w:footnoteReference w:id="52"/>
      </w:r>
      <w:r>
        <w:rPr>
          <w:noProof/>
          <w:color w:val="000000"/>
        </w:rPr>
        <w:t xml:space="preserve"> javnih uslužbencev (izvoljenih ali imenovanih) podaljšana s treh na sedem let zapora</w:t>
      </w:r>
      <w:r>
        <w:rPr>
          <w:rFonts w:cs="Times New Roman"/>
          <w:noProof/>
          <w:color w:val="000000"/>
          <w:vertAlign w:val="superscript"/>
        </w:rPr>
        <w:footnoteReference w:id="53"/>
      </w:r>
      <w:r>
        <w:rPr>
          <w:noProof/>
          <w:color w:val="000000"/>
        </w:rPr>
        <w:t xml:space="preserve">. </w:t>
      </w:r>
    </w:p>
    <w:p>
      <w:pPr>
        <w:autoSpaceDE w:val="0"/>
        <w:autoSpaceDN w:val="0"/>
        <w:adjustRightInd w:val="0"/>
        <w:spacing w:after="0"/>
        <w:rPr>
          <w:rFonts w:cs="Times New Roman"/>
          <w:noProof/>
          <w:color w:val="000000"/>
          <w:szCs w:val="24"/>
          <w:shd w:val="clear" w:color="auto" w:fill="FFFFFF"/>
        </w:rPr>
      </w:pPr>
    </w:p>
    <w:p>
      <w:pPr>
        <w:widowControl w:val="0"/>
        <w:autoSpaceDE w:val="0"/>
        <w:autoSpaceDN w:val="0"/>
        <w:adjustRightInd w:val="0"/>
        <w:spacing w:after="160"/>
        <w:rPr>
          <w:rFonts w:cs="Times New Roman"/>
          <w:noProof/>
          <w:szCs w:val="24"/>
        </w:rPr>
      </w:pPr>
      <w:r>
        <w:rPr>
          <w:b/>
          <w:noProof/>
          <w:szCs w:val="24"/>
        </w:rPr>
        <w:t>Urad generalnega državnega tožilca še naprej izboljšuje svoje zmogljivosti.</w:t>
      </w:r>
      <w:r>
        <w:rPr>
          <w:noProof/>
        </w:rPr>
        <w:t xml:space="preserve"> Konec junija 2020 je bil imenovan nov generalni državni tožilec.</w:t>
      </w:r>
      <w:r>
        <w:rPr>
          <w:b/>
          <w:noProof/>
          <w:szCs w:val="24"/>
        </w:rPr>
        <w:t xml:space="preserve"> </w:t>
      </w:r>
      <w:r>
        <w:rPr>
          <w:noProof/>
        </w:rPr>
        <w:t>Urad je nedavno zaposlil 24 prvostopenjskih odvetnikov, pooblaščenih za pregon finančnih kaznivih dejanj, vključno s korupcijo, trije uradniki pa so bili premeščeni iz kadrovskega oddelka v urad generalnega državnega tožilca. Med letoma 2013 in 2020 je bilo preiskanih 149 primerov korupcije, od katerih je bilo v 20 zadevah dosežena sodba (vključno s petimi primeri, povezanimi z visokimi uradniki in politično izpostavljenimi osebami)</w:t>
      </w:r>
      <w:r>
        <w:rPr>
          <w:rFonts w:cs="Times New Roman"/>
          <w:noProof/>
          <w:szCs w:val="24"/>
          <w:vertAlign w:val="superscript"/>
        </w:rPr>
        <w:footnoteReference w:id="54"/>
      </w:r>
      <w:r>
        <w:rPr>
          <w:noProof/>
        </w:rPr>
        <w:t>. Posebno področje tveganja, ki ga ureja zakon o boju proti prirejanju rezultatov športnih tekmovanj</w:t>
      </w:r>
      <w:r>
        <w:rPr>
          <w:rFonts w:cs="Times New Roman"/>
          <w:noProof/>
          <w:szCs w:val="24"/>
          <w:bdr w:val="none" w:sz="0" w:space="0" w:color="auto" w:frame="1"/>
          <w:vertAlign w:val="superscript"/>
        </w:rPr>
        <w:footnoteReference w:id="55"/>
      </w:r>
      <w:r>
        <w:rPr>
          <w:noProof/>
        </w:rPr>
        <w:t>, je privedlo do več preiskav primerov korupcije (12 zadev leta 2020 in treh zadev leta 2021) in nasprotja interesov (dva primera leta 2020 in en primer leta 2021), vendar doslej o nobenem ni bilo razsojeno</w:t>
      </w:r>
      <w:r>
        <w:rPr>
          <w:rFonts w:cs="Times New Roman"/>
          <w:noProof/>
          <w:szCs w:val="24"/>
          <w:vertAlign w:val="superscript"/>
        </w:rPr>
        <w:footnoteReference w:id="56"/>
      </w:r>
      <w:r>
        <w:rPr>
          <w:noProof/>
        </w:rPr>
        <w:t>. Generalni državni tožilec je leta 2020 usklajeval srečanja z združenjem za stave in policijo v zvezi z izvajanjem zakona o boju proti prirejanju rezultatov športnih tekmovanj</w:t>
      </w:r>
      <w:r>
        <w:rPr>
          <w:rStyle w:val="FootnoteReference"/>
          <w:rFonts w:cs="Times New Roman"/>
          <w:noProof/>
          <w:szCs w:val="24"/>
          <w:bdr w:val="none" w:sz="0" w:space="0" w:color="auto" w:frame="1"/>
        </w:rPr>
        <w:footnoteReference w:id="57"/>
      </w:r>
      <w:r>
        <w:rPr>
          <w:noProof/>
        </w:rPr>
        <w:t>.</w:t>
      </w:r>
    </w:p>
    <w:p>
      <w:pPr>
        <w:spacing w:after="0"/>
        <w:textAlignment w:val="baseline"/>
        <w:rPr>
          <w:rFonts w:eastAsia="Times New Roman" w:cs="Times New Roman"/>
          <w:noProof/>
          <w:bdr w:val="none" w:sz="0" w:space="0" w:color="auto" w:frame="1"/>
        </w:rPr>
      </w:pPr>
      <w:r>
        <w:rPr>
          <w:b/>
          <w:bCs/>
          <w:noProof/>
          <w:bdr w:val="none" w:sz="0" w:space="0" w:color="auto" w:frame="1"/>
        </w:rPr>
        <w:t xml:space="preserve">Vlada je oblikovala preiskovalno komisijo za preiskavo ciprske sheme državljanstva za vlagatelje. </w:t>
      </w:r>
      <w:r>
        <w:rPr>
          <w:noProof/>
          <w:bdr w:val="none" w:sz="0" w:space="0" w:color="auto" w:frame="1"/>
        </w:rPr>
        <w:t>Generalni državni tožilec je 7. septembra 2020 v odgovor na obtožbe o korupciji, v katero so vpleteni tuji posamezniki in visoki uradniki (vključno z morebitno vpletenostjo politično izpostavljenih oseb), na zahtevo sveta ministrov imenoval preiskovalno komisijo, zadolženo za preiskavo in preučitev vseh naturalizacij, odobrenih v skladu s ciprsko shemo državljanstva za vlagatelje med letoma 2007 in 2020. Komisija je po poročanjih preučila 6 779 naturalizacij, odobrenih na podlagi naložb</w:t>
      </w:r>
      <w:r>
        <w:rPr>
          <w:rStyle w:val="FootnoteReference"/>
          <w:rFonts w:eastAsia="Times New Roman" w:cs="Times New Roman"/>
          <w:noProof/>
          <w:bdr w:val="none" w:sz="0" w:space="0" w:color="auto" w:frame="1"/>
          <w:lang w:eastAsia="en-IE"/>
        </w:rPr>
        <w:footnoteReference w:id="58"/>
      </w:r>
      <w:r>
        <w:rPr>
          <w:noProof/>
          <w:bdr w:val="none" w:sz="0" w:space="0" w:color="auto" w:frame="1"/>
        </w:rPr>
        <w:t>. Predhodne ugotovitve komisije, objavljene aprila 2021, kažejo, da je bilo več kot 53 % vseh analiziranih naturalizacij odobrenih v nasprotju z zakonom</w:t>
      </w:r>
      <w:r>
        <w:rPr>
          <w:rStyle w:val="FootnoteReference"/>
          <w:rFonts w:eastAsia="Times New Roman" w:cs="Times New Roman"/>
          <w:noProof/>
          <w:bdr w:val="none" w:sz="0" w:space="0" w:color="auto" w:frame="1"/>
          <w:lang w:eastAsia="en-IE"/>
        </w:rPr>
        <w:footnoteReference w:id="59"/>
      </w:r>
      <w:r>
        <w:rPr>
          <w:noProof/>
          <w:bdr w:val="none" w:sz="0" w:space="0" w:color="auto" w:frame="1"/>
        </w:rPr>
        <w:t xml:space="preserve">. </w:t>
      </w:r>
      <w:r>
        <w:rPr>
          <w:bCs/>
          <w:noProof/>
          <w:bdr w:val="none" w:sz="0" w:space="0" w:color="auto" w:frame="1"/>
        </w:rPr>
        <w:t>Evropska komisija je proti Cipru začela postopek za ugotavljanje kršitev v zvezi s shemo državljanstva za vlagatelje</w:t>
      </w:r>
      <w:r>
        <w:rPr>
          <w:rStyle w:val="FootnoteReference"/>
          <w:rFonts w:eastAsia="Times New Roman" w:cs="Times New Roman"/>
          <w:bCs/>
          <w:noProof/>
          <w:bdr w:val="none" w:sz="0" w:space="0" w:color="auto" w:frame="1"/>
          <w:lang w:eastAsia="en-IE"/>
        </w:rPr>
        <w:footnoteReference w:id="60"/>
      </w:r>
      <w:r>
        <w:rPr>
          <w:bCs/>
          <w:noProof/>
          <w:bdr w:val="none" w:sz="0" w:space="0" w:color="auto" w:frame="1"/>
        </w:rPr>
        <w:t>.</w:t>
      </w:r>
      <w:r>
        <w:rPr>
          <w:noProof/>
          <w:bdr w:val="none" w:sz="0" w:space="0" w:color="auto" w:frame="1"/>
        </w:rPr>
        <w:t xml:space="preserve"> </w:t>
      </w:r>
    </w:p>
    <w:p>
      <w:pPr>
        <w:spacing w:after="0"/>
        <w:textAlignment w:val="baseline"/>
        <w:rPr>
          <w:rFonts w:eastAsia="Times New Roman" w:cs="Times New Roman"/>
          <w:noProof/>
          <w:bdr w:val="none" w:sz="0" w:space="0" w:color="auto" w:frame="1"/>
          <w:lang w:eastAsia="en-IE"/>
        </w:rPr>
      </w:pPr>
    </w:p>
    <w:p>
      <w:pPr>
        <w:spacing w:after="0"/>
        <w:textAlignment w:val="baseline"/>
        <w:rPr>
          <w:rFonts w:eastAsia="Times New Roman" w:cs="Times New Roman"/>
          <w:noProof/>
          <w:color w:val="000000"/>
          <w:szCs w:val="24"/>
          <w:bdr w:val="none" w:sz="0" w:space="0" w:color="auto" w:frame="1"/>
        </w:rPr>
      </w:pPr>
      <w:r>
        <w:rPr>
          <w:b/>
          <w:iCs/>
          <w:noProof/>
          <w:szCs w:val="24"/>
        </w:rPr>
        <w:t xml:space="preserve">Urad za preiskovanje finančnih kaznivih dejanj je bil reorganiziran. </w:t>
      </w:r>
      <w:r>
        <w:rPr>
          <w:noProof/>
        </w:rPr>
        <w:t>Urad za preiskovanje finančnih kaznivih dejanj je bil leta 2020 reorganiziran v dva oddelka: oddelek, pristojen za preiskovanje finančnih kaznivih dejanj, in oddelek za podporo (ki je začel delovati februarja 2021) z dvema kriminalistoma in štirimi forenzičnimi računovodji</w:t>
      </w:r>
      <w:r>
        <w:rPr>
          <w:rFonts w:eastAsia="Times New Roman" w:cs="Times New Roman"/>
          <w:iCs/>
          <w:noProof/>
          <w:szCs w:val="24"/>
          <w:vertAlign w:val="superscript"/>
          <w:lang w:eastAsia="en-IE"/>
        </w:rPr>
        <w:footnoteReference w:id="61"/>
      </w:r>
      <w:r>
        <w:rPr>
          <w:noProof/>
        </w:rPr>
        <w:t>. Oddelek za podporo podpira druge enote z analizo finančnih obveščevalnih podatkov in skrbnim preverjanjem sumljivih oseb. Vendar je privabljanje in zadržanje usposobljenega osebja za urad še vedno izziv</w:t>
      </w:r>
      <w:r>
        <w:rPr>
          <w:rFonts w:eastAsia="Times New Roman" w:cs="Times New Roman"/>
          <w:iCs/>
          <w:noProof/>
          <w:szCs w:val="24"/>
          <w:vertAlign w:val="superscript"/>
          <w:lang w:eastAsia="en-IE"/>
        </w:rPr>
        <w:footnoteReference w:id="62"/>
      </w:r>
      <w:r>
        <w:rPr>
          <w:noProof/>
        </w:rPr>
        <w:t>. Pri nekaterih preiskavah finančnih kaznivih dejanj prihaja do zamud zaradi počasnega odziva finančnih institucij na sodne odredbe za razkritje, v nekaterih mednarodnih primerih, pa zaradi domnevnega dolgega odzivnega časa tujih organov na prošnje za medsebojno pravno pomoč</w:t>
      </w:r>
      <w:r>
        <w:rPr>
          <w:rFonts w:eastAsia="Times New Roman" w:cs="Times New Roman"/>
          <w:bCs/>
          <w:iCs/>
          <w:noProof/>
          <w:szCs w:val="24"/>
          <w:vertAlign w:val="superscript"/>
          <w:lang w:eastAsia="en-IE"/>
        </w:rPr>
        <w:footnoteReference w:id="63"/>
      </w:r>
      <w:r>
        <w:rPr>
          <w:noProof/>
        </w:rPr>
        <w:t>. Leta 2020 je bila izvedena ena zaplemba, povezana s kaznivim dejanjem korupcije, v katerega so bili vpleteni štirje obtoženci, vključno z enim javnim uslužbencem</w:t>
      </w:r>
      <w:r>
        <w:rPr>
          <w:rFonts w:eastAsia="Times New Roman" w:cs="Times New Roman"/>
          <w:iCs/>
          <w:noProof/>
          <w:szCs w:val="24"/>
          <w:vertAlign w:val="superscript"/>
          <w:lang w:eastAsia="en-IE"/>
        </w:rPr>
        <w:footnoteReference w:id="64"/>
      </w:r>
      <w:r>
        <w:rPr>
          <w:noProof/>
        </w:rPr>
        <w:t xml:space="preserve">. </w:t>
      </w:r>
    </w:p>
    <w:p>
      <w:pPr>
        <w:autoSpaceDE w:val="0"/>
        <w:autoSpaceDN w:val="0"/>
        <w:adjustRightInd w:val="0"/>
        <w:spacing w:after="0"/>
        <w:rPr>
          <w:rFonts w:cs="Times New Roman"/>
          <w:iCs/>
          <w:noProof/>
          <w:color w:val="000000"/>
          <w:szCs w:val="24"/>
        </w:rPr>
      </w:pPr>
    </w:p>
    <w:p>
      <w:pPr>
        <w:rPr>
          <w:rFonts w:cs="Times New Roman"/>
          <w:b/>
          <w:noProof/>
          <w:szCs w:val="24"/>
        </w:rPr>
      </w:pPr>
      <w:r>
        <w:rPr>
          <w:b/>
          <w:iCs/>
          <w:noProof/>
          <w:color w:val="000000"/>
          <w:szCs w:val="24"/>
        </w:rPr>
        <w:t xml:space="preserve">Uvedeni so bili novi instrumenti za izboljšanje integritete v policiji, vključno s spletno platformo za prijavljanje nepravilnosti. </w:t>
      </w:r>
      <w:r>
        <w:rPr>
          <w:iCs/>
          <w:noProof/>
          <w:color w:val="000000"/>
          <w:szCs w:val="24"/>
        </w:rPr>
        <w:t xml:space="preserve">Leta 2020 je policijska služba za notranje zadeve, </w:t>
      </w:r>
      <w:r>
        <w:rPr>
          <w:noProof/>
          <w:color w:val="000000"/>
          <w:szCs w:val="24"/>
        </w:rPr>
        <w:t>ki je pristojna za preiskovanje obtožb o korupciji v policiji, vzpostavila spletno platformo za prijavljanje nepravilnosti. Od takrat je prejela 141 pritožb</w:t>
      </w:r>
      <w:r>
        <w:rPr>
          <w:rFonts w:cs="Times New Roman"/>
          <w:iCs/>
          <w:noProof/>
          <w:color w:val="000000"/>
          <w:szCs w:val="24"/>
          <w:vertAlign w:val="superscript"/>
        </w:rPr>
        <w:footnoteReference w:id="65"/>
      </w:r>
      <w:r>
        <w:rPr>
          <w:iCs/>
          <w:noProof/>
          <w:color w:val="000000"/>
          <w:szCs w:val="24"/>
        </w:rPr>
        <w:t xml:space="preserve">: 36 pritožb je že bilo preiskanih (od tega jih je bilo 21 pozneje zavrnjenih). O pritožbah s sodnim epilogom ni informacij. </w:t>
      </w:r>
      <w:r>
        <w:rPr>
          <w:noProof/>
          <w:color w:val="000000"/>
          <w:szCs w:val="24"/>
        </w:rPr>
        <w:t>V začetku leta 2021</w:t>
      </w:r>
      <w:r>
        <w:rPr>
          <w:noProof/>
          <w:color w:val="121314"/>
          <w:szCs w:val="24"/>
          <w:shd w:val="clear" w:color="auto" w:fill="FFFFFF"/>
        </w:rPr>
        <w:t xml:space="preserve"> je policijska služba za notranje zadeve sprejela kodeks ravnanja za policijo, osredotočen na boj proti korupciji (ki je zajet v obstoječem kodeksu policijske etike)</w:t>
      </w:r>
      <w:r>
        <w:rPr>
          <w:rFonts w:cs="Times New Roman"/>
          <w:noProof/>
          <w:color w:val="121314"/>
          <w:szCs w:val="24"/>
          <w:shd w:val="clear" w:color="auto" w:fill="FFFFFF"/>
          <w:vertAlign w:val="superscript"/>
        </w:rPr>
        <w:footnoteReference w:id="66"/>
      </w:r>
      <w:r>
        <w:rPr>
          <w:noProof/>
          <w:color w:val="121314"/>
          <w:szCs w:val="24"/>
          <w:shd w:val="clear" w:color="auto" w:fill="FFFFFF"/>
        </w:rPr>
        <w:t xml:space="preserve">, in pojasnila svoje pristojnosti v informativni zloženki za javnost. V primeru suma korupcije policista se lahko policijska služba za notranje zadeve odloči za </w:t>
      </w:r>
      <w:r>
        <w:rPr>
          <w:iCs/>
          <w:noProof/>
          <w:color w:val="000000"/>
          <w:szCs w:val="24"/>
        </w:rPr>
        <w:t>„preizkus integritete“ osumljenca. Čeprav je generalni državni tožilec obveščen o sumu korupcije, se elementi, ki kažejo na kršitve disciplinskih določb, pošljejo direktorju policije, ki lahko odredi morebitne korektivne ukrepe. Med letoma 2018 in 2020 je bilo uradu generalnega državnega tožilca predloženih 13 zadev, o eni zadevi pa je razsodilo sodišče (z obsodbo). Trenutno je odprtih 11 preiskav, eno pa obravnava urad generalnega državnega tožilca</w:t>
      </w:r>
      <w:r>
        <w:rPr>
          <w:rStyle w:val="FootnoteReference"/>
          <w:rFonts w:cs="Times New Roman"/>
          <w:iCs/>
          <w:noProof/>
          <w:color w:val="000000"/>
          <w:szCs w:val="24"/>
        </w:rPr>
        <w:footnoteReference w:id="67"/>
      </w:r>
      <w:r>
        <w:rPr>
          <w:iCs/>
          <w:noProof/>
          <w:color w:val="000000"/>
          <w:szCs w:val="24"/>
        </w:rPr>
        <w:t>.</w:t>
      </w:r>
    </w:p>
    <w:p>
      <w:pPr>
        <w:spacing w:after="160"/>
        <w:rPr>
          <w:rFonts w:cs="Times New Roman"/>
          <w:noProof/>
          <w:szCs w:val="24"/>
        </w:rPr>
      </w:pPr>
      <w:r>
        <w:rPr>
          <w:b/>
          <w:noProof/>
          <w:szCs w:val="24"/>
        </w:rPr>
        <w:t>Sprejete so bile nove določbe v zvezi z nasprotjem interesov poslancev</w:t>
      </w:r>
      <w:r>
        <w:rPr>
          <w:noProof/>
        </w:rPr>
        <w:t>. Februarja 2021 je predstavniški dom sprejel kodeks ravnanja za svoje poslance, ki vsebuje določbe o nezdružljivosti, prijavi premoženjskega stanja, darilih in lobiranju</w:t>
      </w:r>
      <w:r>
        <w:rPr>
          <w:rFonts w:cs="Times New Roman"/>
          <w:noProof/>
          <w:szCs w:val="24"/>
          <w:vertAlign w:val="superscript"/>
        </w:rPr>
        <w:footnoteReference w:id="68"/>
      </w:r>
      <w:r>
        <w:rPr>
          <w:noProof/>
        </w:rPr>
        <w:t>. Spoštovanje kodeksa bo spremljal poseben parlamentarni odbor. Za druge uradnike se poleg obstoječega upravnega prava</w:t>
      </w:r>
      <w:r>
        <w:rPr>
          <w:rFonts w:cs="Times New Roman"/>
          <w:noProof/>
          <w:szCs w:val="24"/>
          <w:vertAlign w:val="superscript"/>
        </w:rPr>
        <w:footnoteReference w:id="69"/>
      </w:r>
      <w:r>
        <w:rPr>
          <w:noProof/>
        </w:rPr>
        <w:t xml:space="preserve"> izvaja tekoči projekt, katerega cilj je oblikovanje skupnega sklopa načel o nasprotju interesov za javne uslužbence iz vseh sektorjev</w:t>
      </w:r>
      <w:r>
        <w:rPr>
          <w:rFonts w:cs="Times New Roman"/>
          <w:iCs/>
          <w:noProof/>
          <w:szCs w:val="24"/>
          <w:vertAlign w:val="superscript"/>
        </w:rPr>
        <w:footnoteReference w:id="70"/>
      </w:r>
      <w:r>
        <w:rPr>
          <w:noProof/>
        </w:rPr>
        <w:t>.</w:t>
      </w:r>
    </w:p>
    <w:p>
      <w:pPr>
        <w:spacing w:after="0"/>
        <w:textAlignment w:val="baseline"/>
        <w:rPr>
          <w:rFonts w:eastAsia="Times New Roman" w:cs="Times New Roman"/>
          <w:noProof/>
          <w:color w:val="000000"/>
          <w:szCs w:val="24"/>
        </w:rPr>
      </w:pPr>
      <w:r>
        <w:rPr>
          <w:b/>
          <w:noProof/>
          <w:szCs w:val="24"/>
        </w:rPr>
        <w:t>Ni podatkov o izvajanju okvira za prijavo premoženjskega stanja</w:t>
      </w:r>
      <w:r>
        <w:rPr>
          <w:noProof/>
        </w:rPr>
        <w:t>. Čeprav obstajajo pravila o prijavi premoženjskega stanja, so se pojavila vprašanja v zvezi s točnostjo in preverjanjem teh prijav</w:t>
      </w:r>
      <w:r>
        <w:rPr>
          <w:rStyle w:val="FootnoteReference"/>
          <w:rFonts w:eastAsia="Times New Roman" w:cs="Times New Roman"/>
          <w:noProof/>
          <w:color w:val="000000"/>
          <w:szCs w:val="24"/>
          <w:bdr w:val="none" w:sz="0" w:space="0" w:color="auto" w:frame="1"/>
          <w:lang w:eastAsia="en-IE"/>
        </w:rPr>
        <w:footnoteReference w:id="71"/>
      </w:r>
      <w:r>
        <w:rPr>
          <w:noProof/>
        </w:rPr>
        <w:t>. Poleg tega, čeprav obstajajo pravila in sankcije za neizpolnjevanje obveznosti glede prijave premoženjskega stanja, tudi za visoke uradnike in politično izpostavljene osebe (kot so poslanci in predsednik republike), njihova uspešnost ostaja nejasna, saj ni informacij o izvajanju sistema prijave premoženjskega stanja.</w:t>
      </w:r>
      <w:r>
        <w:rPr>
          <w:noProof/>
          <w:color w:val="000000"/>
          <w:szCs w:val="24"/>
          <w:bdr w:val="none" w:sz="0" w:space="0" w:color="auto" w:frame="1"/>
        </w:rPr>
        <w:t xml:space="preserve"> Pomisleki, navedeni v poročilu za lansko leto, zato še vedno ostajajo. </w:t>
      </w:r>
    </w:p>
    <w:p>
      <w:pPr>
        <w:autoSpaceDE w:val="0"/>
        <w:autoSpaceDN w:val="0"/>
        <w:adjustRightInd w:val="0"/>
        <w:spacing w:after="0"/>
        <w:rPr>
          <w:rFonts w:cs="Times New Roman"/>
          <w:b/>
          <w:noProof/>
          <w:color w:val="000000"/>
          <w:szCs w:val="24"/>
          <w:bdr w:val="none" w:sz="0" w:space="0" w:color="auto" w:frame="1"/>
        </w:rPr>
      </w:pPr>
    </w:p>
    <w:p>
      <w:pPr>
        <w:autoSpaceDE w:val="0"/>
        <w:autoSpaceDN w:val="0"/>
        <w:adjustRightInd w:val="0"/>
        <w:spacing w:after="0"/>
        <w:rPr>
          <w:rFonts w:cs="Times New Roman"/>
          <w:noProof/>
          <w:color w:val="000000"/>
        </w:rPr>
      </w:pPr>
      <w:r>
        <w:rPr>
          <w:b/>
          <w:noProof/>
          <w:color w:val="000000"/>
        </w:rPr>
        <w:t>Predlog zakona o prijavi dejanj korupcije čaka na sprejetje</w:t>
      </w:r>
      <w:r>
        <w:rPr>
          <w:rFonts w:cs="Times New Roman"/>
          <w:b/>
          <w:noProof/>
          <w:color w:val="000000"/>
          <w:vertAlign w:val="superscript"/>
        </w:rPr>
        <w:footnoteReference w:id="72"/>
      </w:r>
      <w:r>
        <w:rPr>
          <w:b/>
          <w:noProof/>
          <w:color w:val="000000"/>
        </w:rPr>
        <w:t xml:space="preserve"> zakonodajalca od maja 2017</w:t>
      </w:r>
      <w:r>
        <w:rPr>
          <w:noProof/>
          <w:color w:val="000000"/>
        </w:rPr>
        <w:t>. Ta zakonodaja bi uvedla nove določbe o zaščiti oseb, ki prijavijo dejanja korupcije, tako v javnem kot v zasebnem sektorju</w:t>
      </w:r>
      <w:r>
        <w:rPr>
          <w:rFonts w:cs="Times New Roman"/>
          <w:noProof/>
          <w:color w:val="000000"/>
          <w:vertAlign w:val="superscript"/>
        </w:rPr>
        <w:footnoteReference w:id="73"/>
      </w:r>
      <w:r>
        <w:rPr>
          <w:noProof/>
          <w:color w:val="000000"/>
        </w:rPr>
        <w:t>.</w:t>
      </w:r>
    </w:p>
    <w:p>
      <w:pPr>
        <w:autoSpaceDE w:val="0"/>
        <w:autoSpaceDN w:val="0"/>
        <w:adjustRightInd w:val="0"/>
        <w:spacing w:after="0"/>
        <w:rPr>
          <w:rFonts w:cs="Times New Roman"/>
          <w:iCs/>
          <w:noProof/>
          <w:color w:val="000000"/>
          <w:szCs w:val="24"/>
        </w:rPr>
      </w:pPr>
    </w:p>
    <w:p>
      <w:pPr>
        <w:spacing w:after="160"/>
        <w:rPr>
          <w:rFonts w:cs="Times New Roman"/>
          <w:noProof/>
          <w:sz w:val="22"/>
        </w:rPr>
      </w:pPr>
      <w:r>
        <w:rPr>
          <w:b/>
          <w:noProof/>
          <w:szCs w:val="24"/>
        </w:rPr>
        <w:t xml:space="preserve">Med pandemijo COVID-19 so se začeli izvajati ukrepi za preprečevanje goljufij v okviru shem pomoči. </w:t>
      </w:r>
      <w:r>
        <w:rPr>
          <w:noProof/>
        </w:rPr>
        <w:t>Ministrstvo za delo, socialno varstvo in socialno zavarovanje je uvedlo nadzorni mehanizem, povezan s podatkovno zbirko zavodov socialnega zavarovanja, ki omogoča samodejne preglede upravičencev do subvencij, povezanih s COVID-19 (imenovan tudi „posebna shema“). Ministrstvo za delo, socialno varstvo in socialno zavarovanje je v primeru kršitve meril za upravičenost do „posebne sheme“ zahtevalo vračilo zadevnih prejemkov. V zdravstvenem sektorju je med ukrepi, namenjenimi odpravljanju tveganj korupcije, določitev najvišjih cen osnovnih sredstev za zaščito pred boleznijo (na primer maske ali zdravstveni testi COVID-19)</w:t>
      </w:r>
      <w:r>
        <w:rPr>
          <w:rStyle w:val="FootnoteReference"/>
          <w:rFonts w:cs="Times New Roman"/>
          <w:bCs/>
          <w:noProof/>
          <w:szCs w:val="24"/>
        </w:rPr>
        <w:footnoteReference w:id="74"/>
      </w:r>
      <w:r>
        <w:rPr>
          <w:noProof/>
        </w:rPr>
        <w:t>.</w:t>
      </w:r>
    </w:p>
    <w:p>
      <w:pPr>
        <w:pStyle w:val="Heading1"/>
        <w:numPr>
          <w:ilvl w:val="0"/>
          <w:numId w:val="8"/>
        </w:numPr>
        <w:rPr>
          <w:noProof/>
        </w:rPr>
      </w:pPr>
      <w:r>
        <w:rPr>
          <w:noProof/>
        </w:rPr>
        <w:t>Pluralnost in svoboda medijev</w:t>
      </w:r>
    </w:p>
    <w:p>
      <w:pPr>
        <w:rPr>
          <w:noProof/>
        </w:rPr>
      </w:pPr>
      <w:r>
        <w:rPr>
          <w:noProof/>
        </w:rPr>
        <w:t>Svoboda izražanja in pravica dostopa do informacij sta pravno in formalno zaščiteni v členu 19 ustave Republike Ciper. Sekundarna zakonodaja izrecno zagotavlja zaščito novinarskih virov in spodbuja pluralnost medijev v radijskem in televizijskem sektorju. Zakon o pravici dostopa do informacij v javnem sektorju (2017) je po več zamudah začel veljati decembra 2020, njegov cilj pa je to pravico vključiti v sekundarno zakonodajo</w:t>
      </w:r>
      <w:r>
        <w:rPr>
          <w:rStyle w:val="FootnoteReference"/>
          <w:noProof/>
        </w:rPr>
        <w:footnoteReference w:id="75"/>
      </w:r>
      <w:r>
        <w:rPr>
          <w:noProof/>
        </w:rPr>
        <w:t>. Zakon določa okvir in pogoje za dostop javnosti do informacij, ki jih hranijo javni organi, ter ustanavlja urad komisarja za informacije. Pričakuje se, da bosta dva ločena predloga zakonov, ki naj bi bila sprejeta v drugi polovici leta 2021, ciprsko zakonodajo prilagodila direktivi o avdiovizualnih medijskih storitvah in okrepila svobodo tiska</w:t>
      </w:r>
      <w:r>
        <w:rPr>
          <w:rFonts w:eastAsia="Times New Roman" w:cs="Times New Roman"/>
          <w:noProof/>
          <w:vertAlign w:val="superscript"/>
          <w:lang w:eastAsia="en-GB"/>
        </w:rPr>
        <w:footnoteReference w:id="76"/>
      </w:r>
      <w:r>
        <w:rPr>
          <w:noProof/>
        </w:rPr>
        <w:t>. Ciper je razdelil državna nepovratna sredstva, ki so jih sestavljali predvsem prihodki iz oglaševanja, izplačani medijskim hišam za obveščanje javnosti o pandemiji COVID-19.</w:t>
      </w:r>
    </w:p>
    <w:p>
      <w:pPr>
        <w:rPr>
          <w:noProof/>
        </w:rPr>
      </w:pPr>
      <w:r>
        <w:rPr>
          <w:b/>
          <w:bCs/>
          <w:noProof/>
        </w:rPr>
        <w:t>Predloženi so bili predlogi sprememb</w:t>
      </w:r>
      <w:r>
        <w:rPr>
          <w:rStyle w:val="FootnoteReference"/>
          <w:b/>
          <w:bCs/>
          <w:noProof/>
        </w:rPr>
        <w:footnoteReference w:id="77"/>
      </w:r>
      <w:r>
        <w:rPr>
          <w:b/>
          <w:bCs/>
          <w:noProof/>
        </w:rPr>
        <w:t xml:space="preserve"> za okrepitev neodvisnosti regulativnega organa za avdiovizualne medijske storitve, tj. ciprskega organa za radiotelevizijo. </w:t>
      </w:r>
      <w:r>
        <w:rPr>
          <w:noProof/>
        </w:rPr>
        <w:t>Parlamentu so bile predložene spremembe zakona o izdajateljih radijskih in televizijskih programov 7(I)/1998, da bi se izrecno določila funkcionalna in dejanska neodvisnost organa, kar bi zakon prilagodilo direktivi o avdiovizualnih medijskih storitvah</w:t>
      </w:r>
      <w:r>
        <w:rPr>
          <w:rStyle w:val="FootnoteReference"/>
          <w:noProof/>
        </w:rPr>
        <w:footnoteReference w:id="78"/>
      </w:r>
      <w:r>
        <w:rPr>
          <w:noProof/>
        </w:rPr>
        <w:t>. Poleg tega so merila za izbor članov upravnega odbora ciprskega organa za radiotelevizijo usklajena s ciprskim kodeksom javnega upravljanja, kot je določeno s sklepom sveta ministrov 87/869, kar zagotavlja visoko stopnjo strokovne usposobljenosti članov odbora</w:t>
      </w:r>
      <w:r>
        <w:rPr>
          <w:rStyle w:val="FootnoteReference"/>
          <w:noProof/>
        </w:rPr>
        <w:footnoteReference w:id="79"/>
      </w:r>
      <w:r>
        <w:rPr>
          <w:noProof/>
        </w:rPr>
        <w:t>.</w:t>
      </w:r>
    </w:p>
    <w:p>
      <w:pPr>
        <w:rPr>
          <w:noProof/>
        </w:rPr>
      </w:pPr>
      <w:r>
        <w:rPr>
          <w:b/>
          <w:bCs/>
          <w:noProof/>
        </w:rPr>
        <w:t>Neodvisni ciprski svet za tisk, komisijo za pritožbe glede medijev, sestavlja 13 članov in je odgovoren za samourejanje tiskanih in elektronskih novičarskih medijev</w:t>
      </w:r>
      <w:r>
        <w:rPr>
          <w:noProof/>
        </w:rPr>
        <w:t>. Če bo predlog zakona o varstvu svobode tiska in delovanju medijev sprejet</w:t>
      </w:r>
      <w:r>
        <w:rPr>
          <w:rStyle w:val="FootnoteReference"/>
          <w:noProof/>
        </w:rPr>
        <w:footnoteReference w:id="80"/>
      </w:r>
      <w:r>
        <w:rPr>
          <w:noProof/>
        </w:rPr>
        <w:t>, bo uzakonil ustanovitev komisije za pritožbe</w:t>
      </w:r>
      <w:r>
        <w:rPr>
          <w:rStyle w:val="FootnoteReference"/>
          <w:noProof/>
        </w:rPr>
        <w:footnoteReference w:id="81"/>
      </w:r>
      <w:r>
        <w:rPr>
          <w:noProof/>
        </w:rPr>
        <w:t>. Komisija za pritožbe popolnoma je neodvisna od poseganja vlade in sodnega nadzora, vendar pa orodje za spremljanje pluralnosti medijev poudarja, da so pandemija COVID-19 in s tem povezana odpuščanja zaostrila dolgotrajne probleme, pri čemer je komisija s svojim delom v veliki meri osredotočena na ohranjanje delovnih mest in plač ter manj na uredniško neodvisnost</w:t>
      </w:r>
      <w:r>
        <w:rPr>
          <w:rStyle w:val="FootnoteReference"/>
          <w:noProof/>
        </w:rPr>
        <w:footnoteReference w:id="82"/>
      </w:r>
      <w:r>
        <w:rPr>
          <w:noProof/>
        </w:rPr>
        <w:t>.</w:t>
      </w:r>
    </w:p>
    <w:p>
      <w:pPr>
        <w:rPr>
          <w:noProof/>
        </w:rPr>
      </w:pPr>
      <w:r>
        <w:rPr>
          <w:b/>
          <w:bCs/>
          <w:noProof/>
        </w:rPr>
        <w:t xml:space="preserve">Regulativni okvir na Cipru, ki že omogoča določeno stopnjo preglednosti lastništva medijev v sektorju avdiovizualnih medijev, se bo po pričakovanju še okrepil. </w:t>
      </w:r>
      <w:r>
        <w:rPr>
          <w:noProof/>
        </w:rPr>
        <w:t>Orodje za spremljanje pluralnosti medijev za leto 2021 opozarja na pomisleke in potrjuje stopnje tveganja, izpostavljene v orodju za spremljanje pluralnosti medijev za leto 2020, v zvezi z uspešnim izvajanjem sedanjih določb in odsotnostjo okvira, ki bi zagotavljal preglednost lastništva v sektorju tiskanih in digitalnih medijev, kar otežuje ugotavljanje in preverjanje dejanskih lastnikov ali navzkrižnega lastništva v teh sektorjih. Namen osnutka zakonodaje, o katerem trenutno poteka posvetovanje, je odpraviti te vrzeli</w:t>
      </w:r>
      <w:r>
        <w:rPr>
          <w:rStyle w:val="FootnoteReference"/>
          <w:noProof/>
        </w:rPr>
        <w:footnoteReference w:id="83"/>
      </w:r>
      <w:r>
        <w:rPr>
          <w:noProof/>
        </w:rPr>
        <w:t xml:space="preserve"> tako, da vse medijske hiše obvezuje k objavi revidiranih računovodskih izkazov, ki vsebujejo informacije o dejanskih lastnikih</w:t>
      </w:r>
      <w:r>
        <w:rPr>
          <w:rStyle w:val="FootnoteReference"/>
          <w:noProof/>
        </w:rPr>
        <w:footnoteReference w:id="84"/>
      </w:r>
      <w:r>
        <w:rPr>
          <w:noProof/>
        </w:rPr>
        <w:t xml:space="preserve">. </w:t>
      </w:r>
    </w:p>
    <w:p>
      <w:pPr>
        <w:rPr>
          <w:noProof/>
        </w:rPr>
      </w:pPr>
      <w:r>
        <w:rPr>
          <w:b/>
          <w:bCs/>
          <w:noProof/>
        </w:rPr>
        <w:t>Še naprej se uporabljajo mehanizmi za varovanje politične neodvisnosti medijev in preprečevanje nasprotja interesov.</w:t>
      </w:r>
      <w:r>
        <w:rPr>
          <w:noProof/>
        </w:rPr>
        <w:t xml:space="preserve"> Čeprav še vedno ni okvira, ki bi urejal državno oglaševanje, so bila zagotovljena državna nepovratna sredstva v višini 700 000 EUR, ki so jih sestavljali predvsem prihodki iz oglaševanja, izplačani medijskim hišam za obveščanje javnosti o pandemiji COVID-19. Glede na izsledke orodja za spremljanje pluralnosti medijev za leto 2021 so zagotovljene subvencije bolj raznolike kot pretekle sheme in so močno zmanjšale dejavnik tveganja v zvezi s kazalnikom državnega reguliranja virov</w:t>
      </w:r>
      <w:r>
        <w:rPr>
          <w:noProof/>
          <w:vertAlign w:val="superscript"/>
        </w:rPr>
        <w:footnoteReference w:id="85"/>
      </w:r>
      <w:r>
        <w:rPr>
          <w:noProof/>
        </w:rPr>
        <w:t>. V orodju za spremljanje pluralnosti medijev za leto 2021 je bilo ugotovljeno, da se je tveganje na področju politične neodvisnosti na splošno zmanjšalo (z 59 % na 55 %), čeprav je uredniška neodvisnost še vedno ogrožena in izpostavljena velikemu tveganju zaradi zasledovanja političnih agend lastnikov medijev, kar vodi v določeno stopnjo samocenzure v uredništvih</w:t>
      </w:r>
      <w:r>
        <w:rPr>
          <w:rStyle w:val="FootnoteReference"/>
          <w:noProof/>
        </w:rPr>
        <w:footnoteReference w:id="86"/>
      </w:r>
      <w:r>
        <w:rPr>
          <w:noProof/>
        </w:rPr>
        <w:t>. Pripravlja se podroben mehanizem, ki ureja izplačevanje sredstev za oglaševanje za državne oglaševalske kampanje po pandemiji COVID-19</w:t>
      </w:r>
      <w:r>
        <w:rPr>
          <w:rStyle w:val="FootnoteReference"/>
          <w:noProof/>
        </w:rPr>
        <w:footnoteReference w:id="87"/>
      </w:r>
      <w:r>
        <w:rPr>
          <w:noProof/>
        </w:rPr>
        <w:t>.</w:t>
      </w:r>
    </w:p>
    <w:p>
      <w:pPr>
        <w:rPr>
          <w:noProof/>
        </w:rPr>
      </w:pPr>
      <w:r>
        <w:rPr>
          <w:b/>
          <w:bCs/>
          <w:noProof/>
        </w:rPr>
        <w:t>Neposredne grožnje so še vedno redke, vendar je bil prijavljen primer spletnega nadlegovanja in tajnega nadzora nad novinarjem.</w:t>
      </w:r>
      <w:r>
        <w:rPr>
          <w:noProof/>
        </w:rPr>
        <w:t xml:space="preserve"> Vzpostavljeni so regulativni zaščitni ukrepi za zaščito novinarskih virov. Ko bo sprejet, naj bi predlog zakona o varstvu svobode tiska in delovanju medijev okrepil svobodo govora na spletu in drugje</w:t>
      </w:r>
      <w:r>
        <w:rPr>
          <w:rStyle w:val="FootnoteReference"/>
          <w:noProof/>
        </w:rPr>
        <w:footnoteReference w:id="88"/>
      </w:r>
      <w:r>
        <w:rPr>
          <w:noProof/>
        </w:rPr>
        <w:t>. Deležniki so izrazili zaskrbljenost v zvezi z zalezovanjem, kibernetskim napadom in resnim digitalnim nadlegovanjem preiskovalnega novinarja</w:t>
      </w:r>
      <w:r>
        <w:rPr>
          <w:rStyle w:val="FootnoteReference"/>
          <w:noProof/>
        </w:rPr>
        <w:footnoteReference w:id="89"/>
      </w:r>
      <w:r>
        <w:rPr>
          <w:noProof/>
        </w:rPr>
        <w:t>, zlasti prek družbenih medijev</w:t>
      </w:r>
      <w:r>
        <w:rPr>
          <w:rStyle w:val="FootnoteReference"/>
          <w:noProof/>
        </w:rPr>
        <w:footnoteReference w:id="90"/>
      </w:r>
      <w:r>
        <w:rPr>
          <w:noProof/>
        </w:rPr>
        <w:t xml:space="preserve">. Platforma Sveta Evrope za spodbujanje zaščite novinarstva in varnosti novinarjev od Poročila o stanju pravne države za leto 2020 ni objavila nobenih opozoril glede Republike Ciper. </w:t>
      </w:r>
    </w:p>
    <w:p>
      <w:pPr>
        <w:pStyle w:val="Heading1"/>
        <w:numPr>
          <w:ilvl w:val="0"/>
          <w:numId w:val="8"/>
        </w:numPr>
        <w:rPr>
          <w:noProof/>
        </w:rPr>
      </w:pPr>
      <w:r>
        <w:rPr>
          <w:noProof/>
        </w:rPr>
        <w:t>Druga institucionalna vprašanja, povezana s sistemom zavor in ravnovesij</w:t>
      </w:r>
    </w:p>
    <w:p>
      <w:pPr>
        <w:rPr>
          <w:rFonts w:eastAsia="Times New Roman" w:cs="Times New Roman"/>
          <w:noProof/>
          <w:szCs w:val="20"/>
        </w:rPr>
      </w:pPr>
      <w:r>
        <w:rPr>
          <w:noProof/>
        </w:rPr>
        <w:t>Republika Ciper je predsedniška predstavniška republika. Ciprski predsednik je hkrati voditelj države in predsednik vlade. Predstavniški dom je parlament, ki ima zakonodajna pooblastila. Pravico do zakonodajne pobude imajo poslanci in ministri. Vrhovno sodišče je pristojno za presojo ustavnosti zakonov v okviru posebnih zadev, ki so mu predložene</w:t>
      </w:r>
      <w:r>
        <w:rPr>
          <w:rFonts w:eastAsia="Times New Roman" w:cs="Times New Roman"/>
          <w:noProof/>
          <w:szCs w:val="20"/>
          <w:vertAlign w:val="superscript"/>
          <w:lang w:eastAsia="fr-FR"/>
        </w:rPr>
        <w:footnoteReference w:id="91"/>
      </w:r>
      <w:r>
        <w:rPr>
          <w:noProof/>
        </w:rPr>
        <w:t>. Obstajajo številni nacionalni neodvisni organi, organizacije in institucije, katerih cilj sta varstvo in zaščita človekovih pravic.</w:t>
      </w:r>
    </w:p>
    <w:p>
      <w:pPr>
        <w:rPr>
          <w:rFonts w:eastAsia="Times New Roman" w:cs="Times New Roman"/>
          <w:b/>
          <w:noProof/>
          <w:szCs w:val="20"/>
        </w:rPr>
      </w:pPr>
      <w:r>
        <w:rPr>
          <w:b/>
          <w:noProof/>
          <w:szCs w:val="20"/>
        </w:rPr>
        <w:t>Kljub ukrepom, sprejetim za izboljšanje sodelovanja deležnikov, se javno posvetovanje ne odvija vedno v zgodnji fazi oblikovanja</w:t>
      </w:r>
      <w:r>
        <w:rPr>
          <w:b/>
          <w:noProof/>
        </w:rPr>
        <w:t xml:space="preserve"> in priprave politik.</w:t>
      </w:r>
      <w:r>
        <w:rPr>
          <w:noProof/>
        </w:rPr>
        <w:t xml:space="preserve"> Odprto javno posvetovanje o zakonodajnih aktih poteka redko</w:t>
      </w:r>
      <w:r>
        <w:rPr>
          <w:rStyle w:val="FootnoteReference"/>
          <w:rFonts w:eastAsia="Times New Roman" w:cs="Times New Roman"/>
          <w:noProof/>
          <w:szCs w:val="20"/>
          <w:lang w:eastAsia="fr-FR"/>
        </w:rPr>
        <w:footnoteReference w:id="92"/>
      </w:r>
      <w:r>
        <w:rPr>
          <w:noProof/>
        </w:rPr>
        <w:t>, kljub zavezam, sprejetim v okviru projekta za boljše pravno urejanje, ter zadevnim okrožnicam ministrstva za finance in pravobranilstva republike</w:t>
      </w:r>
      <w:r>
        <w:rPr>
          <w:rStyle w:val="FootnoteReference"/>
          <w:rFonts w:eastAsia="Times New Roman" w:cs="Times New Roman"/>
          <w:noProof/>
          <w:szCs w:val="20"/>
          <w:lang w:eastAsia="fr-FR"/>
        </w:rPr>
        <w:footnoteReference w:id="93"/>
      </w:r>
      <w:r>
        <w:rPr>
          <w:noProof/>
        </w:rPr>
        <w:t>. Nasprotno, postopek posvetovanja o osnutkih zakonodaje ni zlahka dostopen javnosti in je omejen na razprave v predstavniškem domu. Na tej stopnji se osnutki zakonodajnih aktov izmenjujejo prek standardnega seznama za pošiljanje ministrstva za pravosodje vnaprej določenim deležnikom</w:t>
      </w:r>
      <w:r>
        <w:rPr>
          <w:rStyle w:val="FootnoteReference"/>
          <w:rFonts w:eastAsia="Times New Roman" w:cs="Times New Roman"/>
          <w:noProof/>
          <w:szCs w:val="20"/>
          <w:lang w:eastAsia="fr-FR"/>
        </w:rPr>
        <w:footnoteReference w:id="94"/>
      </w:r>
      <w:r>
        <w:rPr>
          <w:noProof/>
        </w:rPr>
        <w:t>, da lahko ti predložijo svoja stališča in/ali sodelujejo v razpravah ustreznih stalnih parlamentarnih odborov</w:t>
      </w:r>
      <w:r>
        <w:rPr>
          <w:rStyle w:val="FootnoteReference"/>
          <w:rFonts w:eastAsia="Times New Roman" w:cs="Times New Roman"/>
          <w:noProof/>
          <w:szCs w:val="20"/>
          <w:lang w:eastAsia="fr-FR"/>
        </w:rPr>
        <w:footnoteReference w:id="95"/>
      </w:r>
      <w:r>
        <w:rPr>
          <w:noProof/>
        </w:rPr>
        <w:t>. Generalni državni tožilec opravi predhodni pregled osnutkov zakonodaje v zvezi s spoštovanjem načel zakonitosti in sorazmernosti</w:t>
      </w:r>
      <w:r>
        <w:rPr>
          <w:rStyle w:val="FootnoteReference"/>
          <w:rFonts w:eastAsia="Times New Roman" w:cs="Times New Roman"/>
          <w:noProof/>
          <w:szCs w:val="20"/>
          <w:lang w:eastAsia="fr-FR"/>
        </w:rPr>
        <w:footnoteReference w:id="96"/>
      </w:r>
      <w:r>
        <w:rPr>
          <w:noProof/>
        </w:rPr>
        <w:t xml:space="preserve">. </w:t>
      </w:r>
    </w:p>
    <w:p>
      <w:pPr>
        <w:rPr>
          <w:rFonts w:cs="Times New Roman"/>
          <w:bCs/>
          <w:noProof/>
        </w:rPr>
      </w:pPr>
      <w:r>
        <w:rPr>
          <w:b/>
          <w:bCs/>
          <w:noProof/>
        </w:rPr>
        <w:t>Vlada je bila pooblaščena za sprejetje ukrepov za spopadanje s pandemijo COVID-19.</w:t>
      </w:r>
      <w:r>
        <w:rPr>
          <w:noProof/>
        </w:rPr>
        <w:t xml:space="preserve"> V Cipru izredno stanje, ki je zapisano v ustavi, ni bilo razglašeno. Vendar so bile uvedene omejitve v skladu z zakonom o karanteni, ki pooblašča svet ministrov</w:t>
      </w:r>
      <w:r>
        <w:rPr>
          <w:rStyle w:val="FootnoteReference"/>
          <w:rFonts w:cs="Times New Roman"/>
          <w:bCs/>
          <w:noProof/>
        </w:rPr>
        <w:footnoteReference w:id="97"/>
      </w:r>
      <w:r>
        <w:rPr>
          <w:noProof/>
        </w:rPr>
        <w:t xml:space="preserve"> za izdajanje odlokov zaradi pandemije COVID-19, ki veljajo tako za državljane kot za javne organe in podjetja</w:t>
      </w:r>
      <w:r>
        <w:rPr>
          <w:rStyle w:val="FootnoteReference"/>
          <w:rFonts w:cs="Times New Roman"/>
          <w:bCs/>
          <w:noProof/>
        </w:rPr>
        <w:footnoteReference w:id="98"/>
      </w:r>
      <w:r>
        <w:rPr>
          <w:noProof/>
        </w:rPr>
        <w:t>. Ciprski parlament redno spremlja izvajanje vseh ukrepov, povezanih s COVID-19</w:t>
      </w:r>
      <w:r>
        <w:rPr>
          <w:rStyle w:val="FootnoteReference"/>
          <w:rFonts w:cs="Times New Roman"/>
          <w:bCs/>
          <w:noProof/>
        </w:rPr>
        <w:footnoteReference w:id="99"/>
      </w:r>
      <w:r>
        <w:rPr>
          <w:noProof/>
        </w:rPr>
        <w:t>. Glede na informacije, ki jih je predložila vlada, so bili omejevalni ukrepi do zdaj izpodbijani le enkrat, s tožbo, ki je bila vložena leta 2020 in je še vedno v obravnavi pred upravnim sodiščem, in sicer v zvezi z najvišjim številom zaposlenih na delovnem mestu, pri katerem je še dovoljeno obratovanje pisarn in drugih krajev dela</w:t>
      </w:r>
      <w:r>
        <w:rPr>
          <w:rFonts w:cs="Times New Roman"/>
          <w:bCs/>
          <w:noProof/>
          <w:szCs w:val="24"/>
          <w:vertAlign w:val="superscript"/>
        </w:rPr>
        <w:footnoteReference w:id="100"/>
      </w:r>
      <w:r>
        <w:rPr>
          <w:noProof/>
        </w:rPr>
        <w:t xml:space="preserve">. </w:t>
      </w:r>
    </w:p>
    <w:p>
      <w:pPr>
        <w:rPr>
          <w:rFonts w:asciiTheme="minorHAnsi" w:hAnsiTheme="minorHAnsi"/>
          <w:noProof/>
          <w:sz w:val="22"/>
        </w:rPr>
      </w:pPr>
      <w:r>
        <w:rPr>
          <w:b/>
          <w:bCs/>
          <w:noProof/>
        </w:rPr>
        <w:t>Med pandemijo COVID-19 je varuh človekovih pravic dejavno pomagal državljanom.</w:t>
      </w:r>
      <w:r>
        <w:rPr>
          <w:noProof/>
        </w:rPr>
        <w:t xml:space="preserve"> Varuh človekovih pravic od marca 2020 izvaja kampanjo ozaveščanja o pandemiji COVID-19 in varstvu človekovih pravic</w:t>
      </w:r>
      <w:r>
        <w:rPr>
          <w:rStyle w:val="FootnoteReference"/>
          <w:rFonts w:cs="Times New Roman"/>
          <w:bCs/>
          <w:noProof/>
        </w:rPr>
        <w:footnoteReference w:id="101"/>
      </w:r>
      <w:r>
        <w:rPr>
          <w:noProof/>
        </w:rPr>
        <w:t>. Mednarodni usklajevalni odbor nacionalnih institucij za človekove pravice (GANHRI) je varuha človekovih pravic leta 2015 akreditiral s statusom „B“</w:t>
      </w:r>
      <w:r>
        <w:rPr>
          <w:rFonts w:cs="Times New Roman"/>
          <w:bCs/>
          <w:noProof/>
          <w:vertAlign w:val="superscript"/>
        </w:rPr>
        <w:footnoteReference w:id="102"/>
      </w:r>
      <w:r>
        <w:rPr>
          <w:noProof/>
        </w:rPr>
        <w:t>,</w:t>
      </w:r>
      <w:r>
        <w:rPr>
          <w:b/>
          <w:bCs/>
          <w:noProof/>
        </w:rPr>
        <w:t xml:space="preserve"> </w:t>
      </w:r>
      <w:r>
        <w:rPr>
          <w:noProof/>
        </w:rPr>
        <w:t>njegova akreditacija pa bo pregledana junija 2021</w:t>
      </w:r>
      <w:r>
        <w:rPr>
          <w:rFonts w:cs="Times New Roman"/>
          <w:bCs/>
          <w:noProof/>
          <w:vertAlign w:val="superscript"/>
        </w:rPr>
        <w:footnoteReference w:id="103"/>
      </w:r>
      <w:r>
        <w:rPr>
          <w:noProof/>
        </w:rPr>
        <w:t xml:space="preserve">. </w:t>
      </w:r>
    </w:p>
    <w:p>
      <w:pPr>
        <w:rPr>
          <w:noProof/>
          <w:color w:val="000000" w:themeColor="text1"/>
        </w:rPr>
      </w:pPr>
      <w:r>
        <w:rPr>
          <w:b/>
          <w:noProof/>
        </w:rPr>
        <w:t>Ostaja zaskrbljenost glede registracije organizacij civilne družbe</w:t>
      </w:r>
      <w:r>
        <w:rPr>
          <w:rStyle w:val="FootnoteReference"/>
          <w:rFonts w:eastAsia="Times New Roman" w:cs="Times New Roman"/>
          <w:b/>
          <w:noProof/>
          <w:szCs w:val="20"/>
          <w:lang w:eastAsia="fr-FR"/>
        </w:rPr>
        <w:footnoteReference w:id="104"/>
      </w:r>
      <w:r>
        <w:rPr>
          <w:b/>
          <w:noProof/>
        </w:rPr>
        <w:t>.</w:t>
      </w:r>
      <w:r>
        <w:rPr>
          <w:b/>
          <w:noProof/>
          <w:szCs w:val="20"/>
        </w:rPr>
        <w:t xml:space="preserve"> </w:t>
      </w:r>
      <w:r>
        <w:rPr>
          <w:noProof/>
        </w:rPr>
        <w:t>Komisarka Sveta Evrope za človekove pravice je to zaskrbljenost ponovno izrazila</w:t>
      </w:r>
      <w:r>
        <w:rPr>
          <w:rFonts w:cs="Times New Roman"/>
          <w:noProof/>
          <w:szCs w:val="24"/>
          <w:vertAlign w:val="superscript"/>
          <w:lang w:eastAsia="en-GB"/>
        </w:rPr>
        <w:footnoteReference w:id="105"/>
      </w:r>
      <w:r>
        <w:rPr>
          <w:noProof/>
        </w:rPr>
        <w:t>, in sicer v zvezi z zmožnostjo nevladnih organizacij, da delujejo na Cipru, in izvajanjem zakonodaje o združenjih, ki je nedavno privedlo do izbrisa več nevladnih organizacij iz registra. Vlada je v odgovor na te pomisleke</w:t>
      </w:r>
      <w:r>
        <w:rPr>
          <w:rFonts w:cs="Times New Roman"/>
          <w:noProof/>
          <w:szCs w:val="24"/>
          <w:vertAlign w:val="superscript"/>
          <w:lang w:eastAsia="en-GB"/>
        </w:rPr>
        <w:footnoteReference w:id="106"/>
      </w:r>
      <w:r>
        <w:rPr>
          <w:noProof/>
        </w:rPr>
        <w:t xml:space="preserve"> poudarila, da zakonodaja iz leta 2017</w:t>
      </w:r>
      <w:r>
        <w:rPr>
          <w:rFonts w:cs="Times New Roman"/>
          <w:noProof/>
          <w:szCs w:val="24"/>
          <w:vertAlign w:val="superscript"/>
          <w:lang w:eastAsia="en-GB"/>
        </w:rPr>
        <w:footnoteReference w:id="107"/>
      </w:r>
      <w:r>
        <w:rPr>
          <w:noProof/>
        </w:rPr>
        <w:t xml:space="preserve"> uvaja elemente preglednosti in odgovornosti za delovanje nevladnih organizacij v skladu s smernicami Projektne skupine za finančno ukrepanje</w:t>
      </w:r>
      <w:r>
        <w:rPr>
          <w:rFonts w:cs="Times New Roman"/>
          <w:noProof/>
          <w:szCs w:val="24"/>
          <w:vertAlign w:val="superscript"/>
          <w:lang w:eastAsia="en-GB"/>
        </w:rPr>
        <w:footnoteReference w:id="108"/>
      </w:r>
      <w:r>
        <w:rPr>
          <w:noProof/>
        </w:rPr>
        <w:t xml:space="preserve"> za zaščito nevladnih organizacij pred financiranjem terorizma in zlorabami in s peto direktivo EU o preprečevanju in nadzoru pranja denarja</w:t>
      </w:r>
      <w:r>
        <w:rPr>
          <w:rStyle w:val="FootnoteReference"/>
          <w:rFonts w:cs="Times New Roman"/>
          <w:noProof/>
          <w:szCs w:val="24"/>
          <w:lang w:eastAsia="en-GB"/>
        </w:rPr>
        <w:footnoteReference w:id="109"/>
      </w:r>
      <w:r>
        <w:rPr>
          <w:noProof/>
        </w:rPr>
        <w:t>. Registracija zvez organizacij je zdaj mogoča neposredno, ne da bi morali biti posamično registrirani tudi njihovi člani</w:t>
      </w:r>
      <w:r>
        <w:rPr>
          <w:noProof/>
          <w:color w:val="000000" w:themeColor="text1"/>
          <w:vertAlign w:val="superscript"/>
        </w:rPr>
        <w:footnoteReference w:id="110"/>
      </w:r>
      <w:r>
        <w:rPr>
          <w:noProof/>
          <w:color w:val="000000" w:themeColor="text1"/>
        </w:rPr>
        <w:t xml:space="preserve">. </w:t>
      </w:r>
    </w:p>
    <w:p>
      <w:pPr>
        <w:rPr>
          <w:rFonts w:eastAsia="Times New Roman" w:cs="Times New Roman"/>
          <w:noProof/>
          <w:szCs w:val="20"/>
          <w:lang w:eastAsia="fr-FR"/>
        </w:rPr>
      </w:pPr>
    </w:p>
    <w:p>
      <w:pPr>
        <w:pageBreakBefore/>
        <w:spacing w:after="120"/>
        <w:rPr>
          <w:rFonts w:eastAsia="Times New Roman" w:cs="Times New Roman"/>
          <w:b/>
          <w:bCs/>
          <w:noProof/>
          <w:sz w:val="22"/>
        </w:rPr>
      </w:pPr>
      <w:r>
        <w:rPr>
          <w:b/>
          <w:bCs/>
          <w:noProof/>
          <w:sz w:val="22"/>
        </w:rPr>
        <w:t>Priloga I: Seznam virov po abecednem redu*</w:t>
      </w:r>
    </w:p>
    <w:p>
      <w:pPr>
        <w:spacing w:after="120"/>
        <w:rPr>
          <w:rFonts w:eastAsia="Times New Roman" w:cs="Times New Roman"/>
          <w:i/>
          <w:iCs/>
          <w:noProof/>
          <w:sz w:val="22"/>
        </w:rPr>
      </w:pPr>
      <w:r>
        <w:rPr>
          <w:i/>
          <w:iCs/>
          <w:noProof/>
          <w:sz w:val="22"/>
        </w:rPr>
        <w:t>* Seznam prispevkov, prejetih v okviru posvetovanja za Poročilo o stanju pravne države za leto 2021, je na voljo na spletišču</w:t>
      </w:r>
      <w:hyperlink r:id="rId16"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Style w:val="Hyperlink"/>
          <w:rFonts w:cs="Times New Roman"/>
          <w:bCs/>
          <w:i/>
          <w:noProof/>
          <w:color w:val="auto"/>
          <w:sz w:val="22"/>
          <w:u w:val="none"/>
        </w:rPr>
      </w:pPr>
      <w:r>
        <w:rPr>
          <w:noProof/>
          <w:color w:val="000000" w:themeColor="text1"/>
          <w:sz w:val="22"/>
        </w:rPr>
        <w:t xml:space="preserve">Agencija za temeljne pravice (2021), </w:t>
      </w:r>
      <w:r>
        <w:rPr>
          <w:rStyle w:val="Hyperlink"/>
          <w:bCs/>
          <w:i/>
          <w:noProof/>
          <w:color w:val="auto"/>
          <w:sz w:val="22"/>
          <w:u w:val="none"/>
        </w:rPr>
        <w:t xml:space="preserve">Prispevek </w:t>
      </w:r>
      <w:r>
        <w:rPr>
          <w:i/>
          <w:noProof/>
          <w:sz w:val="22"/>
        </w:rPr>
        <w:t xml:space="preserve">Agencije za temeljne pravice </w:t>
      </w:r>
      <w:r>
        <w:rPr>
          <w:rStyle w:val="Hyperlink"/>
          <w:bCs/>
          <w:i/>
          <w:noProof/>
          <w:color w:val="auto"/>
          <w:sz w:val="22"/>
          <w:u w:val="none"/>
        </w:rPr>
        <w:t>k Poročilu o stanju pravne države za leto 2021.</w:t>
      </w:r>
    </w:p>
    <w:p>
      <w:pPr>
        <w:spacing w:after="120"/>
        <w:rPr>
          <w:rFonts w:cs="Times New Roman"/>
          <w:noProof/>
          <w:sz w:val="22"/>
        </w:rPr>
      </w:pPr>
      <w:r>
        <w:rPr>
          <w:noProof/>
          <w:sz w:val="22"/>
        </w:rPr>
        <w:t xml:space="preserve">Centre for Media Pluralism and Media Freedom (2021), </w:t>
      </w:r>
      <w:r>
        <w:rPr>
          <w:i/>
          <w:iCs/>
          <w:noProof/>
          <w:sz w:val="22"/>
        </w:rPr>
        <w:t xml:space="preserve">Media pluralism monitor 2021 </w:t>
      </w:r>
      <w:r>
        <w:rPr>
          <w:noProof/>
          <w:sz w:val="22"/>
        </w:rPr>
        <w:t xml:space="preserve">– </w:t>
      </w:r>
      <w:r>
        <w:rPr>
          <w:i/>
          <w:iCs/>
          <w:noProof/>
          <w:sz w:val="22"/>
        </w:rPr>
        <w:t xml:space="preserve">Report on Cyprus </w:t>
      </w:r>
      <w:r>
        <w:rPr>
          <w:noProof/>
          <w:sz w:val="22"/>
        </w:rPr>
        <w:t>(povezava bo dodana, ko bo na voljo).</w:t>
      </w:r>
    </w:p>
    <w:p>
      <w:pPr>
        <w:spacing w:after="120"/>
        <w:rPr>
          <w:rFonts w:cs="Times New Roman"/>
          <w:noProof/>
          <w:sz w:val="22"/>
        </w:rPr>
      </w:pPr>
      <w:r>
        <w:rPr>
          <w:noProof/>
          <w:sz w:val="22"/>
        </w:rPr>
        <w:t xml:space="preserve">CEPEJ (2020), </w:t>
      </w:r>
      <w:r>
        <w:rPr>
          <w:i/>
          <w:noProof/>
          <w:sz w:val="22"/>
        </w:rPr>
        <w:t>Study on the functioning of the judicial systems in the EU Member States.</w:t>
      </w:r>
    </w:p>
    <w:p>
      <w:pPr>
        <w:spacing w:after="120"/>
        <w:rPr>
          <w:rFonts w:cs="Times New Roman"/>
          <w:bCs/>
          <w:noProof/>
          <w:sz w:val="22"/>
        </w:rPr>
      </w:pPr>
      <w:r>
        <w:rPr>
          <w:bCs/>
          <w:noProof/>
          <w:sz w:val="22"/>
        </w:rPr>
        <w:t xml:space="preserve">Ciprska odvetniška zbornica (2021), </w:t>
      </w:r>
      <w:r>
        <w:rPr>
          <w:bCs/>
          <w:i/>
          <w:noProof/>
          <w:sz w:val="22"/>
        </w:rPr>
        <w:t>Prispevek ciprske odvetniške zbornice za Poročilo o stanju pravne države za leto 2021</w:t>
      </w:r>
      <w:r>
        <w:rPr>
          <w:bCs/>
          <w:noProof/>
          <w:sz w:val="22"/>
        </w:rPr>
        <w:t>.</w:t>
      </w:r>
    </w:p>
    <w:p>
      <w:pPr>
        <w:spacing w:after="120"/>
        <w:rPr>
          <w:rFonts w:cs="Times New Roman"/>
          <w:bCs/>
          <w:noProof/>
          <w:sz w:val="22"/>
        </w:rPr>
      </w:pPr>
      <w:r>
        <w:rPr>
          <w:bCs/>
          <w:noProof/>
          <w:sz w:val="22"/>
        </w:rPr>
        <w:t xml:space="preserve">Ciprska preiskovalna komisija (2021), </w:t>
      </w:r>
      <w:r>
        <w:rPr>
          <w:bCs/>
          <w:i/>
          <w:noProof/>
          <w:sz w:val="22"/>
        </w:rPr>
        <w:t>Vmesno poročilo o postopku podelitve državljanstva tujim vlagateljem in podjetnikom</w:t>
      </w:r>
      <w:r>
        <w:rPr>
          <w:bCs/>
          <w:noProof/>
          <w:sz w:val="22"/>
        </w:rPr>
        <w:t xml:space="preserve"> (</w:t>
      </w:r>
      <w:hyperlink r:id="rId17" w:history="1">
        <w:hyperlink r:id="rId18" w:history="1">
          <w:r>
            <w:rPr>
              <w:rStyle w:val="Hyperlink"/>
              <w:bCs/>
              <w:noProof/>
              <w:sz w:val="22"/>
            </w:rPr>
            <w:t>https://www.pio.gov.cy/assets/pdf/newsroom/2021/04/Interim Report 27 04 2021(pdf).pdf</w:t>
          </w:r>
        </w:hyperlink>
      </w:hyperlink>
      <w:r>
        <w:rPr>
          <w:bCs/>
          <w:noProof/>
          <w:sz w:val="22"/>
        </w:rPr>
        <w:t>).</w:t>
      </w:r>
    </w:p>
    <w:p>
      <w:pPr>
        <w:spacing w:after="120"/>
        <w:rPr>
          <w:rFonts w:cs="Times New Roman"/>
          <w:bCs/>
          <w:noProof/>
          <w:sz w:val="22"/>
        </w:rPr>
      </w:pPr>
      <w:r>
        <w:rPr>
          <w:bCs/>
          <w:noProof/>
          <w:sz w:val="22"/>
        </w:rPr>
        <w:t xml:space="preserve">Ciprska vlada (2021), </w:t>
      </w:r>
      <w:r>
        <w:rPr>
          <w:bCs/>
          <w:i/>
          <w:noProof/>
          <w:sz w:val="22"/>
        </w:rPr>
        <w:t>Prispevek Cipra za Poročilo o stanju pravne države za leto 2021</w:t>
      </w:r>
      <w:r>
        <w:rPr>
          <w:bCs/>
          <w:noProof/>
          <w:sz w:val="22"/>
        </w:rPr>
        <w:t>.</w:t>
      </w:r>
    </w:p>
    <w:p>
      <w:pPr>
        <w:spacing w:after="120"/>
        <w:rPr>
          <w:rFonts w:cs="Times New Roman"/>
          <w:bCs/>
          <w:i/>
          <w:noProof/>
          <w:sz w:val="22"/>
        </w:rPr>
      </w:pPr>
      <w:r>
        <w:rPr>
          <w:bCs/>
          <w:noProof/>
          <w:sz w:val="22"/>
        </w:rPr>
        <w:t xml:space="preserve">Ciprsko vrhovno sodišče (2021), </w:t>
      </w:r>
      <w:r>
        <w:rPr>
          <w:bCs/>
          <w:i/>
          <w:noProof/>
          <w:sz w:val="22"/>
        </w:rPr>
        <w:t>Prispevek ciprskega vrhovnega sodišča za Poročilo o stanju pravne države za leto 2021</w:t>
      </w:r>
      <w:r>
        <w:rPr>
          <w:bCs/>
          <w:noProof/>
          <w:sz w:val="22"/>
        </w:rPr>
        <w:t>.</w:t>
      </w:r>
    </w:p>
    <w:p>
      <w:pPr>
        <w:spacing w:after="120"/>
        <w:rPr>
          <w:rFonts w:cs="Times New Roman"/>
          <w:noProof/>
          <w:color w:val="000000"/>
          <w:sz w:val="22"/>
        </w:rPr>
      </w:pPr>
      <w:r>
        <w:rPr>
          <w:noProof/>
          <w:color w:val="000000"/>
          <w:sz w:val="22"/>
        </w:rPr>
        <w:t xml:space="preserve">Council of Europe: Committee of Ministers (2010), </w:t>
      </w:r>
      <w:r>
        <w:rPr>
          <w:i/>
          <w:noProof/>
          <w:color w:val="000000"/>
          <w:sz w:val="22"/>
        </w:rPr>
        <w:t>Recommendation CM/Rec(2010)12 of the Committee of Ministers to member states on judges: independence, efficiency and responsibilities</w:t>
      </w:r>
      <w:r>
        <w:rPr>
          <w:noProof/>
          <w:color w:val="000000"/>
          <w:sz w:val="22"/>
        </w:rPr>
        <w:t>.</w:t>
      </w:r>
    </w:p>
    <w:p>
      <w:pPr>
        <w:spacing w:after="120"/>
        <w:rPr>
          <w:rFonts w:cs="Times New Roman"/>
          <w:noProof/>
          <w:sz w:val="22"/>
        </w:rPr>
      </w:pPr>
      <w:r>
        <w:rPr>
          <w:noProof/>
          <w:sz w:val="22"/>
        </w:rPr>
        <w:t xml:space="preserve">Directorate-General for Communication (2019), </w:t>
      </w:r>
      <w:r>
        <w:rPr>
          <w:i/>
          <w:iCs/>
          <w:noProof/>
          <w:sz w:val="22"/>
        </w:rPr>
        <w:t>Flash Eurobarometer 482: businesses’ attitudes towards corruption in the EU</w:t>
      </w:r>
      <w:r>
        <w:rPr>
          <w:noProof/>
          <w:sz w:val="22"/>
        </w:rPr>
        <w:t>.</w:t>
      </w:r>
    </w:p>
    <w:p>
      <w:pPr>
        <w:spacing w:after="120"/>
        <w:rPr>
          <w:rFonts w:cs="Times New Roman"/>
          <w:noProof/>
          <w:sz w:val="22"/>
        </w:rPr>
      </w:pPr>
      <w:r>
        <w:rPr>
          <w:noProof/>
          <w:sz w:val="22"/>
        </w:rPr>
        <w:t xml:space="preserve">Directorate-General for Communication (2020), </w:t>
      </w:r>
      <w:r>
        <w:rPr>
          <w:i/>
          <w:iCs/>
          <w:noProof/>
          <w:sz w:val="22"/>
        </w:rPr>
        <w:t>Special Eurobarometer 502: corruption</w:t>
      </w:r>
      <w:r>
        <w:rPr>
          <w:noProof/>
          <w:sz w:val="22"/>
        </w:rPr>
        <w:t>.</w:t>
      </w:r>
    </w:p>
    <w:p>
      <w:pPr>
        <w:spacing w:after="120"/>
        <w:rPr>
          <w:rStyle w:val="Hyperlink"/>
          <w:rFonts w:cs="Times New Roman"/>
          <w:bCs/>
          <w:noProof/>
          <w:color w:val="auto"/>
          <w:sz w:val="22"/>
          <w:u w:val="none"/>
        </w:rPr>
      </w:pPr>
      <w:r>
        <w:rPr>
          <w:bCs/>
          <w:noProof/>
          <w:sz w:val="22"/>
        </w:rPr>
        <w:t xml:space="preserve">European Commission (2020), </w:t>
      </w:r>
      <w:r>
        <w:rPr>
          <w:bCs/>
          <w:i/>
          <w:noProof/>
          <w:sz w:val="22"/>
        </w:rPr>
        <w:t>Investor citizenship schemes: European Commission opens infringements against Cyprus and Malta for “selling” EU citizenship</w:t>
      </w:r>
      <w:r>
        <w:rPr>
          <w:bCs/>
          <w:noProof/>
          <w:sz w:val="22"/>
        </w:rPr>
        <w:t>, INFR(2020)2300 (</w:t>
      </w:r>
      <w:hyperlink r:id="rId19" w:history="1">
        <w:r>
          <w:rPr>
            <w:rStyle w:val="Hyperlink"/>
            <w:noProof/>
            <w:sz w:val="22"/>
          </w:rPr>
          <w:t>https://ec.europa.eu/commission/presscorner/detail/en/ip_20_1925</w:t>
        </w:r>
      </w:hyperlink>
      <w:r>
        <w:rPr>
          <w:bCs/>
          <w:noProof/>
          <w:sz w:val="22"/>
        </w:rPr>
        <w:t xml:space="preserve">). </w:t>
      </w:r>
    </w:p>
    <w:p>
      <w:pPr>
        <w:spacing w:after="120"/>
        <w:rPr>
          <w:rStyle w:val="Hyperlink"/>
          <w:rFonts w:cs="Times New Roman"/>
          <w:bCs/>
          <w:i/>
          <w:noProof/>
          <w:color w:val="auto"/>
          <w:sz w:val="22"/>
          <w:u w:val="none"/>
        </w:rPr>
      </w:pPr>
      <w:r>
        <w:rPr>
          <w:rStyle w:val="Hyperlink"/>
          <w:bCs/>
          <w:noProof/>
          <w:color w:val="auto"/>
          <w:sz w:val="22"/>
          <w:u w:val="none"/>
        </w:rPr>
        <w:t xml:space="preserve">Evropska komisija (2020), </w:t>
      </w:r>
      <w:r>
        <w:rPr>
          <w:rStyle w:val="Hyperlink"/>
          <w:bCs/>
          <w:i/>
          <w:noProof/>
          <w:color w:val="auto"/>
          <w:sz w:val="22"/>
          <w:u w:val="none"/>
        </w:rPr>
        <w:t>Poročilo o stanju pravne države za leto 2020 – stanje pravne države v Evropski uniji</w:t>
      </w:r>
      <w:r>
        <w:rPr>
          <w:rStyle w:val="Hyperlink"/>
          <w:bCs/>
          <w:noProof/>
          <w:color w:val="auto"/>
          <w:sz w:val="22"/>
          <w:u w:val="none"/>
        </w:rPr>
        <w:t>.</w:t>
      </w:r>
    </w:p>
    <w:p>
      <w:pPr>
        <w:spacing w:after="120"/>
        <w:rPr>
          <w:rFonts w:cs="Times New Roman"/>
          <w:noProof/>
          <w:color w:val="000000"/>
          <w:sz w:val="22"/>
        </w:rPr>
      </w:pPr>
      <w:r>
        <w:rPr>
          <w:noProof/>
          <w:color w:val="000000"/>
          <w:sz w:val="22"/>
        </w:rPr>
        <w:t xml:space="preserve">Evropska komisija (2021), </w:t>
      </w:r>
      <w:r>
        <w:rPr>
          <w:i/>
          <w:noProof/>
          <w:color w:val="000000"/>
          <w:sz w:val="22"/>
        </w:rPr>
        <w:t>Pregled stanja na področju pravosodja v EU</w:t>
      </w:r>
      <w:r>
        <w:rPr>
          <w:noProof/>
          <w:color w:val="000000"/>
          <w:sz w:val="22"/>
        </w:rPr>
        <w:t>.</w:t>
      </w:r>
    </w:p>
    <w:p>
      <w:pPr>
        <w:spacing w:after="120"/>
        <w:rPr>
          <w:rFonts w:cs="Times New Roman"/>
          <w:bCs/>
          <w:noProof/>
          <w:sz w:val="22"/>
        </w:rPr>
      </w:pPr>
      <w:r>
        <w:rPr>
          <w:bCs/>
          <w:noProof/>
          <w:sz w:val="22"/>
        </w:rPr>
        <w:t xml:space="preserve">Financial Action Task Force (2015), </w:t>
      </w:r>
      <w:r>
        <w:rPr>
          <w:bCs/>
          <w:i/>
          <w:noProof/>
          <w:sz w:val="22"/>
        </w:rPr>
        <w:t>Combating the abuse of non-profit organisations (Recommendation 8)</w:t>
      </w:r>
      <w:r>
        <w:rPr>
          <w:bCs/>
          <w:noProof/>
          <w:sz w:val="22"/>
        </w:rPr>
        <w:t xml:space="preserve"> (</w:t>
      </w:r>
      <w:hyperlink r:id="rId20" w:history="1">
        <w:r>
          <w:rPr>
            <w:rStyle w:val="Hyperlink"/>
            <w:bCs/>
            <w:noProof/>
            <w:sz w:val="22"/>
          </w:rPr>
          <w:t>http://www.fatf-gafi.org/media/fatf/documents/reports/BPP-combating-abuse-non-profit-organisations.pdf</w:t>
        </w:r>
      </w:hyperlink>
      <w:r>
        <w:rPr>
          <w:rStyle w:val="Hyperlink"/>
          <w:bCs/>
          <w:noProof/>
          <w:sz w:val="22"/>
        </w:rPr>
        <w:t>)</w:t>
      </w:r>
      <w:r>
        <w:rPr>
          <w:noProof/>
        </w:rPr>
        <w:t>.</w:t>
      </w:r>
      <w:r>
        <w:rPr>
          <w:bCs/>
          <w:noProof/>
          <w:sz w:val="22"/>
        </w:rPr>
        <w:t xml:space="preserve"> </w:t>
      </w:r>
    </w:p>
    <w:p>
      <w:pPr>
        <w:spacing w:after="120"/>
        <w:rPr>
          <w:rFonts w:cs="Times New Roman"/>
          <w:bCs/>
          <w:i/>
          <w:noProof/>
          <w:sz w:val="22"/>
        </w:rPr>
      </w:pPr>
      <w:r>
        <w:rPr>
          <w:bCs/>
          <w:noProof/>
          <w:sz w:val="22"/>
        </w:rPr>
        <w:t xml:space="preserve">GRECO (2020), </w:t>
      </w:r>
      <w:r>
        <w:rPr>
          <w:bCs/>
          <w:i/>
          <w:noProof/>
          <w:sz w:val="22"/>
        </w:rPr>
        <w:t xml:space="preserve">Fourth Evaluation Round – Second Compliance Report on Cyprus on corruption prevention in respect of members of parliament, judges and prosecutors </w:t>
      </w:r>
      <w:r>
        <w:rPr>
          <w:bCs/>
          <w:noProof/>
          <w:sz w:val="22"/>
        </w:rPr>
        <w:t>(</w:t>
      </w:r>
      <w:hyperlink r:id="rId21" w:history="1">
        <w:r>
          <w:rPr>
            <w:rStyle w:val="Hyperlink"/>
            <w:bCs/>
            <w:noProof/>
            <w:sz w:val="22"/>
          </w:rPr>
          <w:t>https://rm.coe.int/fourth-evaluation-round-corruption-prevention-in-respect-of-members-of/1680a06389</w:t>
        </w:r>
      </w:hyperlink>
      <w:r>
        <w:rPr>
          <w:rStyle w:val="Hyperlink"/>
          <w:bCs/>
          <w:noProof/>
          <w:sz w:val="22"/>
        </w:rPr>
        <w:t>)</w:t>
      </w:r>
      <w:r>
        <w:rPr>
          <w:noProof/>
        </w:rPr>
        <w:t>.</w:t>
      </w:r>
    </w:p>
    <w:p>
      <w:pPr>
        <w:spacing w:after="120"/>
        <w:rPr>
          <w:rStyle w:val="Hyperlink"/>
          <w:rFonts w:cs="Times New Roman"/>
          <w:bCs/>
          <w:noProof/>
          <w:color w:val="auto"/>
          <w:sz w:val="22"/>
          <w:u w:val="none"/>
        </w:rPr>
      </w:pPr>
      <w:r>
        <w:rPr>
          <w:bCs/>
          <w:noProof/>
          <w:sz w:val="22"/>
        </w:rPr>
        <w:t xml:space="preserve">Kathimerini (2021), </w:t>
      </w:r>
      <w:r>
        <w:rPr>
          <w:bCs/>
          <w:i/>
          <w:noProof/>
          <w:sz w:val="22"/>
        </w:rPr>
        <w:t>Interim report on golden passports delivered</w:t>
      </w:r>
      <w:r>
        <w:rPr>
          <w:bCs/>
          <w:noProof/>
          <w:sz w:val="22"/>
        </w:rPr>
        <w:t xml:space="preserve"> (</w:t>
      </w:r>
      <w:hyperlink r:id="rId22" w:history="1">
        <w:r>
          <w:rPr>
            <w:rStyle w:val="Hyperlink"/>
            <w:bCs/>
            <w:noProof/>
            <w:sz w:val="22"/>
          </w:rPr>
          <w:t>https://knews.kathimerini.com.cy/en/news/interim-report-on-golden-passports-delivered</w:t>
        </w:r>
      </w:hyperlink>
      <w:r>
        <w:rPr>
          <w:bCs/>
          <w:noProof/>
          <w:sz w:val="22"/>
          <w:u w:val="single"/>
        </w:rPr>
        <w:t>).</w:t>
      </w:r>
    </w:p>
    <w:p>
      <w:pPr>
        <w:spacing w:after="120"/>
        <w:rPr>
          <w:rFonts w:cs="Times New Roman"/>
          <w:bCs/>
          <w:noProof/>
          <w:sz w:val="22"/>
        </w:rPr>
      </w:pPr>
      <w:r>
        <w:rPr>
          <w:bCs/>
          <w:noProof/>
          <w:sz w:val="22"/>
        </w:rPr>
        <w:t>Odgovor ministra za notranje zadeve Republike Ciper Nikosa Nurisa komisarki za človekove pravice Dunji Mijatović (2021), (</w:t>
      </w:r>
      <w:hyperlink r:id="rId23" w:history="1">
        <w:r>
          <w:rPr>
            <w:rStyle w:val="Hyperlink"/>
            <w:bCs/>
            <w:noProof/>
            <w:sz w:val="22"/>
          </w:rPr>
          <w:t>https://rm.coe.int/reply-of-mr-nicos-nouris-minister-of-the-interiorof-cyprus-to-the-lett/1680a1cb15</w:t>
        </w:r>
      </w:hyperlink>
      <w:r>
        <w:rPr>
          <w:bCs/>
          <w:noProof/>
          <w:sz w:val="22"/>
        </w:rPr>
        <w:t>)</w:t>
      </w:r>
      <w:r>
        <w:rPr>
          <w:noProof/>
        </w:rPr>
        <w:t>.</w:t>
      </w:r>
    </w:p>
    <w:p>
      <w:pPr>
        <w:spacing w:after="120"/>
        <w:rPr>
          <w:rFonts w:cs="Times New Roman"/>
          <w:bCs/>
          <w:noProof/>
          <w:sz w:val="22"/>
        </w:rPr>
      </w:pPr>
      <w:r>
        <w:rPr>
          <w:bCs/>
          <w:noProof/>
          <w:sz w:val="22"/>
        </w:rPr>
        <w:t xml:space="preserve">OECD (2019), </w:t>
      </w:r>
      <w:r>
        <w:rPr>
          <w:bCs/>
          <w:i/>
          <w:noProof/>
          <w:sz w:val="22"/>
        </w:rPr>
        <w:t>Indicators of Regulatory Policy and Governance – Cyprus</w:t>
      </w:r>
      <w:r>
        <w:rPr>
          <w:bCs/>
          <w:noProof/>
          <w:sz w:val="22"/>
        </w:rPr>
        <w:t>.</w:t>
      </w:r>
    </w:p>
    <w:p>
      <w:pPr>
        <w:spacing w:after="120"/>
        <w:rPr>
          <w:rFonts w:cs="Times New Roman"/>
          <w:bCs/>
          <w:noProof/>
          <w:sz w:val="22"/>
        </w:rPr>
      </w:pPr>
      <w:r>
        <w:rPr>
          <w:bCs/>
          <w:noProof/>
          <w:sz w:val="22"/>
        </w:rPr>
        <w:t>Organized Crime and Corruption Reporting Project, „</w:t>
      </w:r>
      <w:r>
        <w:rPr>
          <w:bCs/>
          <w:i/>
          <w:noProof/>
          <w:sz w:val="22"/>
        </w:rPr>
        <w:t>Cypriot Journalist Says He is Being Spied on and Fears for His Life</w:t>
      </w:r>
      <w:r>
        <w:rPr>
          <w:bCs/>
          <w:noProof/>
          <w:sz w:val="22"/>
        </w:rPr>
        <w:t>“ (</w:t>
      </w:r>
      <w:hyperlink r:id="rId24" w:history="1">
        <w:r>
          <w:rPr>
            <w:rStyle w:val="Hyperlink"/>
            <w:bCs/>
            <w:noProof/>
            <w:sz w:val="22"/>
          </w:rPr>
          <w:t>https://www.occrp.org/en/daily/12631-cypriot-journalist-says-he-is-being-spied-on-and-fears-for-his-life</w:t>
        </w:r>
      </w:hyperlink>
      <w:r>
        <w:rPr>
          <w:bCs/>
          <w:noProof/>
          <w:sz w:val="22"/>
        </w:rPr>
        <w:t>).</w:t>
      </w:r>
    </w:p>
    <w:p>
      <w:pPr>
        <w:spacing w:after="120"/>
        <w:rPr>
          <w:rFonts w:cs="Times New Roman"/>
          <w:bCs/>
          <w:noProof/>
          <w:sz w:val="22"/>
        </w:rPr>
      </w:pPr>
      <w:r>
        <w:rPr>
          <w:bCs/>
          <w:noProof/>
          <w:sz w:val="22"/>
        </w:rPr>
        <w:t>Pismo komisarke za človekove pravice Dunje Mijatović ministru za notranje zadeve Republike Ciper Nikosu Nurisu (2021), (</w:t>
      </w:r>
      <w:hyperlink r:id="rId25" w:history="1">
        <w:r>
          <w:rPr>
            <w:rStyle w:val="Hyperlink"/>
            <w:bCs/>
            <w:noProof/>
            <w:sz w:val="22"/>
          </w:rPr>
          <w:t>https://rm.coe.int/letter-to-mr-nicos-nouris-minister-of-interior-of-cyprus-by-ms-dunja-m/1680a1c09b</w:t>
        </w:r>
      </w:hyperlink>
      <w:r>
        <w:rPr>
          <w:bCs/>
          <w:noProof/>
          <w:sz w:val="22"/>
        </w:rPr>
        <w:t>).</w:t>
      </w:r>
    </w:p>
    <w:p>
      <w:pPr>
        <w:spacing w:after="120"/>
        <w:rPr>
          <w:rFonts w:cs="Times New Roman"/>
          <w:bCs/>
          <w:noProof/>
          <w:sz w:val="22"/>
        </w:rPr>
      </w:pPr>
      <w:r>
        <w:rPr>
          <w:noProof/>
        </w:rPr>
        <w:t>Predsednik Republike Ciper, Komunikacijsko in informacijsko spletišče Exandas</w:t>
      </w:r>
      <w:r>
        <w:rPr>
          <w:bCs/>
          <w:noProof/>
          <w:sz w:val="22"/>
        </w:rPr>
        <w:t xml:space="preserve"> (</w:t>
      </w:r>
      <w:hyperlink r:id="rId26" w:history="1">
        <w:r>
          <w:rPr>
            <w:rStyle w:val="Hyperlink"/>
            <w:bCs/>
            <w:noProof/>
            <w:sz w:val="22"/>
          </w:rPr>
          <w:t>https://exandas.presidency.gov.cy/</w:t>
        </w:r>
      </w:hyperlink>
      <w:r>
        <w:rPr>
          <w:bCs/>
          <w:noProof/>
          <w:sz w:val="22"/>
        </w:rPr>
        <w:t xml:space="preserve">) </w:t>
      </w:r>
    </w:p>
    <w:p>
      <w:pPr>
        <w:spacing w:after="120"/>
        <w:rPr>
          <w:rFonts w:cs="Times New Roman"/>
          <w:bCs/>
          <w:iCs/>
          <w:noProof/>
          <w:sz w:val="22"/>
        </w:rPr>
      </w:pPr>
      <w:r>
        <w:rPr>
          <w:bCs/>
          <w:iCs/>
          <w:noProof/>
          <w:sz w:val="22"/>
        </w:rPr>
        <w:t>Reporters Without Borders (2021)</w:t>
      </w:r>
      <w:r>
        <w:rPr>
          <w:bCs/>
          <w:i/>
          <w:iCs/>
          <w:noProof/>
          <w:sz w:val="22"/>
        </w:rPr>
        <w:t xml:space="preserve">, 2021 World Press Freedom Index – Cyprus </w:t>
      </w:r>
      <w:r>
        <w:rPr>
          <w:bCs/>
          <w:iCs/>
          <w:noProof/>
          <w:sz w:val="22"/>
        </w:rPr>
        <w:t>(</w:t>
      </w:r>
      <w:hyperlink r:id="rId27" w:history="1">
        <w:r>
          <w:rPr>
            <w:rStyle w:val="Hyperlink"/>
            <w:bCs/>
            <w:iCs/>
            <w:noProof/>
            <w:sz w:val="22"/>
          </w:rPr>
          <w:t>https://rsf.org/en/cyprus</w:t>
        </w:r>
      </w:hyperlink>
      <w:r>
        <w:rPr>
          <w:bCs/>
          <w:iCs/>
          <w:noProof/>
          <w:sz w:val="22"/>
        </w:rPr>
        <w:t>)</w:t>
      </w:r>
      <w:r>
        <w:rPr>
          <w:noProof/>
        </w:rPr>
        <w:t>.</w:t>
      </w:r>
    </w:p>
    <w:p>
      <w:pPr>
        <w:spacing w:after="120"/>
        <w:rPr>
          <w:rFonts w:cs="Times New Roman"/>
          <w:bCs/>
          <w:i/>
          <w:noProof/>
          <w:sz w:val="22"/>
        </w:rPr>
      </w:pPr>
      <w:r>
        <w:rPr>
          <w:bCs/>
          <w:noProof/>
          <w:sz w:val="22"/>
        </w:rPr>
        <w:t xml:space="preserve">Reporters without Borders (2021), </w:t>
      </w:r>
      <w:r>
        <w:rPr>
          <w:bCs/>
          <w:i/>
          <w:noProof/>
          <w:sz w:val="22"/>
        </w:rPr>
        <w:t>Prispevek organizacije Reporters without Borders za Poročilo o stanju pravne države za leto 2021</w:t>
      </w:r>
      <w:r>
        <w:rPr>
          <w:bCs/>
          <w:noProof/>
          <w:sz w:val="22"/>
        </w:rPr>
        <w:t>.</w:t>
      </w:r>
    </w:p>
    <w:p>
      <w:pPr>
        <w:spacing w:after="120"/>
        <w:rPr>
          <w:rFonts w:cs="Times New Roman"/>
          <w:bCs/>
          <w:noProof/>
          <w:sz w:val="22"/>
        </w:rPr>
      </w:pPr>
      <w:r>
        <w:rPr>
          <w:bCs/>
          <w:noProof/>
          <w:sz w:val="22"/>
        </w:rPr>
        <w:t xml:space="preserve">Sigma Live (2021), </w:t>
      </w:r>
      <w:r>
        <w:rPr>
          <w:bCs/>
          <w:i/>
          <w:noProof/>
          <w:sz w:val="22"/>
        </w:rPr>
        <w:t>Poročilo o državljanstvu</w:t>
      </w:r>
      <w:r>
        <w:rPr>
          <w:bCs/>
          <w:noProof/>
          <w:sz w:val="22"/>
        </w:rPr>
        <w:t xml:space="preserve"> (</w:t>
      </w:r>
      <w:hyperlink r:id="rId28" w:history="1">
        <w:r>
          <w:rPr>
            <w:rStyle w:val="Hyperlink"/>
            <w:bCs/>
            <w:noProof/>
            <w:sz w:val="22"/>
          </w:rPr>
          <w:t>https://www.sigmalive.com/news/politics/795517/ekthesi-politografiseonto-53-ektos-nomikou-plaisioupeitharxikes-efthynes</w:t>
        </w:r>
      </w:hyperlink>
      <w:r>
        <w:rPr>
          <w:bCs/>
          <w:noProof/>
          <w:sz w:val="22"/>
        </w:rPr>
        <w:t>).</w:t>
      </w:r>
    </w:p>
    <w:p>
      <w:pPr>
        <w:spacing w:after="120"/>
        <w:rPr>
          <w:rFonts w:cs="Times New Roman"/>
          <w:noProof/>
          <w:color w:val="000000"/>
          <w:sz w:val="22"/>
        </w:rPr>
      </w:pPr>
      <w:r>
        <w:rPr>
          <w:noProof/>
          <w:color w:val="000000"/>
          <w:sz w:val="22"/>
        </w:rPr>
        <w:t xml:space="preserve">Tiskovni kotiček Evropske komisije (2021), </w:t>
      </w:r>
      <w:r>
        <w:rPr>
          <w:i/>
          <w:noProof/>
          <w:color w:val="000000"/>
          <w:sz w:val="22"/>
        </w:rPr>
        <w:t xml:space="preserve">Junijski sveženj kršitev: </w:t>
      </w:r>
      <w:r>
        <w:rPr>
          <w:i/>
          <w:noProof/>
        </w:rPr>
        <w:t>ključne odločitve</w:t>
      </w:r>
      <w:r>
        <w:rPr>
          <w:noProof/>
        </w:rPr>
        <w:t xml:space="preserve"> (</w:t>
      </w:r>
      <w:hyperlink r:id="rId29" w:history="1">
        <w:r>
          <w:rPr>
            <w:rStyle w:val="Hyperlink"/>
            <w:bCs/>
            <w:noProof/>
            <w:sz w:val="22"/>
          </w:rPr>
          <w:t>https://ec.europa.eu/commission/presscorner/detail/sl/inf_21_2743</w:t>
        </w:r>
      </w:hyperlink>
      <w:r>
        <w:rPr>
          <w:noProof/>
        </w:rPr>
        <w:t>).</w:t>
      </w:r>
    </w:p>
    <w:p>
      <w:pPr>
        <w:spacing w:after="120"/>
        <w:rPr>
          <w:rFonts w:cs="Times New Roman"/>
          <w:i/>
          <w:iCs/>
          <w:noProof/>
          <w:sz w:val="22"/>
        </w:rPr>
      </w:pPr>
      <w:r>
        <w:rPr>
          <w:noProof/>
          <w:sz w:val="22"/>
        </w:rPr>
        <w:t>Transparency International (2021)</w:t>
      </w:r>
      <w:r>
        <w:rPr>
          <w:i/>
          <w:iCs/>
          <w:noProof/>
          <w:sz w:val="22"/>
        </w:rPr>
        <w:t>, Corruption Perceptions Index 2020</w:t>
      </w:r>
      <w:r>
        <w:rPr>
          <w:noProof/>
          <w:sz w:val="22"/>
        </w:rPr>
        <w:t>.</w:t>
      </w:r>
    </w:p>
    <w:p>
      <w:pPr>
        <w:pageBreakBefore/>
        <w:spacing w:after="120"/>
        <w:rPr>
          <w:rFonts w:eastAsia="Times New Roman" w:cs="Times New Roman"/>
          <w:b/>
          <w:noProof/>
          <w:sz w:val="22"/>
        </w:rPr>
      </w:pPr>
      <w:r>
        <w:rPr>
          <w:b/>
          <w:noProof/>
          <w:sz w:val="22"/>
        </w:rPr>
        <w:t>Priloga II: Obisk Cipra</w:t>
      </w:r>
    </w:p>
    <w:p>
      <w:pPr>
        <w:spacing w:after="120"/>
        <w:rPr>
          <w:rFonts w:eastAsia="Times New Roman" w:cs="Times New Roman"/>
          <w:noProof/>
          <w:sz w:val="22"/>
          <w:shd w:val="clear" w:color="auto" w:fill="FFFFFF"/>
        </w:rPr>
      </w:pPr>
      <w:r>
        <w:rPr>
          <w:noProof/>
          <w:sz w:val="22"/>
        </w:rPr>
        <w:t>Deležniki, s katerimi so se službe Komisije virtualno sestale aprila 2021:</w:t>
      </w:r>
    </w:p>
    <w:p>
      <w:pPr>
        <w:numPr>
          <w:ilvl w:val="0"/>
          <w:numId w:val="2"/>
        </w:numPr>
        <w:spacing w:after="120"/>
        <w:ind w:left="714" w:hanging="357"/>
        <w:contextualSpacing/>
        <w:rPr>
          <w:rFonts w:cs="Times New Roman"/>
          <w:noProof/>
          <w:sz w:val="22"/>
          <w:shd w:val="clear" w:color="auto" w:fill="FFFFFF"/>
        </w:rPr>
      </w:pPr>
      <w:r>
        <w:rPr>
          <w:noProof/>
          <w:sz w:val="22"/>
          <w:bdr w:val="none" w:sz="0" w:space="0" w:color="auto" w:frame="1"/>
        </w:rPr>
        <w:t xml:space="preserve">Ministrstvo za pravosodje </w:t>
      </w:r>
    </w:p>
    <w:p>
      <w:pPr>
        <w:numPr>
          <w:ilvl w:val="0"/>
          <w:numId w:val="2"/>
        </w:numPr>
        <w:spacing w:after="120"/>
        <w:contextualSpacing/>
        <w:rPr>
          <w:rFonts w:cs="Times New Roman"/>
          <w:noProof/>
          <w:sz w:val="22"/>
          <w:shd w:val="clear" w:color="auto" w:fill="FFFFFF"/>
        </w:rPr>
      </w:pPr>
      <w:r>
        <w:rPr>
          <w:noProof/>
          <w:sz w:val="22"/>
          <w:shd w:val="clear" w:color="auto" w:fill="FFFFFF"/>
        </w:rPr>
        <w:t>Vrhovno sodišče</w:t>
      </w:r>
    </w:p>
    <w:p>
      <w:pPr>
        <w:numPr>
          <w:ilvl w:val="0"/>
          <w:numId w:val="2"/>
        </w:numPr>
        <w:spacing w:after="120"/>
        <w:contextualSpacing/>
        <w:rPr>
          <w:rFonts w:cs="Times New Roman"/>
          <w:noProof/>
          <w:sz w:val="22"/>
          <w:shd w:val="clear" w:color="auto" w:fill="FFFFFF"/>
        </w:rPr>
      </w:pPr>
      <w:r>
        <w:rPr>
          <w:noProof/>
          <w:sz w:val="22"/>
          <w:shd w:val="clear" w:color="auto" w:fill="FFFFFF"/>
        </w:rPr>
        <w:t>Ciprska odvetniška zbornica</w:t>
      </w:r>
    </w:p>
    <w:p>
      <w:pPr>
        <w:numPr>
          <w:ilvl w:val="0"/>
          <w:numId w:val="2"/>
        </w:numPr>
        <w:spacing w:after="120"/>
        <w:contextualSpacing/>
        <w:rPr>
          <w:rFonts w:cs="Times New Roman"/>
          <w:noProof/>
          <w:sz w:val="22"/>
          <w:shd w:val="clear" w:color="auto" w:fill="FFFFFF"/>
        </w:rPr>
      </w:pPr>
      <w:r>
        <w:rPr>
          <w:noProof/>
          <w:sz w:val="22"/>
          <w:shd w:val="clear" w:color="auto" w:fill="FFFFFF"/>
        </w:rPr>
        <w:t>Urad za preglednost in preprečevanje korupcije</w:t>
      </w:r>
    </w:p>
    <w:p>
      <w:pPr>
        <w:numPr>
          <w:ilvl w:val="0"/>
          <w:numId w:val="2"/>
        </w:numPr>
        <w:spacing w:after="120"/>
        <w:contextualSpacing/>
        <w:rPr>
          <w:rFonts w:cs="Times New Roman"/>
          <w:noProof/>
          <w:sz w:val="22"/>
          <w:shd w:val="clear" w:color="auto" w:fill="FFFFFF"/>
        </w:rPr>
      </w:pPr>
      <w:r>
        <w:rPr>
          <w:noProof/>
          <w:sz w:val="22"/>
          <w:shd w:val="clear" w:color="auto" w:fill="FFFFFF"/>
        </w:rPr>
        <w:t>Služba policije za notranje zadeve</w:t>
      </w:r>
    </w:p>
    <w:p>
      <w:pPr>
        <w:numPr>
          <w:ilvl w:val="0"/>
          <w:numId w:val="2"/>
        </w:numPr>
        <w:spacing w:after="120"/>
        <w:contextualSpacing/>
        <w:rPr>
          <w:rFonts w:cs="Times New Roman"/>
          <w:noProof/>
          <w:sz w:val="22"/>
          <w:shd w:val="clear" w:color="auto" w:fill="FFFFFF"/>
        </w:rPr>
      </w:pPr>
      <w:r>
        <w:rPr>
          <w:noProof/>
          <w:sz w:val="22"/>
          <w:shd w:val="clear" w:color="auto" w:fill="FFFFFF"/>
        </w:rPr>
        <w:t>Urad policije za preiskovanje finančnih kaznivih dejanj,</w:t>
      </w:r>
    </w:p>
    <w:p>
      <w:pPr>
        <w:numPr>
          <w:ilvl w:val="0"/>
          <w:numId w:val="2"/>
        </w:numPr>
        <w:spacing w:after="120"/>
        <w:contextualSpacing/>
        <w:rPr>
          <w:rFonts w:cs="Times New Roman"/>
          <w:noProof/>
          <w:sz w:val="22"/>
          <w:shd w:val="clear" w:color="auto" w:fill="FFFFFF"/>
        </w:rPr>
      </w:pPr>
      <w:r>
        <w:rPr>
          <w:noProof/>
          <w:sz w:val="22"/>
          <w:shd w:val="clear" w:color="auto" w:fill="FFFFFF"/>
        </w:rPr>
        <w:t>Organ za radio in televizijo</w:t>
      </w:r>
    </w:p>
    <w:p>
      <w:pPr>
        <w:numPr>
          <w:ilvl w:val="0"/>
          <w:numId w:val="2"/>
        </w:numPr>
        <w:spacing w:after="120"/>
        <w:contextualSpacing/>
        <w:rPr>
          <w:rFonts w:cs="Times New Roman"/>
          <w:noProof/>
          <w:sz w:val="22"/>
          <w:shd w:val="clear" w:color="auto" w:fill="FFFFFF"/>
        </w:rPr>
      </w:pPr>
      <w:r>
        <w:rPr>
          <w:noProof/>
          <w:sz w:val="22"/>
          <w:shd w:val="clear" w:color="auto" w:fill="FFFFFF"/>
        </w:rPr>
        <w:t>Urad za tisk in obveščanje</w:t>
      </w:r>
    </w:p>
    <w:p>
      <w:pPr>
        <w:numPr>
          <w:ilvl w:val="0"/>
          <w:numId w:val="2"/>
        </w:numPr>
        <w:spacing w:after="120"/>
        <w:contextualSpacing/>
        <w:rPr>
          <w:rFonts w:cs="Times New Roman"/>
          <w:noProof/>
          <w:sz w:val="22"/>
          <w:shd w:val="clear" w:color="auto" w:fill="FFFFFF"/>
        </w:rPr>
      </w:pPr>
      <w:r>
        <w:rPr>
          <w:noProof/>
          <w:sz w:val="22"/>
        </w:rPr>
        <w:t xml:space="preserve">Predstavniki generalnega državnega tožilca </w:t>
      </w:r>
    </w:p>
    <w:p>
      <w:pPr>
        <w:numPr>
          <w:ilvl w:val="0"/>
          <w:numId w:val="2"/>
        </w:numPr>
        <w:spacing w:after="120"/>
        <w:contextualSpacing/>
        <w:rPr>
          <w:rFonts w:cs="Times New Roman"/>
          <w:noProof/>
          <w:sz w:val="22"/>
          <w:shd w:val="clear" w:color="auto" w:fill="FFFFFF"/>
        </w:rPr>
      </w:pPr>
      <w:r>
        <w:rPr>
          <w:noProof/>
          <w:sz w:val="22"/>
          <w:shd w:val="clear" w:color="auto" w:fill="FFFFFF"/>
        </w:rPr>
        <w:t>Ministrstvo za notranje zadeve – mediji</w:t>
      </w:r>
    </w:p>
    <w:p>
      <w:pPr>
        <w:numPr>
          <w:ilvl w:val="0"/>
          <w:numId w:val="2"/>
        </w:numPr>
        <w:spacing w:after="120"/>
        <w:contextualSpacing/>
        <w:rPr>
          <w:rFonts w:cs="Times New Roman"/>
          <w:noProof/>
          <w:sz w:val="22"/>
          <w:shd w:val="clear" w:color="auto" w:fill="FFFFFF"/>
        </w:rPr>
      </w:pPr>
      <w:r>
        <w:rPr>
          <w:noProof/>
          <w:sz w:val="22"/>
          <w:shd w:val="clear" w:color="auto" w:fill="FFFFFF"/>
        </w:rPr>
        <w:t>Ciprski forum za integriteto</w:t>
      </w:r>
    </w:p>
    <w:p>
      <w:pPr>
        <w:spacing w:after="120"/>
        <w:contextualSpacing/>
        <w:rPr>
          <w:rFonts w:cs="Times New Roman"/>
          <w:noProof/>
          <w:sz w:val="22"/>
          <w:shd w:val="clear" w:color="auto" w:fill="FFFFFF"/>
        </w:rPr>
      </w:pPr>
    </w:p>
    <w:p>
      <w:pPr>
        <w:spacing w:after="120"/>
        <w:contextualSpacing/>
        <w:rPr>
          <w:rFonts w:cs="Times New Roman"/>
          <w:noProof/>
          <w:sz w:val="22"/>
          <w:shd w:val="clear" w:color="auto" w:fill="FFFFFF"/>
        </w:rPr>
      </w:pPr>
      <w:r>
        <w:rPr>
          <w:noProof/>
          <w:sz w:val="22"/>
          <w:shd w:val="clear" w:color="auto" w:fill="FFFFFF"/>
        </w:rPr>
        <w:t>* Komisija se je na več horizontalnih srečanjih sestala tudi z naslednjimi organizacijami:</w:t>
      </w:r>
    </w:p>
    <w:p>
      <w:pPr>
        <w:numPr>
          <w:ilvl w:val="0"/>
          <w:numId w:val="13"/>
        </w:numPr>
        <w:spacing w:after="120"/>
        <w:contextualSpacing/>
        <w:rPr>
          <w:rFonts w:cs="Times New Roman"/>
          <w:noProof/>
          <w:sz w:val="22"/>
          <w:shd w:val="clear" w:color="auto" w:fill="FFFFFF"/>
        </w:rPr>
      </w:pPr>
      <w:r>
        <w:rPr>
          <w:noProof/>
          <w:sz w:val="22"/>
          <w:shd w:val="clear" w:color="auto" w:fill="FFFFFF"/>
        </w:rPr>
        <w:t>Amnesty International</w:t>
      </w:r>
    </w:p>
    <w:p>
      <w:pPr>
        <w:numPr>
          <w:ilvl w:val="0"/>
          <w:numId w:val="13"/>
        </w:numPr>
        <w:spacing w:after="120"/>
        <w:contextualSpacing/>
        <w:rPr>
          <w:rFonts w:cs="Times New Roman"/>
          <w:noProof/>
          <w:sz w:val="22"/>
          <w:shd w:val="clear" w:color="auto" w:fill="FFFFFF"/>
        </w:rPr>
      </w:pPr>
      <w:r>
        <w:rPr>
          <w:noProof/>
          <w:sz w:val="22"/>
          <w:shd w:val="clear" w:color="auto" w:fill="FFFFFF"/>
        </w:rPr>
        <w:t>Center for Reproductive Rights</w:t>
      </w:r>
    </w:p>
    <w:p>
      <w:pPr>
        <w:numPr>
          <w:ilvl w:val="0"/>
          <w:numId w:val="13"/>
        </w:numPr>
        <w:spacing w:after="120"/>
        <w:contextualSpacing/>
        <w:rPr>
          <w:rFonts w:cs="Times New Roman"/>
          <w:noProof/>
          <w:sz w:val="22"/>
          <w:shd w:val="clear" w:color="auto" w:fill="FFFFFF"/>
        </w:rPr>
      </w:pPr>
      <w:r>
        <w:rPr>
          <w:noProof/>
          <w:sz w:val="22"/>
          <w:shd w:val="clear" w:color="auto" w:fill="FFFFFF"/>
        </w:rPr>
        <w:t>CIVICUS</w:t>
      </w:r>
    </w:p>
    <w:p>
      <w:pPr>
        <w:numPr>
          <w:ilvl w:val="0"/>
          <w:numId w:val="13"/>
        </w:numPr>
        <w:spacing w:after="120"/>
        <w:contextualSpacing/>
        <w:rPr>
          <w:rFonts w:cs="Times New Roman"/>
          <w:noProof/>
          <w:sz w:val="22"/>
          <w:shd w:val="clear" w:color="auto" w:fill="FFFFFF"/>
        </w:rPr>
      </w:pPr>
      <w:r>
        <w:rPr>
          <w:noProof/>
          <w:sz w:val="22"/>
          <w:shd w:val="clear" w:color="auto" w:fill="FFFFFF"/>
        </w:rPr>
        <w:t>Civil Liberties Union for Europe (Zveza za državljanske svoboščine v Evropi)</w:t>
      </w:r>
    </w:p>
    <w:p>
      <w:pPr>
        <w:numPr>
          <w:ilvl w:val="0"/>
          <w:numId w:val="13"/>
        </w:numPr>
        <w:spacing w:after="120"/>
        <w:contextualSpacing/>
        <w:rPr>
          <w:rFonts w:cs="Times New Roman"/>
          <w:noProof/>
          <w:sz w:val="22"/>
          <w:shd w:val="clear" w:color="auto" w:fill="FFFFFF"/>
        </w:rPr>
      </w:pPr>
      <w:r>
        <w:rPr>
          <w:noProof/>
          <w:sz w:val="22"/>
          <w:shd w:val="clear" w:color="auto" w:fill="FFFFFF"/>
        </w:rPr>
        <w:t>Civil Society Europe</w:t>
      </w:r>
    </w:p>
    <w:p>
      <w:pPr>
        <w:numPr>
          <w:ilvl w:val="0"/>
          <w:numId w:val="13"/>
        </w:numPr>
        <w:spacing w:after="120"/>
        <w:contextualSpacing/>
        <w:rPr>
          <w:rFonts w:cs="Times New Roman"/>
          <w:noProof/>
          <w:sz w:val="22"/>
          <w:shd w:val="clear" w:color="auto" w:fill="FFFFFF"/>
        </w:rPr>
      </w:pPr>
      <w:r>
        <w:rPr>
          <w:noProof/>
          <w:sz w:val="22"/>
          <w:shd w:val="clear" w:color="auto" w:fill="FFFFFF"/>
        </w:rPr>
        <w:t>Conference of European Churches (Konferenca evropskih cerkva)</w:t>
      </w:r>
    </w:p>
    <w:p>
      <w:pPr>
        <w:numPr>
          <w:ilvl w:val="0"/>
          <w:numId w:val="13"/>
        </w:numPr>
        <w:spacing w:after="120"/>
        <w:contextualSpacing/>
        <w:rPr>
          <w:rFonts w:cs="Times New Roman"/>
          <w:noProof/>
          <w:sz w:val="22"/>
          <w:shd w:val="clear" w:color="auto" w:fill="FFFFFF"/>
        </w:rPr>
      </w:pPr>
      <w:r>
        <w:rPr>
          <w:noProof/>
          <w:sz w:val="22"/>
          <w:shd w:val="clear" w:color="auto" w:fill="FFFFFF"/>
        </w:rPr>
        <w:t>EuroCommerce</w:t>
      </w:r>
    </w:p>
    <w:p>
      <w:pPr>
        <w:numPr>
          <w:ilvl w:val="0"/>
          <w:numId w:val="13"/>
        </w:numPr>
        <w:spacing w:after="120"/>
        <w:contextualSpacing/>
        <w:rPr>
          <w:rFonts w:cs="Times New Roman"/>
          <w:noProof/>
          <w:sz w:val="22"/>
          <w:shd w:val="clear" w:color="auto" w:fill="FFFFFF"/>
        </w:rPr>
      </w:pPr>
      <w:r>
        <w:rPr>
          <w:noProof/>
          <w:sz w:val="22"/>
          <w:shd w:val="clear" w:color="auto" w:fill="FFFFFF"/>
        </w:rPr>
        <w:t>European Center for Not-for-Profit Law</w:t>
      </w:r>
    </w:p>
    <w:p>
      <w:pPr>
        <w:numPr>
          <w:ilvl w:val="0"/>
          <w:numId w:val="13"/>
        </w:numPr>
        <w:spacing w:after="120"/>
        <w:contextualSpacing/>
        <w:rPr>
          <w:rFonts w:cs="Times New Roman"/>
          <w:noProof/>
          <w:sz w:val="22"/>
          <w:shd w:val="clear" w:color="auto" w:fill="FFFFFF"/>
        </w:rPr>
      </w:pPr>
      <w:r>
        <w:rPr>
          <w:noProof/>
          <w:sz w:val="22"/>
          <w:shd w:val="clear" w:color="auto" w:fill="FFFFFF"/>
        </w:rPr>
        <w:t>European Centre for Press and Media Freedom (Evropsko središče za svobodo tiska in medijev)</w:t>
      </w:r>
    </w:p>
    <w:p>
      <w:pPr>
        <w:numPr>
          <w:ilvl w:val="0"/>
          <w:numId w:val="13"/>
        </w:numPr>
        <w:spacing w:after="120"/>
        <w:contextualSpacing/>
        <w:rPr>
          <w:rFonts w:cs="Times New Roman"/>
          <w:noProof/>
          <w:sz w:val="22"/>
          <w:shd w:val="clear" w:color="auto" w:fill="FFFFFF"/>
        </w:rPr>
      </w:pPr>
      <w:r>
        <w:rPr>
          <w:noProof/>
          <w:sz w:val="22"/>
          <w:shd w:val="clear" w:color="auto" w:fill="FFFFFF"/>
        </w:rPr>
        <w:t>European Civic Forum (Evropski forum civilne družbe)</w:t>
      </w:r>
    </w:p>
    <w:p>
      <w:pPr>
        <w:numPr>
          <w:ilvl w:val="0"/>
          <w:numId w:val="13"/>
        </w:numPr>
        <w:spacing w:after="120"/>
        <w:contextualSpacing/>
        <w:rPr>
          <w:rFonts w:cs="Times New Roman"/>
          <w:noProof/>
          <w:sz w:val="22"/>
          <w:shd w:val="clear" w:color="auto" w:fill="FFFFFF"/>
        </w:rPr>
      </w:pPr>
      <w:r>
        <w:rPr>
          <w:noProof/>
          <w:sz w:val="22"/>
          <w:shd w:val="clear" w:color="auto" w:fill="FFFFFF"/>
        </w:rPr>
        <w:t>European Federation of Journalists (Evropska zveza novinarjev)</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European Partnership for Democracy </w:t>
      </w:r>
    </w:p>
    <w:p>
      <w:pPr>
        <w:numPr>
          <w:ilvl w:val="0"/>
          <w:numId w:val="13"/>
        </w:numPr>
        <w:spacing w:after="120"/>
        <w:contextualSpacing/>
        <w:rPr>
          <w:rFonts w:cs="Times New Roman"/>
          <w:noProof/>
          <w:sz w:val="22"/>
          <w:shd w:val="clear" w:color="auto" w:fill="FFFFFF"/>
        </w:rPr>
      </w:pPr>
      <w:r>
        <w:rPr>
          <w:noProof/>
          <w:sz w:val="22"/>
          <w:shd w:val="clear" w:color="auto" w:fill="FFFFFF"/>
        </w:rPr>
        <w:t>European Youth Forum (Evropski mladinski forum)</w:t>
      </w:r>
    </w:p>
    <w:p>
      <w:pPr>
        <w:numPr>
          <w:ilvl w:val="0"/>
          <w:numId w:val="13"/>
        </w:numPr>
        <w:spacing w:after="120"/>
        <w:contextualSpacing/>
        <w:rPr>
          <w:rFonts w:cs="Times New Roman"/>
          <w:noProof/>
          <w:sz w:val="22"/>
          <w:shd w:val="clear" w:color="auto" w:fill="FFFFFF"/>
        </w:rPr>
      </w:pPr>
      <w:r>
        <w:rPr>
          <w:noProof/>
          <w:sz w:val="22"/>
          <w:shd w:val="clear" w:color="auto" w:fill="FFFFFF"/>
        </w:rPr>
        <w:t>Front Line Defenders</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House Foundation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Watch </w:t>
      </w:r>
    </w:p>
    <w:p>
      <w:pPr>
        <w:numPr>
          <w:ilvl w:val="0"/>
          <w:numId w:val="13"/>
        </w:numPr>
        <w:spacing w:after="120"/>
        <w:contextualSpacing/>
        <w:rPr>
          <w:rFonts w:cs="Times New Roman"/>
          <w:noProof/>
          <w:sz w:val="22"/>
          <w:shd w:val="clear" w:color="auto" w:fill="FFFFFF"/>
        </w:rPr>
      </w:pPr>
      <w:r>
        <w:rPr>
          <w:noProof/>
          <w:sz w:val="22"/>
          <w:shd w:val="clear" w:color="auto" w:fill="FFFFFF"/>
        </w:rPr>
        <w:t>ILGA-Europe</w:t>
      </w:r>
    </w:p>
    <w:p>
      <w:pPr>
        <w:numPr>
          <w:ilvl w:val="0"/>
          <w:numId w:val="13"/>
        </w:numPr>
        <w:spacing w:after="120"/>
        <w:contextualSpacing/>
        <w:rPr>
          <w:rFonts w:cs="Times New Roman"/>
          <w:noProof/>
          <w:sz w:val="22"/>
          <w:shd w:val="clear" w:color="auto" w:fill="FFFFFF"/>
        </w:rPr>
      </w:pPr>
      <w:r>
        <w:rPr>
          <w:noProof/>
          <w:sz w:val="22"/>
          <w:shd w:val="clear" w:color="auto" w:fill="FFFFFF"/>
        </w:rPr>
        <w:t>International Commission of Jurists (Mednarodna komisija pravnikov)</w:t>
      </w:r>
    </w:p>
    <w:p>
      <w:pPr>
        <w:numPr>
          <w:ilvl w:val="0"/>
          <w:numId w:val="13"/>
        </w:numPr>
        <w:spacing w:after="120"/>
        <w:contextualSpacing/>
        <w:rPr>
          <w:rFonts w:cs="Times New Roman"/>
          <w:noProof/>
          <w:sz w:val="22"/>
          <w:shd w:val="clear" w:color="auto" w:fill="FFFFFF"/>
        </w:rPr>
      </w:pPr>
      <w:r>
        <w:rPr>
          <w:noProof/>
          <w:sz w:val="22"/>
          <w:shd w:val="clear" w:color="auto" w:fill="FFFFFF"/>
        </w:rPr>
        <w:t>International Federation for Human Rights (Mednarodna federacija za človekove pravice)</w:t>
      </w:r>
    </w:p>
    <w:p>
      <w:pPr>
        <w:numPr>
          <w:ilvl w:val="0"/>
          <w:numId w:val="13"/>
        </w:numPr>
        <w:spacing w:after="120"/>
        <w:contextualSpacing/>
        <w:rPr>
          <w:rFonts w:cs="Times New Roman"/>
          <w:noProof/>
          <w:sz w:val="22"/>
          <w:shd w:val="clear" w:color="auto" w:fill="FFFFFF"/>
        </w:rPr>
      </w:pPr>
      <w:r>
        <w:rPr>
          <w:noProof/>
          <w:sz w:val="22"/>
          <w:shd w:val="clear" w:color="auto" w:fill="FFFFFF"/>
        </w:rPr>
        <w:t>International Planned Parenthood Federation European Network (IPPF EN)</w:t>
      </w:r>
    </w:p>
    <w:p>
      <w:pPr>
        <w:numPr>
          <w:ilvl w:val="0"/>
          <w:numId w:val="13"/>
        </w:numPr>
        <w:spacing w:after="120"/>
        <w:contextualSpacing/>
        <w:rPr>
          <w:rFonts w:cs="Times New Roman"/>
          <w:noProof/>
          <w:sz w:val="22"/>
          <w:shd w:val="clear" w:color="auto" w:fill="FFFFFF"/>
        </w:rPr>
      </w:pPr>
      <w:r>
        <w:rPr>
          <w:noProof/>
          <w:sz w:val="22"/>
          <w:shd w:val="clear" w:color="auto" w:fill="FFFFFF"/>
        </w:rPr>
        <w:t>International Press Institute (Mednarodni inštitut za tisk)</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Netherlands Helsinki Committee (Nizozemski helsinški odbor) </w:t>
      </w:r>
    </w:p>
    <w:p>
      <w:pPr>
        <w:numPr>
          <w:ilvl w:val="0"/>
          <w:numId w:val="13"/>
        </w:numPr>
        <w:spacing w:after="120"/>
        <w:contextualSpacing/>
        <w:rPr>
          <w:rFonts w:cs="Times New Roman"/>
          <w:noProof/>
          <w:sz w:val="22"/>
          <w:shd w:val="clear" w:color="auto" w:fill="FFFFFF"/>
        </w:rPr>
      </w:pPr>
      <w:r>
        <w:rPr>
          <w:noProof/>
          <w:sz w:val="22"/>
          <w:shd w:val="clear" w:color="auto" w:fill="FFFFFF"/>
        </w:rPr>
        <w:t>Open Society European Policy Institute (Inštitut za evropsko politiko Odprte družbe)</w:t>
      </w:r>
    </w:p>
    <w:p>
      <w:pPr>
        <w:numPr>
          <w:ilvl w:val="0"/>
          <w:numId w:val="13"/>
        </w:numPr>
        <w:spacing w:after="120"/>
        <w:contextualSpacing/>
        <w:rPr>
          <w:rFonts w:cs="Times New Roman"/>
          <w:noProof/>
          <w:sz w:val="22"/>
          <w:shd w:val="clear" w:color="auto" w:fill="FFFFFF"/>
        </w:rPr>
      </w:pPr>
      <w:r>
        <w:rPr>
          <w:noProof/>
          <w:sz w:val="22"/>
          <w:shd w:val="clear" w:color="auto" w:fill="FFFFFF"/>
        </w:rPr>
        <w:t>Philanthropy Advocacy</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Protection International </w:t>
      </w:r>
    </w:p>
    <w:p>
      <w:pPr>
        <w:numPr>
          <w:ilvl w:val="0"/>
          <w:numId w:val="13"/>
        </w:numPr>
        <w:spacing w:after="120"/>
        <w:contextualSpacing/>
        <w:rPr>
          <w:rFonts w:cs="Times New Roman"/>
          <w:noProof/>
          <w:sz w:val="22"/>
          <w:shd w:val="clear" w:color="auto" w:fill="FFFFFF"/>
        </w:rPr>
      </w:pPr>
      <w:r>
        <w:rPr>
          <w:noProof/>
          <w:sz w:val="22"/>
          <w:shd w:val="clear" w:color="auto" w:fill="FFFFFF"/>
        </w:rPr>
        <w:t>Reporters without Borders (Novinarji brez meja)</w:t>
      </w:r>
    </w:p>
    <w:p>
      <w:pPr>
        <w:numPr>
          <w:ilvl w:val="0"/>
          <w:numId w:val="13"/>
        </w:numPr>
        <w:spacing w:after="120"/>
        <w:contextualSpacing/>
        <w:rPr>
          <w:rFonts w:cs="Times New Roman"/>
          <w:noProof/>
          <w:sz w:val="22"/>
          <w:shd w:val="clear" w:color="auto" w:fill="FFFFFF"/>
        </w:rPr>
      </w:pPr>
      <w:r>
        <w:rPr>
          <w:noProof/>
          <w:sz w:val="22"/>
          <w:shd w:val="clear" w:color="auto" w:fill="FFFFFF"/>
        </w:rPr>
        <w:t>Transparency International EU</w:t>
      </w:r>
    </w:p>
    <w:p>
      <w:pPr>
        <w:spacing w:after="120"/>
        <w:contextualSpacing/>
        <w:rPr>
          <w:rFonts w:cs="Times New Roman"/>
          <w:noProof/>
          <w:sz w:val="22"/>
          <w:shd w:val="clear" w:color="auto" w:fill="FFFFFF"/>
          <w:lang w:val="en-IE"/>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560D8F" w16cex:dateUtc="2021-05-02T07:57:33.875Z"/>
  <w16cex:commentExtensible w16cex:durableId="5D54AC24" w16cex:dateUtc="2021-05-02T08:14:35.188Z"/>
  <w16cex:commentExtensible w16cex:durableId="29A8A50E" w16cex:dateUtc="2021-05-03T10:41:44.703Z"/>
  <w16cex:commentExtensible w16cex:durableId="2D93D7A4" w16cex:dateUtc="2021-05-03T10:43:53.409Z"/>
  <w16cex:commentExtensible w16cex:durableId="053B61BA" w16cex:dateUtc="2021-05-03T10:47:25.25Z"/>
  <w16cex:commentExtensible w16cex:durableId="1CF36120" w16cex:dateUtc="2021-05-03T10:50:01.935Z"/>
  <w16cex:commentExtensible w16cex:durableId="6E1F52D3" w16cex:dateUtc="2021-05-03T10:51:15.482Z"/>
  <w16cex:commentExtensible w16cex:durableId="4959B330" w16cex:dateUtc="2021-05-03T11:01:24.143Z"/>
  <w16cex:commentExtensible w16cex:durableId="3AD66359" w16cex:dateUtc="2021-05-03T11:03:37.986Z"/>
  <w16cex:commentExtensible w16cex:durableId="38D34018" w16cex:dateUtc="2021-05-03T11:04:47.83Z"/>
  <w16cex:commentExtensible w16cex:durableId="6C3F3410" w16cex:dateUtc="2021-05-03T11:05:21.199Z"/>
  <w16cex:commentExtensible w16cex:durableId="5E44F0C0" w16cex:dateUtc="2021-05-03T11:06:55.998Z"/>
  <w16cex:commentExtensible w16cex:durableId="134EF830" w16cex:dateUtc="2021-05-03T11:08:01.916Z"/>
  <w16cex:commentExtensible w16cex:durableId="3C1A14CA" w16cex:dateUtc="2021-05-03T11:12:40.697Z"/>
  <w16cex:commentExtensible w16cex:durableId="17C03F18" w16cex:dateUtc="2021-05-03T11:18:05.55Z"/>
  <w16cex:commentExtensible w16cex:durableId="3B5BB2CC" w16cex:dateUtc="2021-05-03T11:28:04.922Z"/>
  <w16cex:commentExtensible w16cex:durableId="7105AE7D" w16cex:dateUtc="2021-05-03T11:29:01.163Z"/>
  <w16cex:commentExtensible w16cex:durableId="4193B5E5" w16cex:dateUtc="2021-05-03T12:21:16.191Z"/>
</w16cex:commentsExtensible>
</file>

<file path=word/commentsIds.xml><?xml version="1.0" encoding="utf-8"?>
<w16cid:commentsIds xmlns:mc="http://schemas.openxmlformats.org/markup-compatibility/2006" xmlns:w16cid="http://schemas.microsoft.com/office/word/2016/wordml/cid" mc:Ignorable="w16cid">
  <w16cid:commentId w16cid:paraId="7F58061A" w16cid:durableId="443CB60F"/>
  <w16cid:commentId w16cid:paraId="19E4D605" w16cid:durableId="615B7C9E"/>
  <w16cid:commentId w16cid:paraId="55B20530" w16cid:durableId="28420AC1"/>
  <w16cid:commentId w16cid:paraId="1CE1EF3D" w16cid:durableId="121F2438"/>
  <w16cid:commentId w16cid:paraId="6DBAD076" w16cid:durableId="0AD04A60"/>
  <w16cid:commentId w16cid:paraId="3CA568C7" w16cid:durableId="1C34F9E4"/>
  <w16cid:commentId w16cid:paraId="23A2759F" w16cid:durableId="7C9CC4D1"/>
  <w16cid:commentId w16cid:paraId="7E8E843D" w16cid:durableId="421D84C1"/>
  <w16cid:commentId w16cid:paraId="7531E4AB" w16cid:durableId="78EAF405"/>
  <w16cid:commentId w16cid:paraId="3E21561C" w16cid:durableId="65E2B4CF"/>
  <w16cid:commentId w16cid:paraId="73B349B0" w16cid:durableId="479FF7C5"/>
  <w16cid:commentId w16cid:paraId="0B925E49" w16cid:durableId="480A3563"/>
  <w16cid:commentId w16cid:paraId="3F1F8591" w16cid:durableId="68F8CDA0"/>
  <w16cid:commentId w16cid:paraId="256B4D00" w16cid:durableId="421124FC"/>
  <w16cid:commentId w16cid:paraId="34AA7F78" w16cid:durableId="695E2206"/>
  <w16cid:commentId w16cid:paraId="3E19BF9B" w16cid:durableId="4C5D68E9"/>
  <w16cid:commentId w16cid:paraId="01BFB5C3" w16cid:durableId="2D58CC60"/>
  <w16cid:commentId w16cid:paraId="0E4AB3B7" w16cid:durableId="261D7450"/>
  <w16cid:commentId w16cid:paraId="4FB2433F" w16cid:durableId="3A5008CA"/>
  <w16cid:commentId w16cid:paraId="7E98E88B" w16cid:durableId="0FD8DA7E"/>
  <w16cid:commentId w16cid:paraId="5DA6B7CD" w16cid:durableId="0313A49B"/>
  <w16cid:commentId w16cid:paraId="5E0CD234" w16cid:durableId="4B7CFA09"/>
  <w16cid:commentId w16cid:paraId="69C4A880" w16cid:durableId="41080596"/>
  <w16cid:commentId w16cid:paraId="3804E784" w16cid:durableId="245CEAB5"/>
  <w16cid:commentId w16cid:paraId="1D71F3F0" w16cid:durableId="4DD5C797"/>
  <w16cid:commentId w16cid:paraId="17F703DD" w16cid:durableId="3D186AB6"/>
  <w16cid:commentId w16cid:paraId="6661E124" w16cid:durableId="61F38679"/>
  <w16cid:commentId w16cid:paraId="235B2E46" w16cid:durableId="5525BF02"/>
  <w16cid:commentId w16cid:paraId="7DA17E45" w16cid:durableId="56BAB4E9"/>
  <w16cid:commentId w16cid:paraId="62B92675" w16cid:durableId="4811F665"/>
  <w16cid:commentId w16cid:paraId="4FBCAB8B" w16cid:durableId="344D8DBD"/>
  <w16cid:commentId w16cid:paraId="71B71F7F" w16cid:durableId="1F5529CE"/>
  <w16cid:commentId w16cid:paraId="08EF4130" w16cid:durableId="0F5FE77B"/>
  <w16cid:commentId w16cid:paraId="6439D64C" w16cid:durableId="55075831"/>
  <w16cid:commentId w16cid:paraId="494E8770" w16cid:durableId="09C90521"/>
  <w16cid:commentId w16cid:paraId="11C4546C" w16cid:durableId="5D291631"/>
  <w16cid:commentId w16cid:paraId="28FB5689" w16cid:durableId="3777F78C"/>
  <w16cid:commentId w16cid:paraId="48FC7DD4" w16cid:durableId="7D037397"/>
  <w16cid:commentId w16cid:paraId="389A47A9" w16cid:durableId="4B91C453"/>
  <w16cid:commentId w16cid:paraId="14491CC4" w16cid:durableId="5D3CB3CA"/>
  <w16cid:commentId w16cid:paraId="53FB143E" w16cid:durableId="35087433"/>
  <w16cid:commentId w16cid:paraId="62446EBB" w16cid:durableId="18D99C0D"/>
  <w16cid:commentId w16cid:paraId="4A5B4F99" w16cid:durableId="51CB75ED"/>
  <w16cid:commentId w16cid:paraId="2C098ECE" w16cid:durableId="55EBD52D"/>
  <w16cid:commentId w16cid:paraId="05B82FBC" w16cid:durableId="44D18A1B"/>
  <w16cid:commentId w16cid:paraId="060BE9EF" w16cid:durableId="5BC882CE"/>
  <w16cid:commentId w16cid:paraId="12B7893D" w16cid:durableId="61FE24B2"/>
  <w16cid:commentId w16cid:paraId="34F1674C" w16cid:durableId="058F2FB7"/>
  <w16cid:commentId w16cid:paraId="2618B18B" w16cid:durableId="0FD01482"/>
  <w16cid:commentId w16cid:paraId="65402E56" w16cid:durableId="12143813"/>
  <w16cid:commentId w16cid:paraId="58CF2305" w16cid:durableId="39F79E74"/>
  <w16cid:commentId w16cid:paraId="4D996EA4" w16cid:durableId="09DE5ECC"/>
  <w16cid:commentId w16cid:paraId="5948B82A" w16cid:durableId="569FF0C5"/>
  <w16cid:commentId w16cid:paraId="75D0AB1A" w16cid:durableId="17C63FFA"/>
  <w16cid:commentId w16cid:paraId="454F494D" w16cid:durableId="3308649D"/>
  <w16cid:commentId w16cid:paraId="12D2AEB8" w16cid:durableId="78BFBC05"/>
  <w16cid:commentId w16cid:paraId="3C30A3F8" w16cid:durableId="20537708"/>
  <w16cid:commentId w16cid:paraId="16D26E8F" w16cid:durableId="03E5200C"/>
  <w16cid:commentId w16cid:paraId="5BBDB0CD" w16cid:durableId="44495CA0"/>
  <w16cid:commentId w16cid:paraId="038FCECB" w16cid:durableId="4DB7DFA9"/>
  <w16cid:commentId w16cid:paraId="4ABD580D" w16cid:durableId="3A41736A"/>
  <w16cid:commentId w16cid:paraId="6AB79435" w16cid:durableId="277705CF"/>
  <w16cid:commentId w16cid:paraId="5FB2FEA2" w16cid:durableId="6B62CFD7"/>
  <w16cid:commentId w16cid:paraId="2B0C2B0D" w16cid:durableId="30D8FDA0"/>
  <w16cid:commentId w16cid:paraId="248923B3" w16cid:durableId="31952712"/>
  <w16cid:commentId w16cid:paraId="4285A035" w16cid:durableId="284ACDF7"/>
  <w16cid:commentId w16cid:paraId="6CB51CCE" w16cid:durableId="38AA4DE8"/>
  <w16cid:commentId w16cid:paraId="44C398F9" w16cid:durableId="13F1756F"/>
  <w16cid:commentId w16cid:paraId="38A3D2F4" w16cid:durableId="38481FDB"/>
  <w16cid:commentId w16cid:paraId="5809F527" w16cid:durableId="0C350BD5"/>
  <w16cid:commentId w16cid:paraId="7DEC5E78" w16cid:durableId="14E5715D"/>
  <w16cid:commentId w16cid:paraId="56C31B67" w16cid:durableId="305558C8"/>
  <w16cid:commentId w16cid:paraId="4E95FD4B" w16cid:durableId="5A8BAFFC"/>
  <w16cid:commentId w16cid:paraId="4FE25A85" w16cid:durableId="5D1354FF"/>
  <w16cid:commentId w16cid:paraId="173FA43B" w16cid:durableId="5AD0664A"/>
  <w16cid:commentId w16cid:paraId="2BA13198" w16cid:durableId="6A3A088D"/>
  <w16cid:commentId w16cid:paraId="6D053A14" w16cid:durableId="79B1841B"/>
  <w16cid:commentId w16cid:paraId="22AAF518" w16cid:durableId="6B1C3068"/>
  <w16cid:commentId w16cid:paraId="1AA18D5B" w16cid:durableId="5F8B6099"/>
  <w16cid:commentId w16cid:paraId="25AA45E0" w16cid:durableId="720D44C8"/>
  <w16cid:commentId w16cid:paraId="3F5B1D0F" w16cid:durableId="5B1A4603"/>
  <w16cid:commentId w16cid:paraId="115CD928" w16cid:durableId="5C6456C2"/>
  <w16cid:commentId w16cid:paraId="4037E9A0" w16cid:durableId="4555AA80"/>
  <w16cid:commentId w16cid:paraId="22F7BFF4" w16cid:durableId="44A67CD6"/>
  <w16cid:commentId w16cid:paraId="59DDB285" w16cid:durableId="0E1A57F1"/>
  <w16cid:commentId w16cid:paraId="4224D562" w16cid:durableId="2A6F2EF1"/>
  <w16cid:commentId w16cid:paraId="0C9D0F2E" w16cid:durableId="48B53908"/>
  <w16cid:commentId w16cid:paraId="5ADD62FE" w16cid:durableId="7799A780"/>
  <w16cid:commentId w16cid:paraId="3F6FC11F" w16cid:durableId="21FEF394"/>
  <w16cid:commentId w16cid:paraId="52358AAF" w16cid:durableId="1109491B"/>
  <w16cid:commentId w16cid:paraId="5AA7E5BD" w16cid:durableId="3CD59F29"/>
  <w16cid:commentId w16cid:paraId="1EF2EEF5" w16cid:durableId="3392D780"/>
  <w16cid:commentId w16cid:paraId="0845EF56" w16cid:durableId="38BA16F7"/>
  <w16cid:commentId w16cid:paraId="60B4F609" w16cid:durableId="7DD9E4A9"/>
  <w16cid:commentId w16cid:paraId="0F22E749" w16cid:durableId="22FB4060"/>
  <w16cid:commentId w16cid:paraId="1AF7D013" w16cid:durableId="0D916E64"/>
  <w16cid:commentId w16cid:paraId="6150CA3B" w16cid:durableId="2D76CC35"/>
  <w16cid:commentId w16cid:paraId="4FFC04C0" w16cid:durableId="20F2784D"/>
  <w16cid:commentId w16cid:paraId="6E741CFD" w16cid:durableId="2456AE1B"/>
  <w16cid:commentId w16cid:paraId="5B87EB8E" w16cid:durableId="1C86BC24"/>
  <w16cid:commentId w16cid:paraId="57F583AB" w16cid:durableId="231E34E6"/>
  <w16cid:commentId w16cid:paraId="26A2CA7F" w16cid:durableId="4E0CAF43"/>
  <w16cid:commentId w16cid:paraId="6E5A7B23" w16cid:durableId="4D470FDB"/>
  <w16cid:commentId w16cid:paraId="20302268" w16cid:durableId="039B08AD"/>
  <w16cid:commentId w16cid:paraId="1DC40557" w16cid:durableId="7D2EC6B5"/>
  <w16cid:commentId w16cid:paraId="7096AE19" w16cid:durableId="09A245AC"/>
  <w16cid:commentId w16cid:paraId="0FB90548" w16cid:durableId="2F52AECF"/>
  <w16cid:commentId w16cid:paraId="45D12290" w16cid:durableId="798C9BC5"/>
  <w16cid:commentId w16cid:paraId="3B1AF4D2" w16cid:durableId="3CF5D9AF"/>
  <w16cid:commentId w16cid:paraId="31B80574" w16cid:durableId="48CE5C0F"/>
  <w16cid:commentId w16cid:paraId="60F8F98F" w16cid:durableId="00560D8F"/>
  <w16cid:commentId w16cid:paraId="0E8971A6" w16cid:durableId="5D54AC24"/>
  <w16cid:commentId w16cid:paraId="63835AA5" w16cid:durableId="1200AF1B"/>
  <w16cid:commentId w16cid:paraId="743F00F8" w16cid:durableId="5F1AFD6A"/>
  <w16cid:commentId w16cid:paraId="26F40EF3" w16cid:durableId="29A8A50E"/>
  <w16cid:commentId w16cid:paraId="0610DE11" w16cid:durableId="2D93D7A4"/>
  <w16cid:commentId w16cid:paraId="261A306F" w16cid:durableId="053B61BA"/>
  <w16cid:commentId w16cid:paraId="780F8F67" w16cid:durableId="1CF36120"/>
  <w16cid:commentId w16cid:paraId="12072800" w16cid:durableId="6E1F52D3"/>
  <w16cid:commentId w16cid:paraId="373086AF" w16cid:durableId="4959B330"/>
  <w16cid:commentId w16cid:paraId="739A2D6D" w16cid:durableId="3AD66359"/>
  <w16cid:commentId w16cid:paraId="3758F34B" w16cid:durableId="38D34018"/>
  <w16cid:commentId w16cid:paraId="6EDFC3F5" w16cid:durableId="6C3F3410"/>
  <w16cid:commentId w16cid:paraId="67AC2F24" w16cid:durableId="5E44F0C0"/>
  <w16cid:commentId w16cid:paraId="2FD4A793" w16cid:durableId="134EF830"/>
  <w16cid:commentId w16cid:paraId="0C849393" w16cid:durableId="3C1A14CA"/>
  <w16cid:commentId w16cid:paraId="2CFBD6C8" w16cid:durableId="17C03F18"/>
  <w16cid:commentId w16cid:paraId="15A4139A" w16cid:durableId="3B5BB2CC"/>
  <w16cid:commentId w16cid:paraId="68E6B0CB" w16cid:durableId="7105AE7D"/>
  <w16cid:commentId w16cid:paraId="3BB3F0BE" w16cid:durableId="4193B5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739170965"/>
        <w:docPartObj>
          <w:docPartGallery w:val="Page Numbers (Bottom of Page)"/>
          <w:docPartUnique/>
        </w:docPartObj>
      </w:sdtPr>
      <w:sdtEndPr>
        <w:rPr>
          <w:rFonts w:cs="Times New Roman"/>
          <w:noProof/>
        </w:rPr>
      </w:sdtEndPr>
      <w:sdtContent>
        <w:r>
          <w:rPr>
            <w:rFonts w:cs="Times New Roman"/>
            <w:color w:val="2B579A"/>
            <w:sz w:val="20"/>
            <w:shd w:val="clear" w:color="auto" w:fill="E6E6E6"/>
          </w:rPr>
          <w:fldChar w:fldCharType="begin"/>
        </w:r>
        <w:r>
          <w:rPr>
            <w:rFonts w:cs="Times New Roman"/>
            <w:sz w:val="20"/>
          </w:rPr>
          <w:instrText xml:space="preserve"> PAGE   \* MERGEFORMAT </w:instrText>
        </w:r>
        <w:r>
          <w:rPr>
            <w:rFonts w:cs="Times New Roman"/>
            <w:color w:val="2B579A"/>
            <w:sz w:val="20"/>
            <w:shd w:val="clear" w:color="auto" w:fill="E6E6E6"/>
          </w:rPr>
          <w:fldChar w:fldCharType="separate"/>
        </w:r>
        <w:r>
          <w:rPr>
            <w:rFonts w:cs="Times New Roman"/>
            <w:noProof/>
            <w:sz w:val="20"/>
          </w:rPr>
          <w:t>2</w:t>
        </w:r>
        <w:r>
          <w:rPr>
            <w:rFonts w:cs="Times New Roman"/>
            <w:color w:val="2B579A"/>
            <w:sz w:val="20"/>
            <w:shd w:val="clear" w:color="auto" w:fill="E6E6E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78045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CEPEJ (2021), Study on the functioning of the judicial systems in the EU Member States.</w:t>
      </w:r>
    </w:p>
  </w:footnote>
  <w:footnote w:id="3">
    <w:p>
      <w:pPr>
        <w:pStyle w:val="FootnoteText"/>
        <w:rPr>
          <w:rFonts w:cs="Times New Roman"/>
        </w:rPr>
      </w:pPr>
      <w:r>
        <w:rPr>
          <w:rStyle w:val="FootnoteReference"/>
          <w:rFonts w:cs="Times New Roman"/>
        </w:rPr>
        <w:footnoteRef/>
      </w:r>
      <w:r>
        <w:t xml:space="preserve"> </w:t>
      </w:r>
      <w:r>
        <w:tab/>
        <w:t>Kazensko porotno sodišče je neomejeno pristojno za obravnavo katere koli kazenske zadeve in odločitev o njej na prvi stopnji.</w:t>
      </w:r>
    </w:p>
  </w:footnote>
  <w:footnote w:id="4">
    <w:p>
      <w:pPr>
        <w:pStyle w:val="FootnoteText"/>
        <w:rPr>
          <w:rFonts w:cs="Times New Roman"/>
        </w:rPr>
      </w:pPr>
      <w:r>
        <w:rPr>
          <w:rStyle w:val="FootnoteReference"/>
          <w:rFonts w:cs="Times New Roman"/>
        </w:rPr>
        <w:footnoteRef/>
      </w:r>
      <w:r>
        <w:t xml:space="preserve"> </w:t>
      </w:r>
      <w:r>
        <w:tab/>
        <w:t xml:space="preserve">Zakon 131 (I)/2015 o ustanovitvi in delovanju upravnega sodišča. </w:t>
      </w:r>
    </w:p>
  </w:footnote>
  <w:footnote w:id="5">
    <w:p>
      <w:pPr>
        <w:pStyle w:val="FootnoteText"/>
        <w:rPr>
          <w:rFonts w:cs="Times New Roman"/>
        </w:rPr>
      </w:pPr>
      <w:r>
        <w:rPr>
          <w:rStyle w:val="FootnoteReference"/>
          <w:rFonts w:cs="Times New Roman"/>
        </w:rPr>
        <w:footnoteRef/>
      </w:r>
      <w:r>
        <w:t xml:space="preserve"> </w:t>
      </w:r>
      <w:r>
        <w:tab/>
        <w:t>Zakon 73 (I)/2018 o ustanovitvi in delovanju upravnega sodišča za odločanje o mednarodni zaščiti.</w:t>
      </w:r>
    </w:p>
  </w:footnote>
  <w:footnote w:id="6">
    <w:p>
      <w:pPr>
        <w:pStyle w:val="FootnoteText"/>
        <w:rPr>
          <w:rFonts w:cs="Times New Roman"/>
        </w:rPr>
      </w:pPr>
      <w:r>
        <w:rPr>
          <w:rStyle w:val="FootnoteReference"/>
          <w:rFonts w:cs="Times New Roman"/>
        </w:rPr>
        <w:footnoteRef/>
      </w:r>
      <w:r>
        <w:t xml:space="preserve"> </w:t>
      </w:r>
      <w:r>
        <w:tab/>
        <w:t>Vrhovno sodišče deluje kot pritožbeni organ. Poleg tega deluje tudi kot ustavno sodišče.</w:t>
      </w:r>
    </w:p>
  </w:footnote>
  <w:footnote w:id="7">
    <w:p>
      <w:pPr>
        <w:spacing w:after="0"/>
        <w:ind w:left="284" w:hanging="284"/>
        <w:rPr>
          <w:rFonts w:cs="Times New Roman"/>
          <w:bCs/>
          <w:sz w:val="20"/>
          <w:szCs w:val="20"/>
        </w:rPr>
      </w:pPr>
      <w:r>
        <w:rPr>
          <w:rStyle w:val="FootnoteReference"/>
          <w:rFonts w:cs="Times New Roman"/>
          <w:sz w:val="20"/>
          <w:szCs w:val="20"/>
        </w:rPr>
        <w:footnoteRef/>
      </w:r>
      <w:r>
        <w:rPr>
          <w:bCs/>
          <w:sz w:val="20"/>
          <w:szCs w:val="20"/>
        </w:rPr>
        <w:t xml:space="preserve"> </w:t>
      </w:r>
      <w:r>
        <w:tab/>
      </w:r>
      <w:r>
        <w:rPr>
          <w:bCs/>
          <w:sz w:val="20"/>
          <w:szCs w:val="20"/>
        </w:rPr>
        <w:t>Prispevek ciprskega vrhovnega sodišča za Poročilo o stanju pravne države za leto 2021.</w:t>
      </w:r>
    </w:p>
  </w:footnote>
  <w:footnote w:id="8">
    <w:p>
      <w:pPr>
        <w:pStyle w:val="FootnoteText"/>
        <w:rPr>
          <w:rFonts w:cs="Times New Roman"/>
        </w:rPr>
      </w:pPr>
      <w:r>
        <w:rPr>
          <w:rStyle w:val="FootnoteReference"/>
          <w:rFonts w:cs="Times New Roman"/>
        </w:rPr>
        <w:footnoteRef/>
      </w:r>
      <w:r>
        <w:t xml:space="preserve"> </w:t>
      </w:r>
      <w:r>
        <w:tab/>
        <w:t>Prispevek Cipra za Poročilo o stanju pravne države za leto 2021; prispevek ciprskega vrhovnega sodišča za Poročilo o stanju pravne države za leto 2021, str. 6, in informacije, prejete od vrhovnega sodišča v okviru obiska Cipra.</w:t>
      </w:r>
    </w:p>
  </w:footnote>
  <w:footnote w:id="9">
    <w:p>
      <w:pPr>
        <w:pStyle w:val="FootnoteText"/>
        <w:rPr>
          <w:rFonts w:cs="Times New Roman"/>
        </w:rPr>
      </w:pPr>
      <w:r>
        <w:rPr>
          <w:rStyle w:val="FootnoteReference"/>
          <w:rFonts w:cs="Times New Roman"/>
        </w:rPr>
        <w:footnoteRef/>
      </w:r>
      <w:r>
        <w:t xml:space="preserve"> </w:t>
      </w:r>
      <w:r>
        <w:tab/>
        <w:t>Ciprska ustava v členu 157(2) določa, da so imenovanje, povišanje, premestitev, odpoklic, razrešitev in disciplinske zadeve sodnih uradnikov izključno v pristojnosti vrhovnega sodnega sveta. Zgoraj navedena ustavna določba je dodatno opredeljena v zakonu št. 33/64 o pravosodju, oddelek 10.</w:t>
      </w:r>
    </w:p>
  </w:footnote>
  <w:footnote w:id="10">
    <w:p>
      <w:pPr>
        <w:pStyle w:val="FootnoteText"/>
        <w:rPr>
          <w:rFonts w:cs="Times New Roman"/>
        </w:rPr>
      </w:pPr>
      <w:r>
        <w:rPr>
          <w:rStyle w:val="FootnoteReference"/>
          <w:rFonts w:cs="Times New Roman"/>
        </w:rPr>
        <w:footnoteRef/>
      </w:r>
      <w:r>
        <w:t xml:space="preserve"> </w:t>
      </w:r>
      <w:r>
        <w:tab/>
        <w:t>Funkciji, tj. funkcija tožilca in pravnega svetovalca, sta ločeni in opravlja ju ločeno osebje. Predstavniki generalnega državnega tožilca (svetovalci republike) delujejo v njegovem imenu in sprejemajo navodila le od njega. Vsi svetovalci pravobranilstva republike so člani javne službe in zanje kot za vse druge javne uslužbence veljajo zakoni in predpisi o javnih službah, vključno z disciplinskimi postopki.</w:t>
      </w:r>
    </w:p>
  </w:footnote>
  <w:footnote w:id="11">
    <w:p>
      <w:pPr>
        <w:pStyle w:val="FootnoteText"/>
        <w:rPr>
          <w:rFonts w:cs="Times New Roman"/>
        </w:rPr>
      </w:pPr>
      <w:r>
        <w:rPr>
          <w:rStyle w:val="FootnoteReference"/>
          <w:rFonts w:cs="Times New Roman"/>
        </w:rPr>
        <w:footnoteRef/>
      </w:r>
      <w:r>
        <w:t xml:space="preserve"> </w:t>
      </w:r>
      <w:r>
        <w:tab/>
        <w:t>Člen 112 Ustave Cipra.</w:t>
      </w:r>
    </w:p>
  </w:footnote>
  <w:footnote w:id="12">
    <w:p>
      <w:pPr>
        <w:pStyle w:val="FootnoteText"/>
        <w:rPr>
          <w:rFonts w:cs="Times New Roman"/>
        </w:rPr>
      </w:pPr>
      <w:r>
        <w:rPr>
          <w:rStyle w:val="FootnoteReference"/>
          <w:rFonts w:cs="Times New Roman"/>
        </w:rPr>
        <w:footnoteRef/>
      </w:r>
      <w:r>
        <w:t xml:space="preserve"> </w:t>
      </w:r>
      <w:r>
        <w:tab/>
        <w:t>Pregled stanja na področju pravosodja v EU za leto 2021, sliki 47 in 49.</w:t>
      </w:r>
    </w:p>
  </w:footnote>
  <w:footnote w:id="13">
    <w:p>
      <w:pPr>
        <w:pStyle w:val="FootnoteText"/>
        <w:rPr>
          <w:rFonts w:cs="Times New Roman"/>
        </w:rPr>
      </w:pPr>
      <w:r>
        <w:rPr>
          <w:rStyle w:val="FootnoteReference"/>
          <w:rFonts w:cs="Times New Roman"/>
        </w:rPr>
        <w:footnoteRef/>
      </w:r>
      <w:r>
        <w:t xml:space="preserve"> </w:t>
      </w:r>
      <w:r>
        <w:tab/>
        <w:t>Stopnja zaznane neodvisnosti sodstva se razvrsti na naslednji način: zelo nizka (manj kot 30 % anketirancev neodvisnost sodstva dojema kot dokaj dobro ali zelo dobro); nizka (od 30 do 39 %), povprečna (od 40 do 59 %), visoka (od 60 do 75 %), zelo visoka (nad 75 %)</w:t>
      </w:r>
    </w:p>
  </w:footnote>
  <w:footnote w:id="14">
    <w:p>
      <w:pPr>
        <w:pStyle w:val="FootnoteText"/>
        <w:rPr>
          <w:rFonts w:cs="Times New Roman"/>
        </w:rPr>
      </w:pPr>
      <w:r>
        <w:rPr>
          <w:rStyle w:val="FootnoteReference"/>
          <w:rFonts w:cs="Times New Roman"/>
        </w:rPr>
        <w:footnoteRef/>
      </w:r>
      <w:r>
        <w:t xml:space="preserve"> </w:t>
      </w:r>
      <w:r>
        <w:tab/>
      </w:r>
      <w:r>
        <w:rPr>
          <w:i/>
          <w:highlight w:val="green"/>
        </w:rPr>
        <w:t>Poročilo o stanju pravne države za leto 2020, poglavje o stanju pravne države na Cipru</w:t>
      </w:r>
      <w:r>
        <w:t>, str. 2.</w:t>
      </w:r>
    </w:p>
  </w:footnote>
  <w:footnote w:id="15">
    <w:p>
      <w:pPr>
        <w:pStyle w:val="FootnoteText"/>
        <w:rPr>
          <w:rFonts w:cs="Times New Roman"/>
        </w:rPr>
      </w:pPr>
      <w:r>
        <w:rPr>
          <w:rStyle w:val="FootnoteReference"/>
          <w:rFonts w:cs="Times New Roman"/>
        </w:rPr>
        <w:footnoteRef/>
      </w:r>
      <w:r>
        <w:t xml:space="preserve"> </w:t>
      </w:r>
      <w:r>
        <w:tab/>
        <w:t>Odboru predseduje minister za pravosodje in javni red, sestavljajo pa ga po en predstavnik vsake politične stranke, ki sodeluje v parlamentarnem odboru za pravne zadeve, ter predsednik ciprske odvetniške zbornice. Minister za pravosodje in javni red se hkrati posvetuje z vrhovnim sodiščem. Informacije, prejete v okviru obiska Cipra.</w:t>
      </w:r>
    </w:p>
  </w:footnote>
  <w:footnote w:id="16">
    <w:p>
      <w:pPr>
        <w:pStyle w:val="FootnoteText"/>
        <w:rPr>
          <w:rFonts w:cs="Times New Roman"/>
        </w:rPr>
      </w:pPr>
      <w:r>
        <w:rPr>
          <w:rStyle w:val="FootnoteReference"/>
          <w:rFonts w:cs="Times New Roman"/>
        </w:rPr>
        <w:footnoteRef/>
      </w:r>
      <w:r>
        <w:t xml:space="preserve"> </w:t>
      </w:r>
      <w:r>
        <w:tab/>
        <w:t>Pisni prispevek, prejet od ministrstva za pravosodje v okviru obiska Cipra.</w:t>
      </w:r>
    </w:p>
  </w:footnote>
  <w:footnote w:id="17">
    <w:p>
      <w:pPr>
        <w:pStyle w:val="FootnoteText"/>
        <w:rPr>
          <w:rFonts w:cs="Times New Roman"/>
        </w:rPr>
      </w:pPr>
      <w:r>
        <w:rPr>
          <w:rStyle w:val="FootnoteReference"/>
          <w:rFonts w:cs="Times New Roman"/>
        </w:rPr>
        <w:footnoteRef/>
      </w:r>
      <w:r>
        <w:t xml:space="preserve"> </w:t>
      </w:r>
      <w:r>
        <w:tab/>
        <w:t>„Svetovalni sodni svet [...] deluje kot svetovalni organ predsednika republike v zvezi s primernostjo kandidatov za imenovanje za sodnike vrhovnega ustavnega sodišča in višjega sodišča. Svetovalni sodni svet ima dve sestavi, odvisno od tega, ali se sodnik imenuje na vrhovno ustavno sodišče oziroma višje sodišče. V primeru postopka za imenovanje članov vrhovnega ustavnega sodišča ga bodo sestavljali predsednik vrhovnega ustavnega sodišča kot predsednik sveta, štirje najstarejši člani istega sodišča, generalni državni tožilec in predsednik ciprske odvetniške zbornice. V primeru postopka za imenovanje članov višjega sodišča ga bodo sestavljali predsednik višjega sodišča kot predsednik sveta, štirje najstarejši člani istega sodišča, generalni državni tožilec in predsednik ciprske odvetniške zbornice.“ Osnutek zakonodaje, prejet v okviru obiska Cipra.</w:t>
      </w:r>
    </w:p>
  </w:footnote>
  <w:footnote w:id="18">
    <w:p>
      <w:pPr>
        <w:pStyle w:val="FootnoteText"/>
        <w:rPr>
          <w:rFonts w:cs="Times New Roman"/>
        </w:rPr>
      </w:pPr>
      <w:r>
        <w:rPr>
          <w:rStyle w:val="FootnoteReference"/>
          <w:rFonts w:cs="Times New Roman"/>
        </w:rPr>
        <w:footnoteRef/>
      </w:r>
      <w:r>
        <w:t xml:space="preserve"> </w:t>
      </w:r>
      <w:r>
        <w:tab/>
        <w:t>„Svetovalni sodni svet sestavi seznam oseb, ki se štejejo za primerne za imenovanje, pri čemer je število oseb na seznamu vsaj trikrat večje od števila prostih delovnih mest[…] in za vsakega kandidata pripravi poročila o oceni, ki se po abecednem vrstnem redu predložijo predsedniku republike. V poročilu je predstavljeno obrazloženo mnenje sveta o ustreznosti vsakega kandidata, njegova vsebina pa je svetovalne narave za predsednika republike.“ Osnutek zakonodaje, prejet v okviru obiska Cipra.</w:t>
      </w:r>
    </w:p>
  </w:footnote>
  <w:footnote w:id="19">
    <w:p>
      <w:pPr>
        <w:pStyle w:val="FootnoteText"/>
        <w:rPr>
          <w:rFonts w:cs="Times New Roman"/>
        </w:rPr>
      </w:pPr>
      <w:r>
        <w:rPr>
          <w:rStyle w:val="FootnoteReference"/>
          <w:rFonts w:cs="Times New Roman"/>
        </w:rPr>
        <w:footnoteRef/>
      </w:r>
      <w:r>
        <w:t xml:space="preserve"> </w:t>
      </w:r>
      <w:r>
        <w:tab/>
      </w:r>
      <w:r>
        <w:rPr>
          <w:i/>
          <w:iCs/>
          <w:highlight w:val="green"/>
        </w:rPr>
        <w:t>Recommendation CM/Rec(2010)12 of the Committee of Ministers of the Council of Europe</w:t>
      </w:r>
      <w:r>
        <w:t>, točka 47; Sodba Sodišča z dne 20. aprila 2021 v zadevi Repubblika, C-896/19, ECLI:EU:C:2021:311, točka 71; Sodba Sodišča z dne 9. aprila 2021 v zadevi A. B. in drugi, C-824/18, točka 122.</w:t>
      </w:r>
    </w:p>
  </w:footnote>
  <w:footnote w:id="20">
    <w:p>
      <w:pPr>
        <w:pStyle w:val="FootnoteText"/>
        <w:rPr>
          <w:rFonts w:cs="Times New Roman"/>
        </w:rPr>
      </w:pPr>
      <w:r>
        <w:rPr>
          <w:rStyle w:val="FootnoteReference"/>
          <w:rFonts w:cs="Times New Roman"/>
        </w:rPr>
        <w:footnoteRef/>
      </w:r>
      <w:r>
        <w:t xml:space="preserve"> </w:t>
      </w:r>
      <w:r>
        <w:tab/>
        <w:t>GRECO, Fourth Evaluation Round – Second Compliance Report, str. 8; informacije, prejete v okviru obiska Cipra.</w:t>
      </w:r>
    </w:p>
  </w:footnote>
  <w:footnote w:id="21">
    <w:p>
      <w:pPr>
        <w:pStyle w:val="FootnoteText"/>
        <w:rPr>
          <w:rFonts w:cs="Times New Roman"/>
        </w:rPr>
      </w:pPr>
      <w:r>
        <w:rPr>
          <w:rStyle w:val="FootnoteReference"/>
          <w:rFonts w:cs="Times New Roman"/>
        </w:rPr>
        <w:footnoteRef/>
      </w:r>
      <w:r>
        <w:t xml:space="preserve"> </w:t>
      </w:r>
      <w:r>
        <w:tab/>
        <w:t>Informacije, prejete od ministrstva za pravosodje v okviru obiska Cipra.</w:t>
      </w:r>
    </w:p>
  </w:footnote>
  <w:footnote w:id="22">
    <w:p>
      <w:pPr>
        <w:pStyle w:val="FootnoteText"/>
        <w:rPr>
          <w:rFonts w:cs="Times New Roman"/>
        </w:rPr>
      </w:pPr>
      <w:r>
        <w:rPr>
          <w:rStyle w:val="FootnoteReference"/>
          <w:rFonts w:cs="Times New Roman"/>
        </w:rPr>
        <w:footnoteRef/>
      </w:r>
      <w:r>
        <w:t xml:space="preserve"> </w:t>
      </w:r>
      <w:r>
        <w:tab/>
        <w:t xml:space="preserve">Recommendation CM/Rec(2010)12 of the Committee of Ministers of the Council of Europe, točka 27. </w:t>
      </w:r>
    </w:p>
  </w:footnote>
  <w:footnote w:id="23">
    <w:p>
      <w:pPr>
        <w:pStyle w:val="FootnoteText"/>
        <w:rPr>
          <w:rFonts w:cs="Times New Roman"/>
        </w:rPr>
      </w:pPr>
      <w:r>
        <w:rPr>
          <w:rStyle w:val="FootnoteReference"/>
          <w:rFonts w:cs="Times New Roman"/>
        </w:rPr>
        <w:footnoteRef/>
      </w:r>
      <w:r>
        <w:t xml:space="preserve"> </w:t>
      </w:r>
      <w:r>
        <w:tab/>
      </w:r>
      <w:r>
        <w:rPr>
          <w:i/>
          <w:highlight w:val="green"/>
        </w:rPr>
        <w:t>Poročilo o stanju pravne države za leto 2020, poglavje o stanju pravne države na Cipru</w:t>
      </w:r>
      <w:r>
        <w:t>, str. 3.</w:t>
      </w:r>
    </w:p>
  </w:footnote>
  <w:footnote w:id="24">
    <w:p>
      <w:pPr>
        <w:pStyle w:val="FootnoteText"/>
        <w:rPr>
          <w:rFonts w:cs="Times New Roman"/>
        </w:rPr>
      </w:pPr>
      <w:r>
        <w:rPr>
          <w:rStyle w:val="FootnoteReference"/>
          <w:rFonts w:cs="Times New Roman"/>
        </w:rPr>
        <w:footnoteRef/>
      </w:r>
      <w:r>
        <w:t xml:space="preserve"> </w:t>
      </w:r>
      <w:r>
        <w:tab/>
        <w:t xml:space="preserve">Neodvisni strokovnjaki so leta 2019 opravili funkcionalni pregled pravobranilstva. Na podlagi tega poročila je svet ministrov 15. oktobra 2019 izdelal in odobril akcijski načrt. Ta predvideva celovito reformo pravobranilstva republike. </w:t>
      </w:r>
    </w:p>
  </w:footnote>
  <w:footnote w:id="25">
    <w:p>
      <w:pPr>
        <w:pStyle w:val="FootnoteText"/>
        <w:rPr>
          <w:rFonts w:cs="Times New Roman"/>
        </w:rPr>
      </w:pPr>
      <w:r>
        <w:rPr>
          <w:rStyle w:val="FootnoteReference"/>
          <w:rFonts w:cs="Times New Roman"/>
        </w:rPr>
        <w:footnoteRef/>
      </w:r>
      <w:r>
        <w:t xml:space="preserve"> </w:t>
      </w:r>
      <w:r>
        <w:tab/>
        <w:t>Prispevek Cipra za Poročilo o stanju pravne države za leto 2021, str. 2.</w:t>
      </w:r>
    </w:p>
  </w:footnote>
  <w:footnote w:id="26">
    <w:p>
      <w:pPr>
        <w:pStyle w:val="FootnoteText"/>
        <w:rPr>
          <w:rFonts w:cs="Times New Roman"/>
        </w:rPr>
      </w:pPr>
      <w:r>
        <w:rPr>
          <w:rStyle w:val="FootnoteReference"/>
          <w:rFonts w:cs="Times New Roman"/>
        </w:rPr>
        <w:footnoteRef/>
      </w:r>
      <w:r>
        <w:t xml:space="preserve"> </w:t>
      </w:r>
      <w:r>
        <w:tab/>
        <w:t>Prispevek Cipra za Poročilo o stanju pravne države za leto 2021, str. 4, in informacije, prejete v okviru obiska Cipra.</w:t>
      </w:r>
    </w:p>
  </w:footnote>
  <w:footnote w:id="27">
    <w:p>
      <w:pPr>
        <w:pStyle w:val="FootnoteText"/>
        <w:rPr>
          <w:rFonts w:cs="Times New Roman"/>
        </w:rPr>
      </w:pPr>
      <w:r>
        <w:rPr>
          <w:rStyle w:val="FootnoteReference"/>
          <w:rFonts w:cs="Times New Roman"/>
        </w:rPr>
        <w:footnoteRef/>
      </w:r>
      <w:r>
        <w:t xml:space="preserve"> </w:t>
      </w:r>
      <w:r>
        <w:tab/>
        <w:t>Pregled stanja na področju pravosodja v EU za leto 2021, slika 39.</w:t>
      </w:r>
    </w:p>
  </w:footnote>
  <w:footnote w:id="28">
    <w:p>
      <w:pPr>
        <w:pStyle w:val="FootnoteText"/>
        <w:rPr>
          <w:rFonts w:cs="Times New Roman"/>
        </w:rPr>
      </w:pPr>
      <w:r>
        <w:rPr>
          <w:rStyle w:val="FootnoteReference"/>
          <w:rFonts w:cs="Times New Roman"/>
        </w:rPr>
        <w:footnoteRef/>
      </w:r>
      <w:r>
        <w:t xml:space="preserve"> </w:t>
      </w:r>
      <w:r>
        <w:tab/>
        <w:t>Pregled stanja na področju pravosodja v EU za leto 2021, slika 43.</w:t>
      </w:r>
    </w:p>
  </w:footnote>
  <w:footnote w:id="29">
    <w:p>
      <w:pPr>
        <w:pStyle w:val="FootnoteText"/>
        <w:rPr>
          <w:rFonts w:cs="Times New Roman"/>
        </w:rPr>
      </w:pPr>
      <w:r>
        <w:rPr>
          <w:rStyle w:val="FootnoteReference"/>
          <w:rFonts w:cs="Times New Roman"/>
        </w:rPr>
        <w:footnoteRef/>
      </w:r>
      <w:r>
        <w:t xml:space="preserve"> </w:t>
      </w:r>
      <w:r>
        <w:tab/>
        <w:t>Ciper za to področje prosi za pomoč iz mehanizma za okrevanje in odpornost. Pilotni projekt o e-pravosodju naj bi se izvedel v 12–15 mesecih.</w:t>
      </w:r>
    </w:p>
  </w:footnote>
  <w:footnote w:id="30">
    <w:p>
      <w:pPr>
        <w:pStyle w:val="FootnoteText"/>
        <w:rPr>
          <w:rFonts w:cs="Times New Roman"/>
        </w:rPr>
      </w:pPr>
      <w:r>
        <w:rPr>
          <w:rStyle w:val="FootnoteReference"/>
          <w:rFonts w:cs="Times New Roman"/>
        </w:rPr>
        <w:footnoteRef/>
      </w:r>
      <w:r>
        <w:t xml:space="preserve"> </w:t>
      </w:r>
      <w:r>
        <w:tab/>
        <w:t>Prispevek Cipra za Poročilo o stanju pravne države za leto 2021, str. 6–7.</w:t>
      </w:r>
    </w:p>
  </w:footnote>
  <w:footnote w:id="31">
    <w:p>
      <w:pPr>
        <w:pStyle w:val="FootnoteText"/>
        <w:rPr>
          <w:rFonts w:cs="Times New Roman"/>
          <w:bCs/>
        </w:rPr>
      </w:pPr>
      <w:r>
        <w:rPr>
          <w:rStyle w:val="FootnoteReference"/>
          <w:rFonts w:cs="Times New Roman"/>
        </w:rPr>
        <w:footnoteRef/>
      </w:r>
      <w:r>
        <w:t xml:space="preserve"> </w:t>
      </w:r>
      <w:r>
        <w:tab/>
        <w:t>Spletišče o ciprski zakonodaji</w:t>
      </w:r>
      <w:r>
        <w:rPr>
          <w:rStyle w:val="Hyperlink"/>
          <w:color w:val="auto"/>
          <w:u w:val="none"/>
        </w:rPr>
        <w:t xml:space="preserve">; </w:t>
      </w:r>
      <w:r>
        <w:t>informacije, prejete v okviru obiska Cipra.</w:t>
      </w:r>
    </w:p>
  </w:footnote>
  <w:footnote w:id="32">
    <w:p>
      <w:pPr>
        <w:pStyle w:val="FootnoteText"/>
        <w:rPr>
          <w:rFonts w:cs="Times New Roman"/>
        </w:rPr>
      </w:pPr>
      <w:r>
        <w:rPr>
          <w:rStyle w:val="FootnoteReference"/>
          <w:rFonts w:cs="Times New Roman"/>
        </w:rPr>
        <w:footnoteRef/>
      </w:r>
      <w:r>
        <w:t xml:space="preserve"> </w:t>
      </w:r>
      <w:r>
        <w:tab/>
      </w:r>
      <w:r>
        <w:rPr>
          <w:i/>
          <w:highlight w:val="green"/>
        </w:rPr>
        <w:t>Poročilo o stanju pravne države za leto 2020, poglavje o stanju pravne države na Cipru</w:t>
      </w:r>
      <w:r>
        <w:t>, str. 4.</w:t>
      </w:r>
    </w:p>
  </w:footnote>
  <w:footnote w:id="33">
    <w:p>
      <w:pPr>
        <w:pStyle w:val="FootnoteText"/>
        <w:rPr>
          <w:rFonts w:cs="Times New Roman"/>
        </w:rPr>
      </w:pPr>
      <w:r>
        <w:rPr>
          <w:rStyle w:val="FootnoteReference"/>
          <w:rFonts w:cs="Times New Roman"/>
        </w:rPr>
        <w:footnoteRef/>
      </w:r>
      <w:r>
        <w:t xml:space="preserve"> </w:t>
      </w:r>
      <w:r>
        <w:tab/>
        <w:t>Pregled stanja na področju pravosodja v EU za leto 2021, slika 5.</w:t>
      </w:r>
    </w:p>
  </w:footnote>
  <w:footnote w:id="34">
    <w:p>
      <w:pPr>
        <w:pStyle w:val="FootnoteText"/>
        <w:rPr>
          <w:rFonts w:cs="Times New Roman"/>
        </w:rPr>
      </w:pPr>
      <w:r>
        <w:rPr>
          <w:rStyle w:val="FootnoteReference"/>
          <w:rFonts w:cs="Times New Roman"/>
        </w:rPr>
        <w:footnoteRef/>
      </w:r>
      <w:r>
        <w:t xml:space="preserve"> </w:t>
      </w:r>
      <w:r>
        <w:tab/>
        <w:t>Pregled stanja na področju pravosodja v EU za leto 2021, slika 8.</w:t>
      </w:r>
    </w:p>
  </w:footnote>
  <w:footnote w:id="35">
    <w:p>
      <w:pPr>
        <w:pStyle w:val="FootnoteText"/>
        <w:rPr>
          <w:rFonts w:cs="Times New Roman"/>
        </w:rPr>
      </w:pPr>
      <w:r>
        <w:rPr>
          <w:rStyle w:val="FootnoteReference"/>
          <w:rFonts w:cs="Times New Roman"/>
        </w:rPr>
        <w:footnoteRef/>
      </w:r>
      <w:r>
        <w:t xml:space="preserve"> </w:t>
      </w:r>
      <w:r>
        <w:tab/>
        <w:t>Pregled stanja na področju pravosodja v EU za leto 2021, slika 13.</w:t>
      </w:r>
    </w:p>
  </w:footnote>
  <w:footnote w:id="36">
    <w:p>
      <w:pPr>
        <w:pStyle w:val="FootnoteText"/>
        <w:rPr>
          <w:rFonts w:cs="Times New Roman"/>
        </w:rPr>
      </w:pPr>
      <w:r>
        <w:rPr>
          <w:rStyle w:val="FootnoteReference"/>
          <w:rFonts w:cs="Times New Roman"/>
        </w:rPr>
        <w:footnoteRef/>
      </w:r>
      <w:r>
        <w:t xml:space="preserve"> </w:t>
      </w:r>
      <w:r>
        <w:tab/>
        <w:t>Prispevek Cipra za Poročilo o stanju pravne države za leto 2021, str. 9.</w:t>
      </w:r>
    </w:p>
  </w:footnote>
  <w:footnote w:id="37">
    <w:p>
      <w:pPr>
        <w:pStyle w:val="FootnoteText"/>
        <w:rPr>
          <w:rFonts w:cs="Times New Roman"/>
        </w:rPr>
      </w:pPr>
      <w:r>
        <w:rPr>
          <w:rStyle w:val="FootnoteReference"/>
          <w:rFonts w:cs="Times New Roman"/>
        </w:rPr>
        <w:footnoteRef/>
      </w:r>
      <w:r>
        <w:t xml:space="preserve"> </w:t>
      </w:r>
      <w:r>
        <w:tab/>
      </w:r>
      <w:r>
        <w:rPr>
          <w:i/>
          <w:highlight w:val="green"/>
        </w:rPr>
        <w:t>Poročilo o stanju pravne države za leto 2020, poglavje o stanju pravne države na Cipru</w:t>
      </w:r>
      <w:r>
        <w:t>, str. 4.</w:t>
      </w:r>
    </w:p>
  </w:footnote>
  <w:footnote w:id="38">
    <w:p>
      <w:pPr>
        <w:pStyle w:val="FootnoteText"/>
        <w:rPr>
          <w:rFonts w:cs="Times New Roman"/>
        </w:rPr>
      </w:pPr>
      <w:r>
        <w:rPr>
          <w:rStyle w:val="FootnoteReference"/>
          <w:rFonts w:cs="Times New Roman"/>
        </w:rPr>
        <w:footnoteRef/>
      </w:r>
      <w:r>
        <w:t xml:space="preserve"> </w:t>
      </w:r>
      <w:r>
        <w:tab/>
        <w:t>Prispevek Cipra za Poročilo o stanju pravne države za leto 2021, str. 9.</w:t>
      </w:r>
    </w:p>
  </w:footnote>
  <w:footnote w:id="39">
    <w:p>
      <w:pPr>
        <w:pStyle w:val="FootnoteText"/>
        <w:rPr>
          <w:rFonts w:cs="Times New Roman"/>
        </w:rPr>
      </w:pPr>
      <w:r>
        <w:rPr>
          <w:rStyle w:val="FootnoteReference"/>
          <w:rFonts w:cs="Times New Roman"/>
        </w:rPr>
        <w:footnoteRef/>
      </w:r>
      <w:r>
        <w:t xml:space="preserve"> </w:t>
      </w:r>
      <w:r>
        <w:tab/>
      </w:r>
      <w:r>
        <w:rPr>
          <w:bCs/>
        </w:rPr>
        <w:t>Glej prejšnjo opombo</w:t>
      </w:r>
      <w:r>
        <w:t>.</w:t>
      </w:r>
    </w:p>
  </w:footnote>
  <w:footnote w:id="40">
    <w:p>
      <w:pPr>
        <w:pStyle w:val="FootnoteText"/>
        <w:rPr>
          <w:rFonts w:cs="Times New Roman"/>
        </w:rPr>
      </w:pPr>
      <w:r>
        <w:rPr>
          <w:rStyle w:val="FootnoteReference"/>
          <w:rFonts w:cs="Times New Roman"/>
        </w:rPr>
        <w:footnoteRef/>
      </w:r>
      <w:r>
        <w:t xml:space="preserve"> </w:t>
      </w:r>
      <w:r>
        <w:tab/>
        <w:t>Nova pravila pravdnega postopka so bila odobrena 19. maja 2021.</w:t>
      </w:r>
    </w:p>
  </w:footnote>
  <w:footnote w:id="41">
    <w:p>
      <w:pPr>
        <w:pStyle w:val="FootnoteText"/>
        <w:rPr>
          <w:rFonts w:cs="Times New Roman"/>
          <w:bCs/>
        </w:rPr>
      </w:pPr>
      <w:r>
        <w:rPr>
          <w:rStyle w:val="FootnoteReference"/>
          <w:rFonts w:cs="Times New Roman"/>
        </w:rPr>
        <w:footnoteRef/>
      </w:r>
      <w:r>
        <w:t xml:space="preserve"> </w:t>
      </w:r>
      <w:r>
        <w:tab/>
        <w:t xml:space="preserve">Za sprejetje novih pravil pravdnega postopka niso potrebni nadaljnji zakonodajni ukrepi. Ta reforma je bila izvedena na podlagi tehnične podpore, ki jo je Evropska komisija zagotovila Cipru. </w:t>
      </w:r>
    </w:p>
  </w:footnote>
  <w:footnote w:id="42">
    <w:p>
      <w:pPr>
        <w:pStyle w:val="FootnoteText"/>
        <w:rPr>
          <w:rFonts w:cs="Times New Roman"/>
        </w:rPr>
      </w:pPr>
      <w:r>
        <w:rPr>
          <w:rStyle w:val="FootnoteReference"/>
        </w:rPr>
        <w:footnoteRef/>
      </w:r>
      <w:r>
        <w:t xml:space="preserve"> </w:t>
      </w:r>
      <w:r>
        <w:tab/>
        <w:t>Transparency International, Corruption Perceptions Index 2020, str. 2–3. Stopnja zaznane korupcije se razvrsti na naslednji način: nizka (stopnja korupcije v javnem sektorju, kakor jo dojemajo strokovnjaki in vodstveni delavci podjetij, ima ocene nad</w:t>
      </w:r>
      <w:r>
        <w:rPr>
          <w:sz w:val="22"/>
          <w:szCs w:val="22"/>
        </w:rPr>
        <w:t xml:space="preserve"> </w:t>
      </w:r>
      <w:r>
        <w:t>79); razmeroma nizka (ocene med 79 in 60), razmeroma visoka (ocene med 59 in 50), visoka (ocene pod 50).</w:t>
      </w:r>
    </w:p>
  </w:footnote>
  <w:footnote w:id="43">
    <w:p>
      <w:pPr>
        <w:pStyle w:val="FootnoteText"/>
      </w:pPr>
      <w:r>
        <w:rPr>
          <w:rStyle w:val="FootnoteReference"/>
        </w:rPr>
        <w:footnoteRef/>
      </w:r>
      <w:r>
        <w:t xml:space="preserve"> </w:t>
      </w:r>
      <w:r>
        <w:tab/>
        <w:t>Podatki Eurobarometra o dojemanju korupcije ter izkušnjah državljanov in podjetij, o katerih se je poročalo lani, se posodobijo vsako drugo leto. Najnovejši nabor podatkov zagotavljata raziskava Special Eurobarometer 502 (2020) in raziskava Flash Eurobarometer 482 (2019).</w:t>
      </w:r>
    </w:p>
  </w:footnote>
  <w:footnote w:id="44">
    <w:p>
      <w:pPr>
        <w:pStyle w:val="FootnoteText"/>
      </w:pPr>
      <w:r>
        <w:rPr>
          <w:rStyle w:val="FootnoteReference"/>
        </w:rPr>
        <w:footnoteRef/>
      </w:r>
      <w:r>
        <w:t xml:space="preserve"> </w:t>
      </w:r>
      <w:r>
        <w:tab/>
        <w:t>Leta 2015 je bila ocena 61, leta 2020 pa 57. Ocena se znatno poveča/zmanjša, če se spremeni za več kot pet točk; izboljša/poslabša (se spremeni za 4 do 5 točk); je razmeroma stabilna (se spremeni za 1 do 3 točke) v zadnjih petih letih.</w:t>
      </w:r>
    </w:p>
  </w:footnote>
  <w:footnote w:id="45">
    <w:p>
      <w:pPr>
        <w:pStyle w:val="FootnoteText"/>
        <w:rPr>
          <w:rFonts w:cs="Times New Roman"/>
        </w:rPr>
      </w:pPr>
      <w:r>
        <w:rPr>
          <w:rStyle w:val="FootnoteReference"/>
          <w:rFonts w:cs="Times New Roman"/>
        </w:rPr>
        <w:footnoteRef/>
      </w:r>
      <w:r>
        <w:t xml:space="preserve"> </w:t>
      </w:r>
      <w:r>
        <w:tab/>
        <w:t>Prispevek Cipra za Poročilo o stanju pravne države za leto 2021, str. 10.</w:t>
      </w:r>
    </w:p>
  </w:footnote>
  <w:footnote w:id="46">
    <w:p>
      <w:pPr>
        <w:pStyle w:val="FootnoteText"/>
        <w:rPr>
          <w:rFonts w:cs="Times New Roman"/>
        </w:rPr>
      </w:pPr>
      <w:r>
        <w:rPr>
          <w:rStyle w:val="FootnoteReference"/>
          <w:rFonts w:cs="Times New Roman"/>
        </w:rPr>
        <w:footnoteRef/>
      </w:r>
      <w:r>
        <w:t xml:space="preserve"> </w:t>
      </w:r>
      <w:r>
        <w:tab/>
        <w:t>1) Preprečevanje, izobraževanje in ozaveščanje; 2) pravni ukrepi ter 3) nadzor in ocena tveganja.</w:t>
      </w:r>
    </w:p>
  </w:footnote>
  <w:footnote w:id="47">
    <w:p>
      <w:pPr>
        <w:pStyle w:val="FootnoteText"/>
        <w:rPr>
          <w:rFonts w:cs="Times New Roman"/>
        </w:rPr>
      </w:pPr>
      <w:r>
        <w:rPr>
          <w:rStyle w:val="FootnoteReference"/>
          <w:rFonts w:cs="Times New Roman"/>
        </w:rPr>
        <w:footnoteRef/>
      </w:r>
      <w:r>
        <w:t xml:space="preserve"> </w:t>
      </w:r>
      <w:r>
        <w:tab/>
        <w:t>Med drugim memorandume o soglasju med državo in univerzami, ustanovitev enote za boj proti korupciji pod nadzorom generalnega državnega tožilca; ustanovitev neodvisne komisije za upravljanje človeških virov; ter ustanovitev neodvisnega protikorupcijskega organa. Informacije, prejete v okviru obiska Cipra.</w:t>
      </w:r>
    </w:p>
  </w:footnote>
  <w:footnote w:id="48">
    <w:p>
      <w:pPr>
        <w:pStyle w:val="FootnoteText"/>
        <w:rPr>
          <w:rFonts w:cs="Times New Roman"/>
        </w:rPr>
      </w:pPr>
      <w:r>
        <w:rPr>
          <w:rStyle w:val="FootnoteReference"/>
          <w:rFonts w:cs="Times New Roman"/>
        </w:rPr>
        <w:footnoteRef/>
      </w:r>
      <w:r>
        <w:t xml:space="preserve"> </w:t>
      </w:r>
      <w:r>
        <w:tab/>
        <w:t>Komunikacijsko in informacijsko spletišče Exandas</w:t>
      </w:r>
      <w:r>
        <w:rPr>
          <w:rStyle w:val="Hyperlink"/>
          <w:color w:val="auto"/>
          <w:u w:val="none"/>
        </w:rPr>
        <w:t>.</w:t>
      </w:r>
    </w:p>
  </w:footnote>
  <w:footnote w:id="49">
    <w:p>
      <w:pPr>
        <w:pStyle w:val="FootnoteText"/>
        <w:rPr>
          <w:rFonts w:cs="Times New Roman"/>
        </w:rPr>
      </w:pPr>
      <w:r>
        <w:rPr>
          <w:rStyle w:val="FootnoteReference"/>
          <w:rFonts w:cs="Times New Roman"/>
        </w:rPr>
        <w:footnoteRef/>
      </w:r>
      <w:r>
        <w:t xml:space="preserve"> </w:t>
      </w:r>
      <w:r>
        <w:tab/>
        <w:t>Informacije, prejete od ministrstva za pravosodje v okviru obiska Cipra.</w:t>
      </w:r>
    </w:p>
  </w:footnote>
  <w:footnote w:id="50">
    <w:p>
      <w:pPr>
        <w:pStyle w:val="FootnoteText"/>
        <w:rPr>
          <w:rFonts w:cs="Times New Roman"/>
        </w:rPr>
      </w:pPr>
      <w:r>
        <w:rPr>
          <w:rStyle w:val="FootnoteReference"/>
          <w:rFonts w:cs="Times New Roman"/>
        </w:rPr>
        <w:footnoteRef/>
      </w:r>
      <w:r>
        <w:t xml:space="preserve"> </w:t>
      </w:r>
      <w:r>
        <w:tab/>
        <w:t xml:space="preserve">Zakon o pravici dostopa do informacij v javnem sektorju iz leta 2017 (184 (I)/2017). </w:t>
      </w:r>
    </w:p>
  </w:footnote>
  <w:footnote w:id="51">
    <w:p>
      <w:pPr>
        <w:pStyle w:val="FootnoteText"/>
        <w:rPr>
          <w:rFonts w:cs="Times New Roman"/>
        </w:rPr>
      </w:pPr>
      <w:r>
        <w:rPr>
          <w:rStyle w:val="FootnoteReference"/>
          <w:rFonts w:cs="Times New Roman"/>
        </w:rPr>
        <w:footnoteRef/>
      </w:r>
      <w:r>
        <w:t xml:space="preserve"> </w:t>
      </w:r>
      <w:r>
        <w:tab/>
        <w:t>Prispevek Cipra za Poročilo o stanju pravne države za leto 2021, str. 11.</w:t>
      </w:r>
    </w:p>
  </w:footnote>
  <w:footnote w:id="52">
    <w:p>
      <w:pPr>
        <w:pStyle w:val="FootnoteText"/>
        <w:rPr>
          <w:rFonts w:cs="Times New Roman"/>
        </w:rPr>
      </w:pPr>
      <w:r>
        <w:rPr>
          <w:rStyle w:val="FootnoteReference"/>
          <w:rFonts w:cs="Times New Roman"/>
        </w:rPr>
        <w:footnoteRef/>
      </w:r>
      <w:r>
        <w:t xml:space="preserve"> </w:t>
      </w:r>
      <w:r>
        <w:tab/>
        <w:t>Kazenski zakonik, člen 105.</w:t>
      </w:r>
    </w:p>
  </w:footnote>
  <w:footnote w:id="53">
    <w:p>
      <w:pPr>
        <w:pStyle w:val="FootnoteText"/>
        <w:rPr>
          <w:rFonts w:cs="Times New Roman"/>
        </w:rPr>
      </w:pPr>
      <w:r>
        <w:rPr>
          <w:rStyle w:val="FootnoteReference"/>
          <w:rFonts w:cs="Times New Roman"/>
        </w:rPr>
        <w:footnoteRef/>
      </w:r>
      <w:r>
        <w:t xml:space="preserve"> </w:t>
      </w:r>
      <w:r>
        <w:tab/>
        <w:t xml:space="preserve">Prispevek Cipra za Poročilo o stanju pravne države za leto 2021, str. 17. </w:t>
      </w:r>
    </w:p>
  </w:footnote>
  <w:footnote w:id="54">
    <w:p>
      <w:pPr>
        <w:pStyle w:val="FootnoteText"/>
        <w:rPr>
          <w:rFonts w:cs="Times New Roman"/>
        </w:rPr>
      </w:pPr>
      <w:r>
        <w:rPr>
          <w:rStyle w:val="FootnoteReference"/>
          <w:rFonts w:cs="Times New Roman"/>
        </w:rPr>
        <w:footnoteRef/>
      </w:r>
      <w:r>
        <w:t xml:space="preserve"> </w:t>
      </w:r>
      <w:r>
        <w:tab/>
        <w:t>Informacije, prejete od urada generalnega državnega tožilca v okviru obiska Cipra. Za primerjavo, v Poročilu o stanju pravne države za leto 2020 je v poglavju o Cipru je navedeno, da je bilo med letoma 2013 in 2018 skupno preiskanih 120 primerov korupcije ali je o njih potekala preiskava, od tega je bilo 98 primerov zaključenih, 22 primerov pa se še preiskuje. 47 primerov je čakalo na sojenje ali pa je sojenje že potekalo. V 26 primerih je bilo korupcije obsojenih 37 oseb, od tega je bilo izrečenih 12 obsodb zaradi korupcije na visoki ravni, vključno z namestnikom generalnega državnega tožilca, poslanci in nekdanjimi ministri.</w:t>
      </w:r>
    </w:p>
  </w:footnote>
  <w:footnote w:id="55">
    <w:p>
      <w:pPr>
        <w:pStyle w:val="FootnoteText"/>
        <w:rPr>
          <w:rFonts w:cs="Times New Roman"/>
        </w:rPr>
      </w:pPr>
      <w:r>
        <w:rPr>
          <w:rStyle w:val="FootnoteReference"/>
          <w:rFonts w:cs="Times New Roman"/>
        </w:rPr>
        <w:footnoteRef/>
      </w:r>
      <w:r>
        <w:t xml:space="preserve"> </w:t>
      </w:r>
      <w:r>
        <w:tab/>
        <w:t>Zakon 180(I) iz leta 2017.</w:t>
      </w:r>
    </w:p>
  </w:footnote>
  <w:footnote w:id="56">
    <w:p>
      <w:pPr>
        <w:pStyle w:val="FootnoteText"/>
        <w:rPr>
          <w:rFonts w:cs="Times New Roman"/>
        </w:rPr>
      </w:pPr>
      <w:r>
        <w:rPr>
          <w:rStyle w:val="FootnoteReference"/>
          <w:rFonts w:cs="Times New Roman"/>
        </w:rPr>
        <w:footnoteRef/>
      </w:r>
      <w:r>
        <w:t xml:space="preserve"> </w:t>
      </w:r>
      <w:r>
        <w:tab/>
        <w:t>Informacije, prejete od urada generalnega državnega tožilca v okviru obiska Cipra.</w:t>
      </w:r>
    </w:p>
  </w:footnote>
  <w:footnote w:id="57">
    <w:p>
      <w:pPr>
        <w:pStyle w:val="FootnoteText"/>
        <w:rPr>
          <w:rFonts w:cs="Times New Roman"/>
        </w:rPr>
      </w:pPr>
      <w:r>
        <w:rPr>
          <w:rStyle w:val="FootnoteReference"/>
          <w:rFonts w:cs="Times New Roman"/>
        </w:rPr>
        <w:footnoteRef/>
      </w:r>
      <w:r>
        <w:t xml:space="preserve"> </w:t>
      </w:r>
      <w:r>
        <w:tab/>
        <w:t>Glej prejšnjo opombo.</w:t>
      </w:r>
    </w:p>
  </w:footnote>
  <w:footnote w:id="58">
    <w:p>
      <w:pPr>
        <w:pStyle w:val="FootnoteText"/>
      </w:pPr>
      <w:r>
        <w:rPr>
          <w:rStyle w:val="FootnoteReference"/>
        </w:rPr>
        <w:footnoteRef/>
      </w:r>
      <w:r>
        <w:t xml:space="preserve"> </w:t>
      </w:r>
      <w:r>
        <w:tab/>
        <w:t>Glej Sigma Live, 7. 6. 2021, „Poročilo o državljanstvu“.</w:t>
      </w:r>
    </w:p>
  </w:footnote>
  <w:footnote w:id="59">
    <w:p>
      <w:pPr>
        <w:pStyle w:val="FootnoteText"/>
        <w:rPr>
          <w:rFonts w:cs="Times New Roman"/>
          <w:color w:val="0563C1" w:themeColor="hyperlink"/>
          <w:u w:val="single"/>
        </w:rPr>
      </w:pPr>
      <w:r>
        <w:rPr>
          <w:rStyle w:val="FootnoteReference"/>
          <w:rFonts w:cs="Times New Roman"/>
        </w:rPr>
        <w:footnoteRef/>
      </w:r>
      <w:r>
        <w:t xml:space="preserve"> </w:t>
      </w:r>
      <w:r>
        <w:tab/>
        <w:t>Informacije, prejete v okviru obiska Cipra, in časnik Kathimerini, „Interim report on golden passports delivered“, 10. 6. 2021</w:t>
      </w:r>
      <w:r>
        <w:rPr>
          <w:rStyle w:val="Hyperlink"/>
          <w:color w:val="auto"/>
          <w:u w:val="none"/>
        </w:rPr>
        <w:t xml:space="preserve">. Tudi preiskovalna komisija, „Vmesno poročilo o postopku podelitve državljanstva tujim vlagateljem in podjetnikom“, 16. april 2021. </w:t>
      </w:r>
    </w:p>
  </w:footnote>
  <w:footnote w:id="60">
    <w:p>
      <w:pPr>
        <w:pStyle w:val="FootnoteText"/>
      </w:pPr>
      <w:r>
        <w:rPr>
          <w:rStyle w:val="FootnoteReference"/>
        </w:rPr>
        <w:footnoteRef/>
      </w:r>
      <w:r>
        <w:t xml:space="preserve"> </w:t>
      </w:r>
      <w:r>
        <w:tab/>
        <w:t xml:space="preserve">European Commission, Investor citizenship schemes: European Commission opens infringements against Cyprus and Malta for “selling” EU citizenship, 20. oktober 2020, </w:t>
      </w:r>
      <w:r>
        <w:rPr>
          <w:bCs/>
          <w:bdr w:val="none" w:sz="0" w:space="0" w:color="auto" w:frame="1"/>
        </w:rPr>
        <w:t>INFR(2020) 2300</w:t>
      </w:r>
      <w:r>
        <w:t>;</w:t>
      </w:r>
      <w:r>
        <w:rPr>
          <w:bCs/>
          <w:bdr w:val="none" w:sz="0" w:space="0" w:color="auto" w:frame="1"/>
        </w:rPr>
        <w:t xml:space="preserve"> </w:t>
      </w:r>
      <w:r>
        <w:t>Evropska komisija, Junijski sveženj kršitev: ključne odločitve, 9. junij 2021.</w:t>
      </w:r>
      <w:r>
        <w:rPr>
          <w:bCs/>
          <w:bdr w:val="none" w:sz="0" w:space="0" w:color="auto" w:frame="1"/>
        </w:rPr>
        <w:t xml:space="preserve"> Kršitev se nanaša na neizpolnitev obveznosti Cipra v zvezi z načelom lojalnega sodelovanja in državljanstvom Unije s tem, ko je podelil državljanstva v zameno za vnaprej določena plačila in naložbe.</w:t>
      </w:r>
    </w:p>
  </w:footnote>
  <w:footnote w:id="61">
    <w:p>
      <w:pPr>
        <w:pStyle w:val="FootnoteText"/>
        <w:rPr>
          <w:rFonts w:cs="Times New Roman"/>
        </w:rPr>
      </w:pPr>
      <w:r>
        <w:rPr>
          <w:rStyle w:val="FootnoteReference"/>
          <w:rFonts w:cs="Times New Roman"/>
        </w:rPr>
        <w:footnoteRef/>
      </w:r>
      <w:r>
        <w:t xml:space="preserve"> </w:t>
      </w:r>
      <w:r>
        <w:tab/>
        <w:t>Informacije, prejete od policijskega urada za preiskovanje finančnih kaznivih dejanj v okviru obiska Cipra.</w:t>
      </w:r>
    </w:p>
  </w:footnote>
  <w:footnote w:id="62">
    <w:p>
      <w:pPr>
        <w:pStyle w:val="FootnoteText"/>
        <w:rPr>
          <w:rFonts w:cs="Times New Roman"/>
        </w:rPr>
      </w:pPr>
      <w:r>
        <w:rPr>
          <w:rStyle w:val="FootnoteReference"/>
          <w:rFonts w:cs="Times New Roman"/>
        </w:rPr>
        <w:footnoteRef/>
      </w:r>
      <w:r>
        <w:t xml:space="preserve"> </w:t>
      </w:r>
      <w:r>
        <w:tab/>
        <w:t>Glej prejšnjo opombo.</w:t>
      </w:r>
    </w:p>
  </w:footnote>
  <w:footnote w:id="63">
    <w:p>
      <w:pPr>
        <w:pStyle w:val="FootnoteText"/>
        <w:rPr>
          <w:rFonts w:cs="Times New Roman"/>
        </w:rPr>
      </w:pPr>
      <w:r>
        <w:rPr>
          <w:rStyle w:val="FootnoteReference"/>
          <w:rFonts w:cs="Times New Roman"/>
        </w:rPr>
        <w:footnoteRef/>
      </w:r>
      <w:r>
        <w:t xml:space="preserve"> </w:t>
      </w:r>
      <w:r>
        <w:tab/>
        <w:t>Prispevek Cipra za Poročilo o stanju pravne države za leto 2021, str. 25.</w:t>
      </w:r>
    </w:p>
  </w:footnote>
  <w:footnote w:id="64">
    <w:p>
      <w:pPr>
        <w:pStyle w:val="FootnoteText"/>
        <w:rPr>
          <w:rFonts w:cs="Times New Roman"/>
        </w:rPr>
      </w:pPr>
      <w:r>
        <w:rPr>
          <w:rStyle w:val="FootnoteReference"/>
          <w:rFonts w:cs="Times New Roman"/>
        </w:rPr>
        <w:footnoteRef/>
      </w:r>
      <w:r>
        <w:t xml:space="preserve"> </w:t>
      </w:r>
      <w:r>
        <w:tab/>
        <w:t>Prispevek Cipra za Poročilo o stanju pravne države za leto 2021, str. 16.</w:t>
      </w:r>
    </w:p>
  </w:footnote>
  <w:footnote w:id="65">
    <w:p>
      <w:pPr>
        <w:pStyle w:val="FootnoteText"/>
        <w:rPr>
          <w:rFonts w:cs="Times New Roman"/>
        </w:rPr>
      </w:pPr>
      <w:r>
        <w:rPr>
          <w:rStyle w:val="FootnoteReference"/>
          <w:rFonts w:cs="Times New Roman"/>
        </w:rPr>
        <w:footnoteRef/>
      </w:r>
      <w:r>
        <w:t xml:space="preserve"> </w:t>
      </w:r>
      <w:r>
        <w:tab/>
        <w:t>Prispevek Cipra za Poročilo o stanju pravne države za leto 2021.</w:t>
      </w:r>
    </w:p>
  </w:footnote>
  <w:footnote w:id="66">
    <w:p>
      <w:pPr>
        <w:pStyle w:val="FootnoteText"/>
        <w:rPr>
          <w:rFonts w:cs="Times New Roman"/>
        </w:rPr>
      </w:pPr>
      <w:r>
        <w:rPr>
          <w:rStyle w:val="FootnoteReference"/>
          <w:rFonts w:cs="Times New Roman"/>
        </w:rPr>
        <w:footnoteRef/>
      </w:r>
      <w:r>
        <w:t xml:space="preserve"> </w:t>
      </w:r>
      <w:r>
        <w:tab/>
        <w:t xml:space="preserve">Ciprska policija, kodeks policijske etike. </w:t>
      </w:r>
    </w:p>
  </w:footnote>
  <w:footnote w:id="67">
    <w:p>
      <w:pPr>
        <w:pStyle w:val="FootnoteText"/>
        <w:rPr>
          <w:rFonts w:cs="Times New Roman"/>
        </w:rPr>
      </w:pPr>
      <w:r>
        <w:rPr>
          <w:rStyle w:val="FootnoteReference"/>
          <w:rFonts w:cs="Times New Roman"/>
        </w:rPr>
        <w:footnoteRef/>
      </w:r>
      <w:r>
        <w:t xml:space="preserve"> </w:t>
      </w:r>
      <w:r>
        <w:tab/>
        <w:t>Informacije, prejete v okviru obiska Cipra.</w:t>
      </w:r>
    </w:p>
  </w:footnote>
  <w:footnote w:id="68">
    <w:p>
      <w:pPr>
        <w:autoSpaceDE w:val="0"/>
        <w:autoSpaceDN w:val="0"/>
        <w:spacing w:after="0"/>
        <w:ind w:left="284" w:hanging="284"/>
        <w:rPr>
          <w:rFonts w:eastAsia="Times New Roman" w:cs="Times New Roman"/>
          <w:sz w:val="20"/>
          <w:szCs w:val="20"/>
        </w:rPr>
      </w:pPr>
      <w:r>
        <w:rPr>
          <w:rStyle w:val="FootnoteReference"/>
          <w:rFonts w:cs="Times New Roman"/>
          <w:sz w:val="20"/>
          <w:szCs w:val="20"/>
        </w:rPr>
        <w:footnoteRef/>
      </w:r>
      <w:r>
        <w:rPr>
          <w:sz w:val="20"/>
          <w:szCs w:val="20"/>
        </w:rPr>
        <w:t xml:space="preserve"> </w:t>
      </w:r>
      <w:r>
        <w:tab/>
      </w:r>
      <w:r>
        <w:rPr>
          <w:sz w:val="20"/>
          <w:szCs w:val="20"/>
        </w:rPr>
        <w:t>Prispevek Cipra za Poročilo o stanju pravne države za leto 2021. Omeniti je treba, da je v Poročilu o stanju pravne države za leto 2020 v poglavju o stanju pravne države na Cipru, str. 8, navedeno, da obstajajo kodeksi ravnanja za člane vlade, javne uslužbence in tožilce, za poslance pa ni podobnih določb. Namen kodeksa bi bil ponuditi smernice za preprečevanje in obvladovanje nasprotja interesov v zvezi s poslanci.</w:t>
      </w:r>
    </w:p>
  </w:footnote>
  <w:footnote w:id="69">
    <w:p>
      <w:pPr>
        <w:pStyle w:val="FootnoteText"/>
        <w:rPr>
          <w:rFonts w:cs="Times New Roman"/>
        </w:rPr>
      </w:pPr>
      <w:r>
        <w:rPr>
          <w:rStyle w:val="FootnoteReference"/>
          <w:rFonts w:cs="Times New Roman"/>
        </w:rPr>
        <w:footnoteRef/>
      </w:r>
      <w:r>
        <w:t xml:space="preserve"> </w:t>
      </w:r>
      <w:r>
        <w:tab/>
      </w:r>
      <w:r>
        <w:rPr>
          <w:shd w:val="clear" w:color="auto" w:fill="FFFFFF"/>
        </w:rPr>
        <w:t xml:space="preserve">Zakon št. 1 iz leta 1990 o javni službi in Zakon št. 100(I) iz leta 2015 o spremembi zakona o javni službi. </w:t>
      </w:r>
    </w:p>
  </w:footnote>
  <w:footnote w:id="70">
    <w:p>
      <w:pPr>
        <w:pStyle w:val="FootnoteText"/>
        <w:rPr>
          <w:rFonts w:cs="Times New Roman"/>
        </w:rPr>
      </w:pPr>
      <w:r>
        <w:rPr>
          <w:rStyle w:val="FootnoteReference"/>
          <w:rFonts w:cs="Times New Roman"/>
        </w:rPr>
        <w:footnoteRef/>
      </w:r>
      <w:r>
        <w:t xml:space="preserve"> </w:t>
      </w:r>
      <w:r>
        <w:tab/>
        <w:t>Prispevek Cipra za Poročilo o stanju pravne države za leto 2021, str. 12.</w:t>
      </w:r>
    </w:p>
  </w:footnote>
  <w:footnote w:id="71">
    <w:p>
      <w:pPr>
        <w:pStyle w:val="FootnoteText"/>
        <w:rPr>
          <w:rFonts w:cs="Times New Roman"/>
        </w:rPr>
      </w:pPr>
      <w:r>
        <w:rPr>
          <w:rStyle w:val="FootnoteReference"/>
          <w:rFonts w:cs="Times New Roman"/>
        </w:rPr>
        <w:footnoteRef/>
      </w:r>
      <w:r>
        <w:t xml:space="preserve"> </w:t>
      </w:r>
      <w:r>
        <w:tab/>
      </w:r>
      <w:r>
        <w:rPr>
          <w:i/>
          <w:highlight w:val="green"/>
        </w:rPr>
        <w:t>Poročilo o stanju pravne države za leto 2020, poglavje o stanju pravne države na Cipru</w:t>
      </w:r>
      <w:r>
        <w:t>, str. 8.</w:t>
      </w:r>
    </w:p>
  </w:footnote>
  <w:footnote w:id="72">
    <w:p>
      <w:pPr>
        <w:pStyle w:val="FootnoteText"/>
        <w:rPr>
          <w:rFonts w:cs="Times New Roman"/>
        </w:rPr>
      </w:pPr>
      <w:r>
        <w:rPr>
          <w:rStyle w:val="FootnoteReference"/>
          <w:rFonts w:cs="Times New Roman"/>
        </w:rPr>
        <w:footnoteRef/>
      </w:r>
      <w:r>
        <w:t xml:space="preserve"> </w:t>
      </w:r>
      <w:r>
        <w:tab/>
        <w:t>Prispevek Cipra za Poročilo o stanju pravne države za leto 2021, str. 12.</w:t>
      </w:r>
    </w:p>
  </w:footnote>
  <w:footnote w:id="73">
    <w:p>
      <w:pPr>
        <w:pStyle w:val="FootnoteText"/>
        <w:rPr>
          <w:rFonts w:cs="Times New Roman"/>
        </w:rPr>
      </w:pPr>
      <w:r>
        <w:rPr>
          <w:rStyle w:val="FootnoteReference"/>
          <w:rFonts w:cs="Times New Roman"/>
        </w:rPr>
        <w:footnoteRef/>
      </w:r>
      <w:r>
        <w:t xml:space="preserve"> </w:t>
      </w:r>
      <w:r>
        <w:tab/>
        <w:t>V skladu s predlaganim zakonom lahko osebe, ki so neposredno vpletene v dejanje korupcije, vendar ga prostovoljno prijavijo policiji in/ali ponudijo sodelovanje z organi, ki privede do celovite preiskave in kazenskega pregona zadeve, dosežejo znižanje kazni (do polovice najvišje kazni), predvidene za kaznivo dejanje.</w:t>
      </w:r>
    </w:p>
  </w:footnote>
  <w:footnote w:id="74">
    <w:p>
      <w:pPr>
        <w:pStyle w:val="FootnoteText"/>
        <w:rPr>
          <w:rFonts w:cs="Times New Roman"/>
        </w:rPr>
      </w:pPr>
      <w:r>
        <w:rPr>
          <w:rStyle w:val="FootnoteReference"/>
          <w:rFonts w:cs="Times New Roman"/>
        </w:rPr>
        <w:footnoteRef/>
      </w:r>
      <w:r>
        <w:t xml:space="preserve"> </w:t>
      </w:r>
      <w:r>
        <w:tab/>
        <w:t>Prispevek Cipra za Poročilo o stanju pravne države za leto 2021, str. 13–14.</w:t>
      </w:r>
    </w:p>
  </w:footnote>
  <w:footnote w:id="75">
    <w:p>
      <w:pPr>
        <w:pStyle w:val="FootnoteText"/>
        <w:rPr>
          <w:rFonts w:cs="Times New Roman"/>
        </w:rPr>
      </w:pPr>
      <w:r>
        <w:rPr>
          <w:rStyle w:val="FootnoteReference"/>
          <w:rFonts w:cs="Times New Roman"/>
        </w:rPr>
        <w:footnoteRef/>
      </w:r>
      <w:r>
        <w:t xml:space="preserve"> </w:t>
      </w:r>
      <w:r>
        <w:tab/>
        <w:t xml:space="preserve">Zakon 184 (I)/2017 o pravici dostopa do informacij javnega sektorja. </w:t>
      </w:r>
    </w:p>
  </w:footnote>
  <w:footnote w:id="76">
    <w:p>
      <w:pPr>
        <w:pStyle w:val="FootnoteText"/>
        <w:rPr>
          <w:rFonts w:cs="Times New Roman"/>
        </w:rPr>
      </w:pPr>
      <w:r>
        <w:rPr>
          <w:rStyle w:val="FootnoteReference"/>
          <w:rFonts w:cs="Times New Roman"/>
        </w:rPr>
        <w:footnoteRef/>
      </w:r>
      <w:r>
        <w:t xml:space="preserve"> </w:t>
      </w:r>
      <w:r>
        <w:tab/>
        <w:t>Ciper je od leta 2020 na svetovnem indeksu svobode medijev, ki ga objavlja organizacija Reporters Without Borders (Novinarji brez meja), napredoval še za eno mesto in je zdaj na 26. mestu na svetu ter 13. mestu v EU. Reporters Without Borders, Cyprus</w:t>
      </w:r>
      <w:r>
        <w:rPr>
          <w:rStyle w:val="Hyperlink"/>
        </w:rPr>
        <w:t>.</w:t>
      </w:r>
      <w:r>
        <w:t xml:space="preserve"> Ciper je od leta 2020 na svetovnem indeksu svobode medijev, ki ga objavlja organizacija Reporters Without Borders (Novinarji brez meja), napredoval še za eno mesto in je zdaj na 26. mestu na svetu ter 13. mestu v EU.</w:t>
      </w:r>
    </w:p>
  </w:footnote>
  <w:footnote w:id="77">
    <w:p>
      <w:pPr>
        <w:pStyle w:val="FootnoteText"/>
        <w:rPr>
          <w:rFonts w:cs="Times New Roman"/>
        </w:rPr>
      </w:pPr>
      <w:r>
        <w:rPr>
          <w:rStyle w:val="FootnoteReference"/>
          <w:rFonts w:cs="Times New Roman"/>
        </w:rPr>
        <w:footnoteRef/>
      </w:r>
      <w:r>
        <w:t xml:space="preserve"> </w:t>
      </w:r>
      <w:r>
        <w:tab/>
        <w:t>4. marca 2021.</w:t>
      </w:r>
    </w:p>
  </w:footnote>
  <w:footnote w:id="78">
    <w:p>
      <w:pPr>
        <w:pStyle w:val="FootnoteText"/>
        <w:rPr>
          <w:rFonts w:cs="Times New Roman"/>
        </w:rPr>
      </w:pPr>
      <w:r>
        <w:rPr>
          <w:rStyle w:val="FootnoteReference"/>
          <w:rFonts w:cs="Times New Roman"/>
        </w:rPr>
        <w:footnoteRef/>
      </w:r>
      <w:r>
        <w:t xml:space="preserve"> </w:t>
      </w:r>
      <w:r>
        <w:tab/>
        <w:t>Prispevek Cipra za Poročilo o stanju pravne države za leto 2021, str. 20.</w:t>
      </w:r>
    </w:p>
  </w:footnote>
  <w:footnote w:id="79">
    <w:p>
      <w:pPr>
        <w:pStyle w:val="FootnoteText"/>
        <w:rPr>
          <w:rFonts w:cs="Times New Roman"/>
        </w:rPr>
      </w:pPr>
      <w:r>
        <w:rPr>
          <w:rStyle w:val="FootnoteReference"/>
          <w:rFonts w:cs="Times New Roman"/>
        </w:rPr>
        <w:footnoteRef/>
      </w:r>
      <w:r>
        <w:t xml:space="preserve"> </w:t>
      </w:r>
      <w:r>
        <w:tab/>
        <w:t>Prispevek Cipra za Poročilo o stanju pravne države za leto 2021, str. 19.</w:t>
      </w:r>
    </w:p>
  </w:footnote>
  <w:footnote w:id="80">
    <w:p>
      <w:pPr>
        <w:pStyle w:val="FootnoteText"/>
        <w:rPr>
          <w:rFonts w:cs="Times New Roman"/>
        </w:rPr>
      </w:pPr>
      <w:r>
        <w:rPr>
          <w:rStyle w:val="FootnoteReference"/>
          <w:rFonts w:cs="Times New Roman"/>
        </w:rPr>
        <w:footnoteRef/>
      </w:r>
      <w:r>
        <w:t xml:space="preserve"> </w:t>
      </w:r>
      <w:r>
        <w:tab/>
        <w:t>Osnutek predloga zakona iz leta 2021 o varstvu svobode tiska in delovanju medijev v Republiki Ciper.</w:t>
      </w:r>
    </w:p>
  </w:footnote>
  <w:footnote w:id="81">
    <w:p>
      <w:pPr>
        <w:pStyle w:val="FootnoteText"/>
        <w:rPr>
          <w:rFonts w:cs="Times New Roman"/>
        </w:rPr>
      </w:pPr>
      <w:r>
        <w:rPr>
          <w:rStyle w:val="FootnoteReference"/>
          <w:rFonts w:cs="Times New Roman"/>
        </w:rPr>
        <w:footnoteRef/>
      </w:r>
      <w:r>
        <w:t xml:space="preserve"> </w:t>
      </w:r>
      <w:r>
        <w:tab/>
        <w:t>Komisijo za pritožbe glede medijev so leta 1997 ustanovili združenje založnikov časopisov in periodičnih publikacij, lastniki zasebnih elektronskih medijev in ciprska zveza novinarjev.</w:t>
      </w:r>
    </w:p>
  </w:footnote>
  <w:footnote w:id="82">
    <w:p>
      <w:pPr>
        <w:pStyle w:val="FootnoteText"/>
        <w:rPr>
          <w:rFonts w:cs="Times New Roman"/>
        </w:rPr>
      </w:pPr>
      <w:r>
        <w:rPr>
          <w:rStyle w:val="FootnoteReference"/>
          <w:rFonts w:cs="Times New Roman"/>
        </w:rPr>
        <w:footnoteRef/>
      </w:r>
      <w:r>
        <w:t xml:space="preserve"> </w:t>
      </w:r>
      <w:r>
        <w:tab/>
      </w:r>
      <w:r>
        <w:rPr>
          <w:i/>
          <w:highlight w:val="green"/>
        </w:rPr>
        <w:t>Media Pluralism Monitor 2021</w:t>
      </w:r>
      <w:r>
        <w:t>, str. 10.</w:t>
      </w:r>
    </w:p>
  </w:footnote>
  <w:footnote w:id="83">
    <w:p>
      <w:pPr>
        <w:pStyle w:val="FootnoteText"/>
        <w:rPr>
          <w:rFonts w:cs="Times New Roman"/>
        </w:rPr>
      </w:pPr>
      <w:r>
        <w:rPr>
          <w:rStyle w:val="FootnoteReference"/>
          <w:rFonts w:cs="Times New Roman"/>
        </w:rPr>
        <w:footnoteRef/>
      </w:r>
      <w:r>
        <w:t xml:space="preserve"> </w:t>
      </w:r>
      <w:r>
        <w:tab/>
        <w:t>Predlog zakona iz leta 2021 o varstvu svobode tiska in delovanju medijev v Republiki Ciper.</w:t>
      </w:r>
    </w:p>
  </w:footnote>
  <w:footnote w:id="84">
    <w:p>
      <w:pPr>
        <w:pStyle w:val="FootnoteText"/>
        <w:rPr>
          <w:rFonts w:cs="Times New Roman"/>
        </w:rPr>
      </w:pPr>
      <w:r>
        <w:rPr>
          <w:rStyle w:val="FootnoteReference"/>
          <w:rFonts w:cs="Times New Roman"/>
        </w:rPr>
        <w:footnoteRef/>
      </w:r>
      <w:r>
        <w:t xml:space="preserve"> </w:t>
      </w:r>
      <w:r>
        <w:tab/>
        <w:t>Prispevek Cipra za Poročilo o stanju pravne države za leto 2021, str. 19–20.</w:t>
      </w:r>
    </w:p>
  </w:footnote>
  <w:footnote w:id="85">
    <w:p>
      <w:pPr>
        <w:pStyle w:val="FootnoteText"/>
      </w:pPr>
      <w:r>
        <w:rPr>
          <w:rStyle w:val="FootnoteReference"/>
        </w:rPr>
        <w:footnoteRef/>
      </w:r>
      <w:r>
        <w:t xml:space="preserve"> </w:t>
      </w:r>
      <w:r>
        <w:tab/>
      </w:r>
      <w:r>
        <w:rPr>
          <w:i/>
          <w:highlight w:val="green"/>
        </w:rPr>
        <w:t>Media Pluralism Monitor 2021</w:t>
      </w:r>
      <w:r>
        <w:t>, str. 14.</w:t>
      </w:r>
    </w:p>
  </w:footnote>
  <w:footnote w:id="86">
    <w:p>
      <w:pPr>
        <w:pStyle w:val="FootnoteText"/>
        <w:rPr>
          <w:rFonts w:cs="Times New Roman"/>
        </w:rPr>
      </w:pPr>
      <w:r>
        <w:rPr>
          <w:rStyle w:val="FootnoteReference"/>
          <w:rFonts w:cs="Times New Roman"/>
        </w:rPr>
        <w:footnoteRef/>
      </w:r>
      <w:r>
        <w:t xml:space="preserve"> </w:t>
      </w:r>
      <w:r>
        <w:tab/>
        <w:t>Glej prejšnjo opombo.</w:t>
      </w:r>
    </w:p>
  </w:footnote>
  <w:footnote w:id="87">
    <w:p>
      <w:pPr>
        <w:pStyle w:val="FootnoteText"/>
        <w:rPr>
          <w:rFonts w:cs="Times New Roman"/>
        </w:rPr>
      </w:pPr>
      <w:r>
        <w:rPr>
          <w:rStyle w:val="FootnoteReference"/>
          <w:rFonts w:cs="Times New Roman"/>
        </w:rPr>
        <w:footnoteRef/>
      </w:r>
      <w:r>
        <w:t xml:space="preserve"> </w:t>
      </w:r>
      <w:r>
        <w:tab/>
        <w:t>Prispevek Cipra za Poročilo o stanju pravne države za leto 2021, str. 20–21, in informacije, prejete v okviru obiska Cipra.</w:t>
      </w:r>
    </w:p>
  </w:footnote>
  <w:footnote w:id="88">
    <w:p>
      <w:pPr>
        <w:pStyle w:val="FootnoteText"/>
        <w:rPr>
          <w:rFonts w:cs="Times New Roman"/>
        </w:rPr>
      </w:pPr>
      <w:r>
        <w:rPr>
          <w:rStyle w:val="FootnoteReference"/>
          <w:rFonts w:cs="Times New Roman"/>
        </w:rPr>
        <w:footnoteRef/>
      </w:r>
      <w:r>
        <w:t xml:space="preserve"> </w:t>
      </w:r>
      <w:r>
        <w:tab/>
        <w:t>Prispevek Cipra za Poročilo o stanju pravne države za leto 2021, str. 20–21, in informacije, prejete od urada za tisk in obveščanje v okviru obiska Cipra.</w:t>
      </w:r>
    </w:p>
  </w:footnote>
  <w:footnote w:id="89">
    <w:p>
      <w:pPr>
        <w:pStyle w:val="FootnoteText"/>
        <w:rPr>
          <w:rFonts w:cs="Times New Roman"/>
        </w:rPr>
      </w:pPr>
      <w:r>
        <w:rPr>
          <w:rStyle w:val="FootnoteReference"/>
          <w:rFonts w:cs="Times New Roman"/>
        </w:rPr>
        <w:footnoteRef/>
      </w:r>
      <w:r>
        <w:t xml:space="preserve"> </w:t>
      </w:r>
      <w:r>
        <w:tab/>
        <w:t>Organized Crime and Corruption Reporting Project, „</w:t>
      </w:r>
      <w:r>
        <w:rPr>
          <w:i/>
          <w:highlight w:val="green"/>
        </w:rPr>
        <w:t>Cypriot Journalist Says He is being Spied on and Fears for His Life</w:t>
      </w:r>
      <w:r>
        <w:t>“.</w:t>
      </w:r>
    </w:p>
  </w:footnote>
  <w:footnote w:id="90">
    <w:p>
      <w:pPr>
        <w:pStyle w:val="FootnoteText"/>
        <w:rPr>
          <w:rFonts w:cs="Times New Roman"/>
        </w:rPr>
      </w:pPr>
      <w:r>
        <w:rPr>
          <w:rStyle w:val="FootnoteReference"/>
          <w:rFonts w:cs="Times New Roman"/>
        </w:rPr>
        <w:footnoteRef/>
      </w:r>
      <w:r>
        <w:t xml:space="preserve"> </w:t>
      </w:r>
      <w:r>
        <w:tab/>
        <w:t xml:space="preserve">Reporters Without Borders, </w:t>
      </w:r>
      <w:r>
        <w:rPr>
          <w:i/>
          <w:highlight w:val="green"/>
        </w:rPr>
        <w:t>Cyprus</w:t>
      </w:r>
      <w:r>
        <w:rPr>
          <w:rStyle w:val="Hyperlink"/>
          <w:color w:val="auto"/>
          <w:u w:val="none"/>
        </w:rPr>
        <w:t>.</w:t>
      </w:r>
      <w:r>
        <w:t xml:space="preserve"> </w:t>
      </w:r>
    </w:p>
  </w:footnote>
  <w:footnote w:id="91">
    <w:p>
      <w:pPr>
        <w:pStyle w:val="FootnoteText"/>
        <w:rPr>
          <w:rFonts w:cs="Times New Roman"/>
        </w:rPr>
      </w:pPr>
      <w:r>
        <w:rPr>
          <w:rStyle w:val="FootnoteReference"/>
          <w:rFonts w:cs="Times New Roman"/>
        </w:rPr>
        <w:footnoteRef/>
      </w:r>
      <w:r>
        <w:t xml:space="preserve"> </w:t>
      </w:r>
      <w:r>
        <w:tab/>
        <w:t>Načrtovana je ustanovitev ustavnega sodišča, ki bo od vrhovnega sodišča prevzelo presojo ustavnosti zakonov (glej oddelek I). Prispevek Cipra za Poročilo o stanju pravne države za leto 2021.</w:t>
      </w:r>
    </w:p>
  </w:footnote>
  <w:footnote w:id="92">
    <w:p>
      <w:pPr>
        <w:pStyle w:val="FootnoteText"/>
        <w:rPr>
          <w:rFonts w:cs="Times New Roman"/>
        </w:rPr>
      </w:pPr>
      <w:r>
        <w:rPr>
          <w:rStyle w:val="FootnoteReference"/>
          <w:rFonts w:cs="Times New Roman"/>
        </w:rPr>
        <w:footnoteRef/>
      </w:r>
      <w:r>
        <w:t xml:space="preserve"> </w:t>
      </w:r>
      <w:r>
        <w:tab/>
        <w:t>Prispevek Agencije za temeljne pravice za Poročilo o stanju pravne države za leto 2021, poglavje o stanju pravne države na Cipru, str. 5.</w:t>
      </w:r>
    </w:p>
  </w:footnote>
  <w:footnote w:id="93">
    <w:p>
      <w:pPr>
        <w:pStyle w:val="FootnoteText"/>
        <w:rPr>
          <w:rFonts w:cs="Times New Roman"/>
        </w:rPr>
      </w:pPr>
      <w:r>
        <w:rPr>
          <w:rStyle w:val="FootnoteReference"/>
          <w:rFonts w:cs="Times New Roman"/>
        </w:rPr>
        <w:footnoteRef/>
      </w:r>
      <w:r>
        <w:t xml:space="preserve"> </w:t>
      </w:r>
      <w:r>
        <w:tab/>
      </w:r>
      <w:r>
        <w:rPr>
          <w:i/>
          <w:highlight w:val="green"/>
        </w:rPr>
        <w:t>Poročilo o stanju pravne države za leto 2020, poglavje o stanju pravne države na Cipru</w:t>
      </w:r>
      <w:r>
        <w:t xml:space="preserve">, str. 10, OECD (2019), </w:t>
      </w:r>
      <w:r>
        <w:rPr>
          <w:i/>
          <w:highlight w:val="green"/>
        </w:rPr>
        <w:t>Indicators of Regulatory Policy and Governance – Cyprus</w:t>
      </w:r>
      <w:r>
        <w:t>.</w:t>
      </w:r>
    </w:p>
  </w:footnote>
  <w:footnote w:id="94">
    <w:p>
      <w:pPr>
        <w:pStyle w:val="FootnoteText"/>
        <w:rPr>
          <w:rFonts w:cs="Times New Roman"/>
        </w:rPr>
      </w:pPr>
      <w:r>
        <w:rPr>
          <w:rStyle w:val="FootnoteReference"/>
          <w:rFonts w:cs="Times New Roman"/>
        </w:rPr>
        <w:footnoteRef/>
      </w:r>
      <w:r>
        <w:t xml:space="preserve"> </w:t>
      </w:r>
      <w:r>
        <w:tab/>
        <w:t>Npr. odvetniška zbornica, organizacije civilne družbe. Informacije, prejete v okviru obiska Cipra.</w:t>
      </w:r>
    </w:p>
  </w:footnote>
  <w:footnote w:id="95">
    <w:p>
      <w:pPr>
        <w:pStyle w:val="FootnoteText"/>
        <w:rPr>
          <w:rFonts w:cs="Times New Roman"/>
        </w:rPr>
      </w:pPr>
      <w:r>
        <w:rPr>
          <w:rStyle w:val="FootnoteReference"/>
          <w:rFonts w:cs="Times New Roman"/>
        </w:rPr>
        <w:footnoteRef/>
      </w:r>
      <w:r>
        <w:t xml:space="preserve"> </w:t>
      </w:r>
      <w:r>
        <w:tab/>
        <w:t xml:space="preserve">Informacije, prejete v okviru obiska Cipra. </w:t>
      </w:r>
    </w:p>
  </w:footnote>
  <w:footnote w:id="96">
    <w:p>
      <w:pPr>
        <w:pStyle w:val="FootnoteText"/>
        <w:rPr>
          <w:rFonts w:cs="Times New Roman"/>
        </w:rPr>
      </w:pPr>
      <w:r>
        <w:rPr>
          <w:rStyle w:val="FootnoteReference"/>
          <w:rFonts w:cs="Times New Roman"/>
        </w:rPr>
        <w:footnoteRef/>
      </w:r>
      <w:r>
        <w:t xml:space="preserve"> </w:t>
      </w:r>
      <w:r>
        <w:tab/>
        <w:t>Informacije, prejete od urada generalnega državnega tožilca v okviru obiska Cipra.</w:t>
      </w:r>
    </w:p>
  </w:footnote>
  <w:footnote w:id="97">
    <w:p>
      <w:pPr>
        <w:pStyle w:val="FootnoteText"/>
        <w:rPr>
          <w:rFonts w:cs="Times New Roman"/>
        </w:rPr>
      </w:pPr>
      <w:r>
        <w:rPr>
          <w:rStyle w:val="FootnoteReference"/>
          <w:rFonts w:cs="Times New Roman"/>
        </w:rPr>
        <w:footnoteRef/>
      </w:r>
      <w:r>
        <w:t xml:space="preserve"> </w:t>
      </w:r>
      <w:r>
        <w:tab/>
        <w:t>Pooblastilo je bilo preneseno na ministra za zdravje.</w:t>
      </w:r>
    </w:p>
  </w:footnote>
  <w:footnote w:id="98">
    <w:p>
      <w:pPr>
        <w:pStyle w:val="FootnoteText"/>
        <w:rPr>
          <w:rFonts w:cs="Times New Roman"/>
        </w:rPr>
      </w:pPr>
      <w:r>
        <w:rPr>
          <w:rStyle w:val="FootnoteReference"/>
          <w:rFonts w:cs="Times New Roman"/>
        </w:rPr>
        <w:footnoteRef/>
      </w:r>
      <w:r>
        <w:t xml:space="preserve"> </w:t>
      </w:r>
      <w:r>
        <w:tab/>
        <w:t xml:space="preserve">O zakonodaji o kaznivih dejanjih in kaznih, povezanih s COVID-19, je leta 2020 razpravljal in odločal ciprski parlament. Informacije, prejete v okviru obiska Cipra. </w:t>
      </w:r>
    </w:p>
  </w:footnote>
  <w:footnote w:id="99">
    <w:p>
      <w:pPr>
        <w:pStyle w:val="FootnoteText"/>
        <w:rPr>
          <w:rFonts w:cs="Times New Roman"/>
        </w:rPr>
      </w:pPr>
      <w:r>
        <w:rPr>
          <w:rStyle w:val="FootnoteReference"/>
          <w:rFonts w:cs="Times New Roman"/>
        </w:rPr>
        <w:footnoteRef/>
      </w:r>
      <w:r>
        <w:t xml:space="preserve"> </w:t>
      </w:r>
      <w:r>
        <w:tab/>
        <w:t>Informacije, prejete od ministrstva za pravosodje v okviru obiska Cipra.</w:t>
      </w:r>
    </w:p>
  </w:footnote>
  <w:footnote w:id="100">
    <w:p>
      <w:pPr>
        <w:pStyle w:val="FootnoteText"/>
        <w:rPr>
          <w:rFonts w:cs="Times New Roman"/>
        </w:rPr>
      </w:pPr>
      <w:r>
        <w:rPr>
          <w:rStyle w:val="FootnoteReference"/>
          <w:rFonts w:cs="Times New Roman"/>
        </w:rPr>
        <w:footnoteRef/>
      </w:r>
      <w:r>
        <w:t xml:space="preserve"> </w:t>
      </w:r>
      <w:r>
        <w:tab/>
        <w:t>Prispevek Cipra za Poročilo o stanju pravne države za leto 2021, str. 22–24.</w:t>
      </w:r>
    </w:p>
  </w:footnote>
  <w:footnote w:id="101">
    <w:p>
      <w:pPr>
        <w:pStyle w:val="FootnoteText"/>
        <w:rPr>
          <w:rFonts w:cs="Times New Roman"/>
        </w:rPr>
      </w:pPr>
      <w:r>
        <w:rPr>
          <w:rStyle w:val="FootnoteReference"/>
          <w:rFonts w:cs="Times New Roman"/>
        </w:rPr>
        <w:footnoteRef/>
      </w:r>
      <w:r>
        <w:t xml:space="preserve"> </w:t>
      </w:r>
      <w:r>
        <w:tab/>
        <w:t>Prispevek organizacije ENNHRI za Poročilo o stanju pravne države za leto 2021.</w:t>
      </w:r>
    </w:p>
  </w:footnote>
  <w:footnote w:id="102">
    <w:p>
      <w:pPr>
        <w:pStyle w:val="FootnoteText"/>
        <w:rPr>
          <w:rFonts w:cs="Times New Roman"/>
        </w:rPr>
      </w:pPr>
      <w:r>
        <w:rPr>
          <w:rStyle w:val="FootnoteReference"/>
          <w:rFonts w:cs="Times New Roman"/>
        </w:rPr>
        <w:footnoteRef/>
      </w:r>
      <w:r>
        <w:t xml:space="preserve"> </w:t>
      </w:r>
      <w:r>
        <w:tab/>
      </w:r>
      <w:r>
        <w:rPr>
          <w:i/>
          <w:highlight w:val="green"/>
        </w:rPr>
        <w:t>Poročilo o stanju pravne države za leto 2020, poglavje o stanju pravne države na Cipru</w:t>
      </w:r>
      <w:r>
        <w:t>, str. 11.</w:t>
      </w:r>
    </w:p>
  </w:footnote>
  <w:footnote w:id="103">
    <w:p>
      <w:pPr>
        <w:pStyle w:val="FootnoteText"/>
        <w:rPr>
          <w:rFonts w:cs="Times New Roman"/>
        </w:rPr>
      </w:pPr>
      <w:r>
        <w:rPr>
          <w:rStyle w:val="FootnoteReference"/>
          <w:rFonts w:cs="Times New Roman"/>
        </w:rPr>
        <w:footnoteRef/>
      </w:r>
      <w:r>
        <w:t xml:space="preserve"> </w:t>
      </w:r>
      <w:r>
        <w:tab/>
        <w:t xml:space="preserve">United Nations (2019), </w:t>
      </w:r>
      <w:r>
        <w:rPr>
          <w:i/>
          <w:highlight w:val="green"/>
        </w:rPr>
        <w:t>UPR</w:t>
      </w:r>
      <w:r>
        <w:t xml:space="preserve"> – Ciper je sprejel sedem priporočil, ki jih je prejel v zvezi z zagotavljanjem nacionalne institucije za človekove pravice, skladne s Pariškimi načeli.</w:t>
      </w:r>
    </w:p>
  </w:footnote>
  <w:footnote w:id="104">
    <w:p>
      <w:pPr>
        <w:pStyle w:val="FootnoteText"/>
        <w:rPr>
          <w:rFonts w:cs="Times New Roman"/>
        </w:rPr>
      </w:pPr>
      <w:r>
        <w:rPr>
          <w:rStyle w:val="FootnoteReference"/>
          <w:rFonts w:cs="Times New Roman"/>
        </w:rPr>
        <w:footnoteRef/>
      </w:r>
      <w:r>
        <w:t xml:space="preserve"> </w:t>
      </w:r>
      <w:r>
        <w:tab/>
      </w:r>
      <w:r>
        <w:rPr>
          <w:i/>
          <w:highlight w:val="green"/>
        </w:rPr>
        <w:t>Poročilo o stanju pravne države za leto 2020, poglavje o stanju pravne države na Cipru</w:t>
      </w:r>
      <w:r>
        <w:t>, str. 12.</w:t>
      </w:r>
    </w:p>
  </w:footnote>
  <w:footnote w:id="105">
    <w:p>
      <w:pPr>
        <w:pStyle w:val="FootnoteText"/>
        <w:rPr>
          <w:rFonts w:cs="Times New Roman"/>
        </w:rPr>
      </w:pPr>
      <w:r>
        <w:rPr>
          <w:rStyle w:val="FootnoteReference"/>
          <w:rFonts w:cs="Times New Roman"/>
        </w:rPr>
        <w:footnoteRef/>
      </w:r>
      <w:r>
        <w:t xml:space="preserve"> </w:t>
      </w:r>
      <w:r>
        <w:tab/>
        <w:t>Pismo komisarke za človekove pravice Dunje Mijatović ministru za notranje zadeve Republike Ciper Nikosu Nurisu, 18. marec 2021.</w:t>
      </w:r>
    </w:p>
  </w:footnote>
  <w:footnote w:id="106">
    <w:p>
      <w:pPr>
        <w:pStyle w:val="FootnoteText"/>
        <w:rPr>
          <w:rFonts w:cs="Times New Roman"/>
        </w:rPr>
      </w:pPr>
      <w:r>
        <w:rPr>
          <w:rStyle w:val="FootnoteReference"/>
          <w:rFonts w:cs="Times New Roman"/>
        </w:rPr>
        <w:footnoteRef/>
      </w:r>
      <w:r>
        <w:t xml:space="preserve"> </w:t>
      </w:r>
      <w:r>
        <w:tab/>
        <w:t>Odgovor ministra za notranje zadeve Republike Ciper Nikosa Nurisa komisarki za človekove pravice Dunji Mijatović (2021)</w:t>
      </w:r>
      <w:r>
        <w:rPr>
          <w:rStyle w:val="Hyperlink"/>
          <w:color w:val="auto"/>
          <w:u w:val="none"/>
        </w:rPr>
        <w:t>.</w:t>
      </w:r>
    </w:p>
  </w:footnote>
  <w:footnote w:id="107">
    <w:p>
      <w:pPr>
        <w:pStyle w:val="FootnoteText"/>
        <w:rPr>
          <w:rFonts w:cs="Times New Roman"/>
        </w:rPr>
      </w:pPr>
      <w:r>
        <w:rPr>
          <w:rStyle w:val="FootnoteReference"/>
          <w:rFonts w:cs="Times New Roman"/>
        </w:rPr>
        <w:footnoteRef/>
      </w:r>
      <w:r>
        <w:t xml:space="preserve"> </w:t>
      </w:r>
      <w:r>
        <w:tab/>
        <w:t>Zakon o združenjih in fundacijah ter drugih povezanih zadevah. Prispevek Cipra za Poročilo o stanju pravne države za leto 2020, str. 47.</w:t>
      </w:r>
    </w:p>
  </w:footnote>
  <w:footnote w:id="108">
    <w:p>
      <w:pPr>
        <w:pStyle w:val="FootnoteText"/>
        <w:rPr>
          <w:rFonts w:cs="Times New Roman"/>
        </w:rPr>
      </w:pPr>
      <w:r>
        <w:rPr>
          <w:rStyle w:val="FootnoteReference"/>
          <w:rFonts w:cs="Times New Roman"/>
        </w:rPr>
        <w:footnoteRef/>
      </w:r>
      <w:r>
        <w:t xml:space="preserve"> </w:t>
      </w:r>
      <w:r>
        <w:tab/>
        <w:t xml:space="preserve">Financial Action Task Force (2015), </w:t>
      </w:r>
      <w:r>
        <w:rPr>
          <w:i/>
          <w:highlight w:val="green"/>
        </w:rPr>
        <w:t>Combating the abuse of non-profit organisations (recommendation 8)</w:t>
      </w:r>
      <w:r>
        <w:t>, str. 22–23.</w:t>
      </w:r>
    </w:p>
  </w:footnote>
  <w:footnote w:id="109">
    <w:p>
      <w:pPr>
        <w:pStyle w:val="FootnoteText"/>
        <w:rPr>
          <w:rFonts w:cs="Times New Roman"/>
        </w:rPr>
      </w:pPr>
      <w:r>
        <w:rPr>
          <w:rStyle w:val="FootnoteReference"/>
          <w:rFonts w:cs="Times New Roman"/>
        </w:rPr>
        <w:footnoteRef/>
      </w:r>
      <w:r>
        <w:t xml:space="preserve"> Poleg tega je vlada pojasnila, da so morale vse obstoječe nevladne organizacije spremeniti svoj status in sprejeti druge ukrepe, kot so priprava finančnih izkazov in obveščanje registracijskega organa o članih upravnega odbora do 31. decembra 2019. Od približno 6 500 nevladnih organizacij jih je v določenem roku zahteve izpolnilo 3 500. Tistim nevladnim organizacijam, ki niso izpolnile zahtev do konca leta 2019, je bila ponujena nova možnost za zagotovitev skladnosti do oktobra 2020. Velika večina zadevnih nevladnih organizacij ni sprejela nikakršnih ukrepov za spoštovanje novega roka. V zvezi z zadevami iz leta 2020, v katerih je bila registracija nevladnih organizacij zavrnjena, je bilo vloženih 60 zahtev za upravno revizijo, pri čemer je revizijski organ (generalni sodni tajnik) v 23 zadevah razveljavil odločitev registracijskega organa, da se jih ne registrira. Samo ena nevladna organizacija je konec leta 2020 vložila ugovor zoper upravno odločbo o neregistraciji pri vrhovnem sodišču, zadeva pa še ni bila rešena.</w:t>
      </w:r>
    </w:p>
  </w:footnote>
  <w:footnote w:id="110">
    <w:p>
      <w:pPr>
        <w:pStyle w:val="FootnoteText"/>
        <w:rPr>
          <w:rFonts w:cs="Times New Roman"/>
        </w:rPr>
      </w:pPr>
      <w:r>
        <w:rPr>
          <w:rStyle w:val="FootnoteReference"/>
          <w:rFonts w:cs="Times New Roman"/>
        </w:rPr>
        <w:footnoteRef/>
      </w:r>
      <w:r>
        <w:t xml:space="preserve"> </w:t>
      </w:r>
      <w:r>
        <w:tab/>
        <w:t>Prispevek Agencije za temeljne pravice k Poročilu o stanju pravne države za leto 2021; člen 44 (1) zakona 104(I)/2017, kakor je bil spremenjen z zakonom 118(I</w:t>
      </w:r>
      <w:r>
        <w:rPr>
          <w:shd w:val="clear" w:color="auto" w:fill="FAFAFA"/>
        </w:rPr>
        <w:t>)/2020</w:t>
      </w:r>
      <w:r>
        <w:rPr>
          <w:i/>
          <w:highlight w:val="green"/>
        </w:rPr>
        <w:t xml:space="preserve"> </w:t>
      </w:r>
      <w:r>
        <w:t>„Pet (5) ali več združenj, fundacij, neprofitnih organizacij ali drugih podobnih nepridobitnih pravnih subjektov, bodisi tujih bodisi domačih, ki imajo skupni namen, ob upoštevanju določb prava, ki ureja njihovo delovanje, lahko ustanovi zveze in/ali združenja ter se kot take vpiše v register, ki ga vodi registracijski organ, če je v njihovih statutih določeno, da se za njihove dejavnosti uporablja pravo, ki se uporablja v Republiki“.</w:t>
      </w:r>
    </w:p>
    <w:p>
      <w:pPr>
        <w:pStyle w:val="FootnoteText"/>
        <w:ind w:firstLine="0"/>
        <w:rPr>
          <w:rFonts w:cs="Times New Roman"/>
          <w:i/>
          <w:highlight w:val="green"/>
        </w:rPr>
      </w:pPr>
      <w:r>
        <w:t>„Ob upoštevanju določb Zakona o (ratifikaciji) Evropske konvencije o priznavanju pravne osebnosti mednarodnih nevladnih organizacij iz leta 2003 se take zveze in/ali združenja lahko ustanovijo tudi z</w:t>
      </w:r>
      <w:r>
        <w:rPr>
          <w:i/>
          <w:highlight w:val="green"/>
        </w:rPr>
        <w:t xml:space="preserve"> </w:t>
      </w:r>
      <w:r>
        <w:t>enakovrednimi organizacijami v tujini, če je v njihovih statutih določeno, da je pravo, ki se uporablja za njihovo delovanje v Republiki Ciper, pravo, ki se uporablja v Republiki“.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B252BA"/>
    <w:multiLevelType w:val="hybridMultilevel"/>
    <w:tmpl w:val="1B7C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747AE"/>
    <w:multiLevelType w:val="multilevel"/>
    <w:tmpl w:val="47BAF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7460101"/>
    <w:multiLevelType w:val="hybridMultilevel"/>
    <w:tmpl w:val="5A166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5A7C089B"/>
    <w:multiLevelType w:val="hybridMultilevel"/>
    <w:tmpl w:val="65E0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6042CE"/>
    <w:multiLevelType w:val="hybridMultilevel"/>
    <w:tmpl w:val="75FCDF28"/>
    <w:lvl w:ilvl="0" w:tplc="94A044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6AC01326"/>
    <w:multiLevelType w:val="hybridMultilevel"/>
    <w:tmpl w:val="79D0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477421"/>
    <w:multiLevelType w:val="hybridMultilevel"/>
    <w:tmpl w:val="D2746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2"/>
  </w:num>
  <w:num w:numId="6">
    <w:abstractNumId w:val="11"/>
  </w:num>
  <w:num w:numId="7">
    <w:abstractNumId w:val="8"/>
  </w:num>
  <w:num w:numId="8">
    <w:abstractNumId w:val="9"/>
  </w:num>
  <w:num w:numId="9">
    <w:abstractNumId w:val="12"/>
  </w:num>
  <w:num w:numId="10">
    <w:abstractNumId w:val="6"/>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defaultTabStop w:val="720"/>
  <w:hyphenationZone w:val="425"/>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Spremni dokument"/>
    <w:docVar w:name="LW_CORRIGENDUM" w:val="&lt;UNUSED&gt;"/>
    <w:docVar w:name="LW_COVERPAGE_EXISTS" w:val="True"/>
    <w:docVar w:name="LW_COVERPAGE_GUID" w:val="D67C1045-6076-40B1-96B3-7C5B63A3A059"/>
    <w:docVar w:name="LW_COVERPAGE_TYPE" w:val="1"/>
    <w:docVar w:name="LW_CROSSREFERENCE" w:val="{COM(2021) 700 final} - {SWD(2021) 701 final} - {SWD(2021) 702 final} - {SWD(2021) 703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selj, "/>
    <w:docVar w:name="LW_EMISSION_SUFFIX" w:val=" "/>
    <w:docVar w:name="LW_ID_DOCTYPE_NONLW" w:val="CP-025"/>
    <w:docVar w:name="LW_LANGUE" w:val="SL"/>
    <w:docVar w:name="LW_LEVEL_OF_SENSITIVITY" w:val="Standard treatment"/>
    <w:docVar w:name="LW_NOM.INST" w:val="EVROPSKA KOMISIJA"/>
    <w:docVar w:name="LW_NOM.INST_JOINTDOC" w:val="&lt;EMPTY&gt;"/>
    <w:docVar w:name="LW_OBJETACTEPRINCIPAL.CP" w:val="Poro\u269?ilo o stanju pravne dr\u382?ave za leto 2021_x000d__x000b_Stanje pravne dr\u382?ave v Evropski uniji"/>
    <w:docVar w:name="LW_PART_NBR" w:val="1"/>
    <w:docVar w:name="LW_PART_NBR_TOTAL" w:val="1"/>
    <w:docVar w:name="LW_REF.INST.NEW" w:val="SWD"/>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ro\u269?ilo o stanju pravne dr\u382?ave za leto 2021_x000d__x000d__x000d__x000d__x000d__x000d__x000b_Poglavje o stanju pravne dr\u382?ave na Cipru"/>
    <w:docVar w:name="LW_TYPE.DOC.CP" w:val="DELOVNI DOKUMENT SLU\u381?B KOMISIJE"/>
    <w:docVar w:name="LW_TYPEACTEPRINCIPAL.CP" w:val="K SPORO\u268?ILU KOMISIJE EVROPSKEMU PARLAMENTU, SVETU, EVROPSKEMU EKONOMSKO-SOCIALNEMU ODBORU IN ODBORU REGIJ"/>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sl-SI"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sl-SI"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sl-SI"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sl-SI"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2973">
      <w:bodyDiv w:val="1"/>
      <w:marLeft w:val="0"/>
      <w:marRight w:val="0"/>
      <w:marTop w:val="0"/>
      <w:marBottom w:val="0"/>
      <w:divBdr>
        <w:top w:val="none" w:sz="0" w:space="0" w:color="auto"/>
        <w:left w:val="none" w:sz="0" w:space="0" w:color="auto"/>
        <w:bottom w:val="none" w:sz="0" w:space="0" w:color="auto"/>
        <w:right w:val="none" w:sz="0" w:space="0" w:color="auto"/>
      </w:divBdr>
    </w:div>
    <w:div w:id="265429198">
      <w:bodyDiv w:val="1"/>
      <w:marLeft w:val="0"/>
      <w:marRight w:val="0"/>
      <w:marTop w:val="0"/>
      <w:marBottom w:val="0"/>
      <w:divBdr>
        <w:top w:val="none" w:sz="0" w:space="0" w:color="auto"/>
        <w:left w:val="none" w:sz="0" w:space="0" w:color="auto"/>
        <w:bottom w:val="none" w:sz="0" w:space="0" w:color="auto"/>
        <w:right w:val="none" w:sz="0" w:space="0" w:color="auto"/>
      </w:divBdr>
    </w:div>
    <w:div w:id="432287455">
      <w:bodyDiv w:val="1"/>
      <w:marLeft w:val="0"/>
      <w:marRight w:val="0"/>
      <w:marTop w:val="0"/>
      <w:marBottom w:val="0"/>
      <w:divBdr>
        <w:top w:val="none" w:sz="0" w:space="0" w:color="auto"/>
        <w:left w:val="none" w:sz="0" w:space="0" w:color="auto"/>
        <w:bottom w:val="none" w:sz="0" w:space="0" w:color="auto"/>
        <w:right w:val="none" w:sz="0" w:space="0" w:color="auto"/>
      </w:divBdr>
    </w:div>
    <w:div w:id="763839180">
      <w:bodyDiv w:val="1"/>
      <w:marLeft w:val="0"/>
      <w:marRight w:val="0"/>
      <w:marTop w:val="0"/>
      <w:marBottom w:val="0"/>
      <w:divBdr>
        <w:top w:val="none" w:sz="0" w:space="0" w:color="auto"/>
        <w:left w:val="none" w:sz="0" w:space="0" w:color="auto"/>
        <w:bottom w:val="none" w:sz="0" w:space="0" w:color="auto"/>
        <w:right w:val="none" w:sz="0" w:space="0" w:color="auto"/>
      </w:divBdr>
    </w:div>
    <w:div w:id="823592761">
      <w:bodyDiv w:val="1"/>
      <w:marLeft w:val="0"/>
      <w:marRight w:val="0"/>
      <w:marTop w:val="0"/>
      <w:marBottom w:val="0"/>
      <w:divBdr>
        <w:top w:val="none" w:sz="0" w:space="0" w:color="auto"/>
        <w:left w:val="none" w:sz="0" w:space="0" w:color="auto"/>
        <w:bottom w:val="none" w:sz="0" w:space="0" w:color="auto"/>
        <w:right w:val="none" w:sz="0" w:space="0" w:color="auto"/>
      </w:divBdr>
    </w:div>
    <w:div w:id="914582998">
      <w:bodyDiv w:val="1"/>
      <w:marLeft w:val="0"/>
      <w:marRight w:val="0"/>
      <w:marTop w:val="0"/>
      <w:marBottom w:val="0"/>
      <w:divBdr>
        <w:top w:val="none" w:sz="0" w:space="0" w:color="auto"/>
        <w:left w:val="none" w:sz="0" w:space="0" w:color="auto"/>
        <w:bottom w:val="none" w:sz="0" w:space="0" w:color="auto"/>
        <w:right w:val="none" w:sz="0" w:space="0" w:color="auto"/>
      </w:divBdr>
    </w:div>
    <w:div w:id="992683935">
      <w:bodyDiv w:val="1"/>
      <w:marLeft w:val="0"/>
      <w:marRight w:val="0"/>
      <w:marTop w:val="0"/>
      <w:marBottom w:val="0"/>
      <w:divBdr>
        <w:top w:val="none" w:sz="0" w:space="0" w:color="auto"/>
        <w:left w:val="none" w:sz="0" w:space="0" w:color="auto"/>
        <w:bottom w:val="none" w:sz="0" w:space="0" w:color="auto"/>
        <w:right w:val="none" w:sz="0" w:space="0" w:color="auto"/>
      </w:divBdr>
    </w:div>
    <w:div w:id="1057359516">
      <w:bodyDiv w:val="1"/>
      <w:marLeft w:val="0"/>
      <w:marRight w:val="0"/>
      <w:marTop w:val="0"/>
      <w:marBottom w:val="0"/>
      <w:divBdr>
        <w:top w:val="none" w:sz="0" w:space="0" w:color="auto"/>
        <w:left w:val="none" w:sz="0" w:space="0" w:color="auto"/>
        <w:bottom w:val="none" w:sz="0" w:space="0" w:color="auto"/>
        <w:right w:val="none" w:sz="0" w:space="0" w:color="auto"/>
      </w:divBdr>
    </w:div>
    <w:div w:id="1293252106">
      <w:bodyDiv w:val="1"/>
      <w:marLeft w:val="0"/>
      <w:marRight w:val="0"/>
      <w:marTop w:val="0"/>
      <w:marBottom w:val="0"/>
      <w:divBdr>
        <w:top w:val="none" w:sz="0" w:space="0" w:color="auto"/>
        <w:left w:val="none" w:sz="0" w:space="0" w:color="auto"/>
        <w:bottom w:val="none" w:sz="0" w:space="0" w:color="auto"/>
        <w:right w:val="none" w:sz="0" w:space="0" w:color="auto"/>
      </w:divBdr>
    </w:div>
    <w:div w:id="1351101209">
      <w:bodyDiv w:val="1"/>
      <w:marLeft w:val="0"/>
      <w:marRight w:val="0"/>
      <w:marTop w:val="0"/>
      <w:marBottom w:val="0"/>
      <w:divBdr>
        <w:top w:val="none" w:sz="0" w:space="0" w:color="auto"/>
        <w:left w:val="none" w:sz="0" w:space="0" w:color="auto"/>
        <w:bottom w:val="none" w:sz="0" w:space="0" w:color="auto"/>
        <w:right w:val="none" w:sz="0" w:space="0" w:color="auto"/>
      </w:divBdr>
    </w:div>
    <w:div w:id="1505166267">
      <w:bodyDiv w:val="1"/>
      <w:marLeft w:val="0"/>
      <w:marRight w:val="0"/>
      <w:marTop w:val="0"/>
      <w:marBottom w:val="0"/>
      <w:divBdr>
        <w:top w:val="none" w:sz="0" w:space="0" w:color="auto"/>
        <w:left w:val="none" w:sz="0" w:space="0" w:color="auto"/>
        <w:bottom w:val="none" w:sz="0" w:space="0" w:color="auto"/>
        <w:right w:val="none" w:sz="0" w:space="0" w:color="auto"/>
      </w:divBdr>
    </w:div>
    <w:div w:id="1699895586">
      <w:bodyDiv w:val="1"/>
      <w:marLeft w:val="0"/>
      <w:marRight w:val="0"/>
      <w:marTop w:val="0"/>
      <w:marBottom w:val="0"/>
      <w:divBdr>
        <w:top w:val="none" w:sz="0" w:space="0" w:color="auto"/>
        <w:left w:val="none" w:sz="0" w:space="0" w:color="auto"/>
        <w:bottom w:val="none" w:sz="0" w:space="0" w:color="auto"/>
        <w:right w:val="none" w:sz="0" w:space="0" w:color="auto"/>
      </w:divBdr>
    </w:div>
    <w:div w:id="1766345313">
      <w:bodyDiv w:val="1"/>
      <w:marLeft w:val="0"/>
      <w:marRight w:val="0"/>
      <w:marTop w:val="0"/>
      <w:marBottom w:val="0"/>
      <w:divBdr>
        <w:top w:val="none" w:sz="0" w:space="0" w:color="auto"/>
        <w:left w:val="none" w:sz="0" w:space="0" w:color="auto"/>
        <w:bottom w:val="none" w:sz="0" w:space="0" w:color="auto"/>
        <w:right w:val="none" w:sz="0" w:space="0" w:color="auto"/>
      </w:divBdr>
    </w:div>
    <w:div w:id="1848444504">
      <w:bodyDiv w:val="1"/>
      <w:marLeft w:val="0"/>
      <w:marRight w:val="0"/>
      <w:marTop w:val="0"/>
      <w:marBottom w:val="0"/>
      <w:divBdr>
        <w:top w:val="none" w:sz="0" w:space="0" w:color="auto"/>
        <w:left w:val="none" w:sz="0" w:space="0" w:color="auto"/>
        <w:bottom w:val="none" w:sz="0" w:space="0" w:color="auto"/>
        <w:right w:val="none" w:sz="0" w:space="0" w:color="auto"/>
      </w:divBdr>
    </w:div>
    <w:div w:id="1905799649">
      <w:bodyDiv w:val="1"/>
      <w:marLeft w:val="0"/>
      <w:marRight w:val="0"/>
      <w:marTop w:val="0"/>
      <w:marBottom w:val="0"/>
      <w:divBdr>
        <w:top w:val="none" w:sz="0" w:space="0" w:color="auto"/>
        <w:left w:val="none" w:sz="0" w:space="0" w:color="auto"/>
        <w:bottom w:val="none" w:sz="0" w:space="0" w:color="auto"/>
        <w:right w:val="none" w:sz="0" w:space="0" w:color="auto"/>
      </w:divBdr>
    </w:div>
    <w:div w:id="1958831906">
      <w:bodyDiv w:val="1"/>
      <w:marLeft w:val="0"/>
      <w:marRight w:val="0"/>
      <w:marTop w:val="0"/>
      <w:marBottom w:val="0"/>
      <w:divBdr>
        <w:top w:val="none" w:sz="0" w:space="0" w:color="auto"/>
        <w:left w:val="none" w:sz="0" w:space="0" w:color="auto"/>
        <w:bottom w:val="none" w:sz="0" w:space="0" w:color="auto"/>
        <w:right w:val="none" w:sz="0" w:space="0" w:color="auto"/>
      </w:divBdr>
    </w:div>
    <w:div w:id="21359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pio.gov.cy/assets/pdf/newsroom/2021/04/Interim%20Report%2027%2004%202021(pdf).pdf" TargetMode="External"/><Relationship Id="rId26" Type="http://schemas.openxmlformats.org/officeDocument/2006/relationships/hyperlink" Target="https://exandas.presidency.gov.cy/" TargetMode="External"/><Relationship Id="rId3" Type="http://schemas.openxmlformats.org/officeDocument/2006/relationships/styles" Target="styles.xml"/><Relationship Id="rId21" Type="http://schemas.openxmlformats.org/officeDocument/2006/relationships/hyperlink" Target="https://rm.coe.int/fourth-evaluation-round-corruption-prevention-in-respect-of-members-of/1680a06389"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pio.gov.cy/assets/pdf/newsroom/2021/04/Interim%20Report%2027%2004%202021(pdf).pdf" TargetMode="External"/><Relationship Id="rId25" Type="http://schemas.openxmlformats.org/officeDocument/2006/relationships/hyperlink" Target="https://rm.coe.int/letter-to-mr-nicos-nouris-minister-of-interior-of-cyprus-by-ms-dunja-m/1680a1c09b"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www.fatf-gafi.org/media/fatf/documents/reports/BPP-combating-abuse-non-profit-organisations.pdf" TargetMode="External"/><Relationship Id="rId29" Type="http://schemas.openxmlformats.org/officeDocument/2006/relationships/hyperlink" Target="https://ec.europa.eu/commission/presscorner/detail/sl/inf_21_27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occrp.org/en/daily/12631-cypriot-journalist-says-he-is-being-spied-on-and-fears-for-his-life"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rm.coe.int/reply-of-mr-nicos-nouris-minister-of-the-interiorof-cyprus-to-the-lett/1680a1cb15" TargetMode="External"/><Relationship Id="rId28" Type="http://schemas.openxmlformats.org/officeDocument/2006/relationships/hyperlink" Target="https://www.sigmalive.com/news/politics/795517/ekthesi-politografiseonto-53-ektos-nomikou-plaisioupeitharxikes-efthynes" TargetMode="External"/><Relationship Id="rId36" Type="http://schemas.openxmlformats.org/officeDocument/2006/relationships/fontTable" Target="fontTable.xml"/><Relationship Id="Rf9fc4da9052744be"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ec.europa.eu/commission/presscorner/detail/en/ip_20_1925"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knews.kathimerini.com.cy/en/news/interim-report-on-golden-passports-delivered" TargetMode="External"/><Relationship Id="rId27" Type="http://schemas.openxmlformats.org/officeDocument/2006/relationships/hyperlink" Target="https://rsf.org/en/cyprus" TargetMode="External"/><Relationship Id="rId30" Type="http://schemas.openxmlformats.org/officeDocument/2006/relationships/header" Target="header4.xml"/><Relationship Id="rId35" Type="http://schemas.openxmlformats.org/officeDocument/2006/relationships/footer" Target="footer6.xml"/><Relationship Id="R3d73e612b8cf4a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FD341-591E-4632-AF42-70D8427F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5106</Words>
  <Characters>32276</Characters>
  <Application>Microsoft Office Word</Application>
  <DocSecurity>0</DocSecurity>
  <Lines>496</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2021-08-25T10:54:00Z</dcterms:created>
  <dcterms:modified xsi:type="dcterms:W3CDTF">2021-09-13T17:43:00Z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