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2A0BB7D-5888-49F9-B52B-FA7F0181A4CA" style="width:455.15pt;height:559.1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Sammanfattning</w:t>
      </w:r>
    </w:p>
    <w:p>
      <w:pPr>
        <w:pBdr>
          <w:top w:val="single" w:sz="4" w:space="1" w:color="auto"/>
          <w:left w:val="single" w:sz="4" w:space="4" w:color="auto"/>
          <w:bottom w:val="single" w:sz="4" w:space="7" w:color="auto"/>
          <w:right w:val="single" w:sz="4" w:space="4" w:color="auto"/>
        </w:pBdr>
        <w:spacing w:after="0"/>
        <w:rPr>
          <w:rFonts w:eastAsia="Times New Roman" w:cs="Times New Roman"/>
          <w:noProof/>
        </w:rPr>
      </w:pPr>
      <w:r>
        <w:rPr>
          <w:noProof/>
        </w:rPr>
        <w:t xml:space="preserve">Strukturreformen av det cypriotiska rättssystemet fortsätter men har försenats. Lagförslag om att dela upp den nuvarande högsta domstolen i en högsta konstitutionell domstol och en överdomstol samt om utnämningsförfaranden för domare och ordförande i dessa två nya domstolar är under beredning i parlamentet. Dessa utnämningar beslutas av landets president efter icke bindande rådgivning av det rådgivande domarrådet. Det är viktigt att denna reform säkerställer domstolsväsendets oberoende i enlighet med EU-rätten och att Europarådets rekommendationer beaktas. Inrättandet av en appellationsdomstol diskuteras också i parlamentet. Man håller också på att inrätta specialiserade domstolar och att omstrukturera domstolarna. Nya civilprocessrättsliga regler har godkänts i syfte att påskynda de rättsliga förfarandena. Lagrådets kapacitet fortsätter att stärkas, inklusive separationen av funktioner och rekryteringsförfaranden. Ytterligare reformer syftar till att övervinna stora utmaningar för rättssystemets effektivitet och kvalitet, i synnerhet avseende digitalisering. Civilrättsliga, handelsrättsliga och administrativa domstolsförfaranden är fortfarande mycket långdragna. </w:t>
      </w:r>
    </w:p>
    <w:p>
      <w:pPr>
        <w:pBdr>
          <w:top w:val="single" w:sz="4" w:space="1" w:color="auto"/>
          <w:left w:val="single" w:sz="4" w:space="4" w:color="auto"/>
          <w:bottom w:val="single" w:sz="4" w:space="7" w:color="auto"/>
          <w:right w:val="single" w:sz="4" w:space="4" w:color="auto"/>
        </w:pBdr>
        <w:spacing w:after="0"/>
        <w:rPr>
          <w:rFonts w:eastAsia="Times New Roman" w:cs="Times New Roman"/>
          <w:noProof/>
          <w:szCs w:val="20"/>
          <w:lang w:eastAsia="en-GB"/>
        </w:rPr>
      </w:pPr>
    </w:p>
    <w:p>
      <w:pPr>
        <w:pBdr>
          <w:top w:val="single" w:sz="4" w:space="1" w:color="auto"/>
          <w:left w:val="single" w:sz="4" w:space="4" w:color="auto"/>
          <w:bottom w:val="single" w:sz="4" w:space="7" w:color="auto"/>
          <w:right w:val="single" w:sz="4" w:space="4" w:color="auto"/>
        </w:pBdr>
        <w:spacing w:after="0"/>
        <w:rPr>
          <w:rFonts w:eastAsia="Times New Roman" w:cs="Times New Roman"/>
          <w:bCs/>
          <w:noProof/>
          <w:szCs w:val="20"/>
        </w:rPr>
      </w:pPr>
      <w:r>
        <w:rPr>
          <w:noProof/>
        </w:rPr>
        <w:t xml:space="preserve">Cypern fortsätter att förbättra den rättsliga ramen för korruptionsbekämpning, även om ett antal viktiga reformer ännu inte är avslutade, t.ex. inrättandet av en korruptionsbekämpningsbyrå, skydd av visselblåsare, reglering av lobbyverksamhet och avslöjandet av tillgångar för valda tjänstemän. Byrån för öppenhet och korruptionsbekämpning har fått i uppgift att övervaka genomförandet av en ny korruptionsbekämpningsplan för 2021–2026. Utredningarna av korruptionsfall fortsatte, och manipulering av idrottstävlingar framstod som ett särskilt riskområde, även om prövningar av korruptionsfall fortfarande är sällsynta. Statsåklagarämbetet fick nya resurser och genom en ändring av strafflagen ökades sanktionerna för brottet missbruk av tjänsteställning, vilket medförde möjligheten att använda särskilda undersökningstekniker vid utredningar av detta brott. Regeringen lanserade en undersökning av investerings- och medborgarskapsprogrammen för att reagera på anklagelser om korruption av utländska personer och högt uppsatta tjänstemän. En ny uppförandekod inriktad på korruption syftar till att förbättra integriteten i poliskåren. Under covid-19 pandemin åtföljdes åtgärderna för ekonomiska lättnader av åtgärder som syftade till att dämpa risken för bedrägeri och korruption. </w:t>
      </w:r>
    </w:p>
    <w:p>
      <w:pPr>
        <w:pBdr>
          <w:top w:val="single" w:sz="4" w:space="1" w:color="auto"/>
          <w:left w:val="single" w:sz="4" w:space="4" w:color="auto"/>
          <w:bottom w:val="single" w:sz="4" w:space="7" w:color="auto"/>
          <w:right w:val="single" w:sz="4" w:space="4" w:color="auto"/>
        </w:pBdr>
        <w:spacing w:after="0"/>
        <w:rPr>
          <w:rFonts w:eastAsia="Times New Roman" w:cs="Times New Roman"/>
          <w:noProof/>
          <w:szCs w:val="20"/>
          <w:lang w:eastAsia="en-GB"/>
        </w:rPr>
      </w:pPr>
    </w:p>
    <w:p>
      <w:pPr>
        <w:pBdr>
          <w:top w:val="single" w:sz="4" w:space="1" w:color="auto"/>
          <w:left w:val="single" w:sz="4" w:space="4" w:color="auto"/>
          <w:bottom w:val="single" w:sz="4" w:space="7" w:color="auto"/>
          <w:right w:val="single" w:sz="4" w:space="4" w:color="auto"/>
        </w:pBdr>
        <w:rPr>
          <w:rFonts w:eastAsia="Times New Roman" w:cs="Times New Roman"/>
          <w:noProof/>
        </w:rPr>
      </w:pPr>
      <w:r>
        <w:rPr>
          <w:noProof/>
        </w:rPr>
        <w:t xml:space="preserve">I Cypern skyddas yttrandefriheten och rätten till tillgång till information rättsligt och formellt i författningen. Sekundärlagstiftning säkerställer uttryckligen journalisters rätt att skydda sina källor och främjar mediemångfald inom radio- och tv-sektorerna. Sedan december 2020 är det sekundärrätten som fastställer ramarna och villkoren för allmänhetens tillgång till information samt inrättar kommissariatet för information. Lagförslag som planeras för antagande under andra halvåret 2021 är inriktade på att stärka Cyperns radio- och tv-myndighetens oberoende, genom att skärpa garantierna för yttrandefrihet och insyn i ägandet. </w:t>
      </w:r>
    </w:p>
    <w:p>
      <w:pPr>
        <w:pBdr>
          <w:top w:val="single" w:sz="4" w:space="1" w:color="auto"/>
          <w:left w:val="single" w:sz="4" w:space="4" w:color="auto"/>
          <w:bottom w:val="single" w:sz="4" w:space="7" w:color="auto"/>
          <w:right w:val="single" w:sz="4" w:space="4" w:color="auto"/>
        </w:pBdr>
        <w:rPr>
          <w:rFonts w:cs="Times New Roman"/>
          <w:bCs/>
          <w:noProof/>
        </w:rPr>
      </w:pPr>
      <w:r>
        <w:rPr>
          <w:noProof/>
        </w:rPr>
        <w:t xml:space="preserve">Systemet med kontroller och motvikter omfattar en samrådsprocess inom ramen för ett projekt för bättre lagstiftning. Dock är samrådsprocessen om lagstiftningsförslag begränsad till diskussioner inom representanthuset och farhågor finns om allmänhetens tillgång till förslagen. Det undantagstillstånd som fastställs i författningen utlystes inte under pandemin. Restriktioner infördes emellertid för medborgare och företag enligt karantänlagen, som ger ministerrådet befogenhet att utfärda dekret om covid-19-pandemin. För vissa av det civila samhällets organisationer kvarstår utmaningar när det gäller registreringsramen, vilket konstateras i 2020 års rapport om rättsstatsprincipen, men förbättringar noteras i den nya lagstiftningen, vilket möjliggör en enklare registrering av sammanslutningar av icke-statliga organisationer. </w:t>
      </w:r>
    </w:p>
    <w:p>
      <w:pPr>
        <w:pStyle w:val="Heading1"/>
        <w:numPr>
          <w:ilvl w:val="0"/>
          <w:numId w:val="8"/>
        </w:numPr>
        <w:rPr>
          <w:noProof/>
        </w:rPr>
      </w:pPr>
      <w:r>
        <w:rPr>
          <w:noProof/>
        </w:rPr>
        <w:t xml:space="preserve">Domstolsväsende </w:t>
      </w:r>
    </w:p>
    <w:p>
      <w:pPr>
        <w:rPr>
          <w:rFonts w:eastAsia="Times New Roman" w:cs="Times New Roman"/>
          <w:noProof/>
          <w:szCs w:val="20"/>
        </w:rPr>
      </w:pPr>
      <w:r>
        <w:rPr>
          <w:noProof/>
        </w:rPr>
        <w:t>Domstolsväsendet</w:t>
      </w:r>
      <w:r>
        <w:rPr>
          <w:rStyle w:val="FootnoteReference"/>
          <w:rFonts w:eastAsia="Times New Roman" w:cs="Times New Roman"/>
          <w:noProof/>
          <w:szCs w:val="20"/>
          <w:lang w:eastAsia="fr-FR"/>
        </w:rPr>
        <w:footnoteReference w:id="2"/>
      </w:r>
      <w:r>
        <w:rPr>
          <w:noProof/>
        </w:rPr>
        <w:t xml:space="preserve"> består av sex distriktsdomstolar, sex brottmålsdomstolar</w:t>
      </w:r>
      <w:r>
        <w:rPr>
          <w:rStyle w:val="FootnoteReference"/>
          <w:rFonts w:eastAsia="Times New Roman" w:cs="Times New Roman"/>
          <w:noProof/>
          <w:szCs w:val="20"/>
          <w:lang w:eastAsia="fr-FR"/>
        </w:rPr>
        <w:footnoteReference w:id="3"/>
      </w:r>
      <w:r>
        <w:rPr>
          <w:noProof/>
        </w:rPr>
        <w:t>, förvaltningsdomstolen</w:t>
      </w:r>
      <w:r>
        <w:rPr>
          <w:rStyle w:val="FootnoteReference"/>
          <w:rFonts w:eastAsia="Times New Roman" w:cs="Times New Roman"/>
          <w:noProof/>
          <w:szCs w:val="20"/>
          <w:lang w:eastAsia="fr-FR"/>
        </w:rPr>
        <w:footnoteReference w:id="4"/>
      </w:r>
      <w:r>
        <w:rPr>
          <w:noProof/>
        </w:rPr>
        <w:t>, förvaltningsdomstolen för internationellt skydd</w:t>
      </w:r>
      <w:r>
        <w:rPr>
          <w:rStyle w:val="FootnoteReference"/>
          <w:rFonts w:eastAsia="Times New Roman" w:cs="Times New Roman"/>
          <w:noProof/>
          <w:szCs w:val="20"/>
          <w:lang w:eastAsia="fr-FR"/>
        </w:rPr>
        <w:footnoteReference w:id="5"/>
      </w:r>
      <w:r>
        <w:rPr>
          <w:noProof/>
        </w:rPr>
        <w:t xml:space="preserve"> samt högsta domstolen</w:t>
      </w:r>
      <w:r>
        <w:rPr>
          <w:rStyle w:val="FootnoteReference"/>
          <w:rFonts w:eastAsia="Times New Roman" w:cs="Times New Roman"/>
          <w:noProof/>
          <w:szCs w:val="20"/>
          <w:lang w:eastAsia="fr-FR"/>
        </w:rPr>
        <w:footnoteReference w:id="6"/>
      </w:r>
      <w:r>
        <w:rPr>
          <w:noProof/>
        </w:rPr>
        <w:t>. Inrättandet av en författningsdomstol pågår. Utöver detta finns även familjedomstolar, hyresdomstolar, arbetsdomstolar och en militärdomstol</w:t>
      </w:r>
      <w:r>
        <w:rPr>
          <w:rStyle w:val="FootnoteReference"/>
          <w:rFonts w:eastAsia="Times New Roman" w:cs="Times New Roman"/>
          <w:noProof/>
          <w:szCs w:val="20"/>
          <w:lang w:eastAsia="fr-FR"/>
        </w:rPr>
        <w:footnoteReference w:id="7"/>
      </w:r>
      <w:r>
        <w:rPr>
          <w:noProof/>
        </w:rPr>
        <w:t>. Det finns 113 domare som tjänstgör i förstainstansdomstolarna och 13 domare i högsta domstolen. Domare vid högsta domstolen utses av landets president bland domarkåren och på rekommendation av högsta domstolen, som presidenten inte behöver följa. Enligt etablerad praxis följer dock presidenten högsta domstolens rekommendationer, som innebär att den domare som varit i tjänst längst föreslås för respektive ledig befattning. Samma praxis gäller för utnämningen av högsta domstolens ordförande, där presidenten alltid följer rekommendationen att utse den äldsta domaren i tjänst i den domstolen</w:t>
      </w:r>
      <w:r>
        <w:rPr>
          <w:rStyle w:val="FootnoteReference"/>
          <w:rFonts w:eastAsia="Times New Roman" w:cs="Times New Roman"/>
          <w:noProof/>
          <w:szCs w:val="20"/>
          <w:lang w:eastAsia="fr-FR"/>
        </w:rPr>
        <w:footnoteReference w:id="8"/>
      </w:r>
      <w:r>
        <w:rPr>
          <w:noProof/>
        </w:rPr>
        <w:t>. Domare i första instans utses, förflyttas och befordras av högsta domstolsrådet, som består av alla ledamöter vid högsta domstolen (ordföranden och tolv domare)</w:t>
      </w:r>
      <w:r>
        <w:rPr>
          <w:rStyle w:val="FootnoteReference"/>
          <w:rFonts w:eastAsia="Times New Roman" w:cs="Times New Roman"/>
          <w:noProof/>
          <w:szCs w:val="20"/>
          <w:lang w:eastAsia="fr-FR"/>
        </w:rPr>
        <w:footnoteReference w:id="9"/>
      </w:r>
      <w:r>
        <w:rPr>
          <w:noProof/>
        </w:rPr>
        <w:t>. Åklagarmyndigheten är oberoende och inrättad under Cyperns statsåklagare. Statsåklagaren är ordförande för republikens lagråd, som är en oberoende tjänst som inte är lyder under något ministerium</w:t>
      </w:r>
      <w:r>
        <w:rPr>
          <w:rStyle w:val="FootnoteReference"/>
          <w:rFonts w:eastAsia="Times New Roman" w:cs="Times New Roman"/>
          <w:noProof/>
          <w:szCs w:val="20"/>
          <w:lang w:eastAsia="fr-FR"/>
        </w:rPr>
        <w:footnoteReference w:id="10"/>
      </w:r>
      <w:r>
        <w:rPr>
          <w:noProof/>
        </w:rPr>
        <w:t>. Statsåklagaren har befogenhet att, på eget gottfinnande och i allmänhetens intresse, inleda, handlägga, överta och fortsätta eller avbryta förfaranden med anledning av brott mot någon person (juridisk eller fysisk) i landet. Statsåklagaren är dessutom juridisk rådgivare åt republiken, presidenten, ministerrådet och var och en av ministrarna. Statsåklagaren fullgör dessutom alla övriga funktioner och uppgifter som åläggs honom genom författningen eller enligt lag</w:t>
      </w:r>
      <w:r>
        <w:rPr>
          <w:rStyle w:val="FootnoteReference"/>
          <w:rFonts w:eastAsia="Times New Roman" w:cs="Times New Roman"/>
          <w:noProof/>
          <w:szCs w:val="20"/>
          <w:lang w:eastAsia="fr-FR"/>
        </w:rPr>
        <w:footnoteReference w:id="11"/>
      </w:r>
      <w:r>
        <w:rPr>
          <w:noProof/>
        </w:rPr>
        <w:t>. Cypern deltar i den europeiska åklagarmyndigheten. Det oberoende nationella advokatsamfundet har regelverk och disciplinära befogenheter för sina medlemmar.</w:t>
      </w:r>
    </w:p>
    <w:p>
      <w:pPr>
        <w:pStyle w:val="Heading2"/>
        <w:rPr>
          <w:noProof/>
        </w:rPr>
      </w:pPr>
      <w:r>
        <w:rPr>
          <w:noProof/>
        </w:rPr>
        <w:t xml:space="preserve">Oberoende </w:t>
      </w:r>
    </w:p>
    <w:p>
      <w:pPr>
        <w:rPr>
          <w:rFonts w:eastAsia="Times New Roman" w:cs="Times New Roman"/>
          <w:b/>
          <w:bCs/>
          <w:noProof/>
        </w:rPr>
      </w:pPr>
      <w:r>
        <w:rPr>
          <w:b/>
          <w:bCs/>
          <w:noProof/>
        </w:rPr>
        <w:t>Domstolsväsendets oberoende upplevs vara på en genomsnittlig nivå.</w:t>
      </w:r>
      <w:r>
        <w:rPr>
          <w:noProof/>
        </w:rPr>
        <w:t xml:space="preserve"> Bland allmänheten anser 48 % att domstolsväsendets oberoende är ganska eller mycket bra, en siffra som har minskat med sju procentenheter 2021 jämfört med 2020. Motsvarande siffra bland företag är 45 %, vilket motsvarar en minskning med tre procentenheter sedan 2020</w:t>
      </w:r>
      <w:r>
        <w:rPr>
          <w:rStyle w:val="FootnoteReference"/>
          <w:rFonts w:eastAsia="Times New Roman" w:cs="Times New Roman"/>
          <w:noProof/>
          <w:lang w:eastAsia="fr-FR"/>
        </w:rPr>
        <w:footnoteReference w:id="12"/>
      </w:r>
      <w:r>
        <w:rPr>
          <w:noProof/>
        </w:rPr>
        <w:t>. Denna nivå av upplevt oberoende av domstolsväsendet</w:t>
      </w:r>
      <w:r>
        <w:rPr>
          <w:rStyle w:val="FootnoteReference"/>
          <w:rFonts w:eastAsia="Times New Roman" w:cs="Times New Roman"/>
          <w:noProof/>
          <w:lang w:eastAsia="fr-FR"/>
        </w:rPr>
        <w:footnoteReference w:id="13"/>
      </w:r>
      <w:r>
        <w:rPr>
          <w:noProof/>
        </w:rPr>
        <w:t xml:space="preserve"> har varit genomsnittlig sedan 2016.</w:t>
      </w:r>
    </w:p>
    <w:p>
      <w:pPr>
        <w:autoSpaceDE w:val="0"/>
        <w:autoSpaceDN w:val="0"/>
        <w:spacing w:before="40" w:after="40"/>
        <w:rPr>
          <w:rFonts w:eastAsia="Times New Roman"/>
          <w:noProof/>
          <w:szCs w:val="20"/>
        </w:rPr>
      </w:pPr>
      <w:r>
        <w:rPr>
          <w:b/>
          <w:noProof/>
        </w:rPr>
        <w:t>Uppdelningen av den nuvarande högsta domstolen i en högsta författningsdomstol och en överdomstol är under beredning i parlamentet</w:t>
      </w:r>
      <w:r>
        <w:rPr>
          <w:rStyle w:val="FootnoteReference"/>
          <w:rFonts w:cs="Times New Roman"/>
          <w:b/>
          <w:bCs/>
          <w:noProof/>
        </w:rPr>
        <w:footnoteReference w:id="14"/>
      </w:r>
      <w:r>
        <w:rPr>
          <w:b/>
          <w:noProof/>
        </w:rPr>
        <w:t>.</w:t>
      </w:r>
      <w:r>
        <w:rPr>
          <w:b/>
          <w:bCs/>
          <w:noProof/>
        </w:rPr>
        <w:t xml:space="preserve"> </w:t>
      </w:r>
      <w:r>
        <w:rPr>
          <w:noProof/>
        </w:rPr>
        <w:t>Lagförslaget lades fram för parlamentet i slutet av 2020, och en ad hoc-kommitté inrättades för att slutföra texten</w:t>
      </w:r>
      <w:r>
        <w:rPr>
          <w:rStyle w:val="FootnoteReference"/>
          <w:rFonts w:cs="Times New Roman"/>
          <w:noProof/>
        </w:rPr>
        <w:footnoteReference w:id="15"/>
      </w:r>
      <w:r>
        <w:rPr>
          <w:noProof/>
        </w:rPr>
        <w:t>. I detta förslag anges för närvarande att utnämningen av domare och ordförande vid dessa domstolar enbart skulle göras av landets president</w:t>
      </w:r>
      <w:r>
        <w:rPr>
          <w:rStyle w:val="FootnoteReference"/>
          <w:rFonts w:eastAsia="Times New Roman" w:cs="Times New Roman"/>
          <w:noProof/>
          <w:szCs w:val="20"/>
          <w:lang w:eastAsia="fr-FR"/>
        </w:rPr>
        <w:footnoteReference w:id="16"/>
      </w:r>
      <w:r>
        <w:rPr>
          <w:noProof/>
        </w:rPr>
        <w:t xml:space="preserve">. Enligt förslaget skulle ett rådgivande domarråd inrättas </w:t>
      </w:r>
      <w:r>
        <w:rPr>
          <w:rStyle w:val="FootnoteReference"/>
          <w:rFonts w:eastAsia="Times New Roman" w:cs="Times New Roman"/>
          <w:noProof/>
          <w:szCs w:val="20"/>
          <w:lang w:eastAsia="fr-FR"/>
        </w:rPr>
        <w:footnoteReference w:id="17"/>
      </w:r>
      <w:r>
        <w:rPr>
          <w:noProof/>
        </w:rPr>
        <w:t xml:space="preserve"> – åtskilt från högsta domstolen – med uppgift att utarbeta en förteckning över de lämpligaste kandidaterna till tjänsten, som inte skulle vara bindande för presidenten</w:t>
      </w:r>
      <w:r>
        <w:rPr>
          <w:rStyle w:val="FootnoteReference"/>
          <w:rFonts w:eastAsia="Times New Roman" w:cs="Times New Roman"/>
          <w:noProof/>
          <w:szCs w:val="20"/>
          <w:lang w:eastAsia="fr-FR"/>
        </w:rPr>
        <w:footnoteReference w:id="18"/>
      </w:r>
      <w:r>
        <w:rPr>
          <w:noProof/>
        </w:rPr>
        <w:t>. Det är viktigt att denna reform säkerställer domstolsväsendets oberoende i enlighet med EU-rätten och att Europarådets rekommendationer beaktas</w:t>
      </w:r>
      <w:r>
        <w:rPr>
          <w:rStyle w:val="FootnoteReference"/>
          <w:rFonts w:cs="Times New Roman"/>
          <w:noProof/>
          <w:szCs w:val="24"/>
        </w:rPr>
        <w:footnoteReference w:id="19"/>
      </w:r>
      <w:r>
        <w:rPr>
          <w:noProof/>
        </w:rPr>
        <w:t xml:space="preserve">. Ett samråd med Venedigkommissionen om lagförslaget skulle bekräfta den föreslagna reformens överensstämmelse i detta avseende. I lagförslaget föreskrivs även inrättandet av en appellationsdomstol, vars domare och ordförande skulle utses av högsta domstolsrådet. Efter upplösningen av parlamentet den 14 april 2021 inför parlamentsvalet den 30 maj, kommer de ännu inte antagna lagförslagen att diskuteras av det nyvalda parlamentet. </w:t>
      </w:r>
    </w:p>
    <w:p>
      <w:pPr>
        <w:autoSpaceDE w:val="0"/>
        <w:autoSpaceDN w:val="0"/>
        <w:spacing w:before="40" w:after="40"/>
        <w:rPr>
          <w:rFonts w:ascii="Calibri" w:eastAsia="Times New Roman" w:hAnsi="Calibri" w:cs="Calibri"/>
          <w:b/>
          <w:noProof/>
          <w:szCs w:val="24"/>
          <w:lang w:eastAsia="en-GB"/>
        </w:rPr>
      </w:pPr>
    </w:p>
    <w:p>
      <w:pPr>
        <w:rPr>
          <w:rFonts w:cs="Times New Roman"/>
          <w:noProof/>
        </w:rPr>
      </w:pPr>
      <w:r>
        <w:rPr>
          <w:b/>
          <w:bCs/>
          <w:noProof/>
        </w:rPr>
        <w:t>Reformer pågår när det gäller högsta domstolsrådet i syfte att göra det mer representativt för komponenterna i rättssystemet.</w:t>
      </w:r>
      <w:r>
        <w:rPr>
          <w:noProof/>
        </w:rPr>
        <w:t xml:space="preserve"> I ett lagförslag som utarbetades 2020 föreslogs en utvidgning av högsta domstolsrådet. Rådet skulle bestå av medlemmarna i högsta domstolen, ordföranden och domarna i överdomstolen, ordföranden för appellationsdomstolen, den äldsta ordföranden i distriktsdomstolarna, ordföranden för domarförbundet, statsåklagaren, ordföranden i Cyperns advokatsamfund. Domstolsväsendet uttryckte en preferens för ett reviderat högsta domstolsråd som enbart består av medlemmar från domstolsväsendet</w:t>
      </w:r>
      <w:r>
        <w:rPr>
          <w:rStyle w:val="FootnoteReference"/>
          <w:rFonts w:cs="Times New Roman"/>
          <w:noProof/>
        </w:rPr>
        <w:footnoteReference w:id="20"/>
      </w:r>
      <w:r>
        <w:rPr>
          <w:noProof/>
        </w:rPr>
        <w:t>. Lagförslaget är under beredning sedan slutet av 2020 och hade inte antagits före upplösningen av parlamentet tidigare i vår</w:t>
      </w:r>
      <w:r>
        <w:rPr>
          <w:rStyle w:val="FootnoteReference"/>
          <w:rFonts w:cs="Times New Roman"/>
          <w:noProof/>
        </w:rPr>
        <w:footnoteReference w:id="21"/>
      </w:r>
      <w:r>
        <w:rPr>
          <w:noProof/>
        </w:rPr>
        <w:t>. Det är viktigt att man i denna reform beaktar Europarådets rekommendationer</w:t>
      </w:r>
      <w:r>
        <w:rPr>
          <w:rStyle w:val="FootnoteReference"/>
          <w:rFonts w:cs="Times New Roman"/>
          <w:noProof/>
        </w:rPr>
        <w:footnoteReference w:id="22"/>
      </w:r>
      <w:r>
        <w:rPr>
          <w:noProof/>
        </w:rPr>
        <w:t>.</w:t>
      </w:r>
    </w:p>
    <w:p>
      <w:pPr>
        <w:pStyle w:val="ManualConsidrant"/>
        <w:spacing w:before="0" w:after="0"/>
        <w:ind w:left="0" w:firstLine="0"/>
        <w:rPr>
          <w:noProof/>
          <w:szCs w:val="24"/>
        </w:rPr>
      </w:pPr>
      <w:r>
        <w:rPr>
          <w:b/>
          <w:noProof/>
          <w:szCs w:val="20"/>
        </w:rPr>
        <w:t>Handlingsplanen för förstärkning av republikens lagråd håller på att utarbetas</w:t>
      </w:r>
      <w:r>
        <w:rPr>
          <w:rStyle w:val="FootnoteReference"/>
          <w:rFonts w:eastAsia="Times New Roman"/>
          <w:b/>
          <w:noProof/>
          <w:szCs w:val="20"/>
          <w:lang w:eastAsia="fr-FR"/>
        </w:rPr>
        <w:footnoteReference w:id="23"/>
      </w:r>
      <w:r>
        <w:rPr>
          <w:b/>
          <w:noProof/>
          <w:szCs w:val="20"/>
        </w:rPr>
        <w:t xml:space="preserve"> och en lagstiftning som garanterar departementets budgetoberoende planeras. </w:t>
      </w:r>
      <w:r>
        <w:rPr>
          <w:noProof/>
        </w:rPr>
        <w:t>Reformen</w:t>
      </w:r>
      <w:r>
        <w:rPr>
          <w:rStyle w:val="FootnoteReference"/>
          <w:rFonts w:eastAsia="Times New Roman"/>
          <w:noProof/>
          <w:szCs w:val="20"/>
          <w:lang w:eastAsia="fr-FR"/>
        </w:rPr>
        <w:footnoteReference w:id="24"/>
      </w:r>
      <w:r>
        <w:rPr>
          <w:noProof/>
        </w:rPr>
        <w:t xml:space="preserve"> omfattar bland annat en omstrukturering och inrättande av separata, självständiga direktorat inom lagrådet för att separera statsåklagarens två viktigaste funktioner mer effektivt, inrätta nya tjänster, rationalisera förfarandena samt åtskilja funktioner och rekryteringsförfaranden. Statsåklagaren och finansministeriet diskuterar fortfarande sinsemellan ett lagförslag som rör lagrådets budgetoberoende</w:t>
      </w:r>
      <w:r>
        <w:rPr>
          <w:rStyle w:val="FootnoteReference"/>
          <w:rFonts w:eastAsia="Times New Roman"/>
          <w:noProof/>
          <w:szCs w:val="20"/>
          <w:lang w:eastAsia="fr-FR"/>
        </w:rPr>
        <w:footnoteReference w:id="25"/>
      </w:r>
      <w:r>
        <w:rPr>
          <w:noProof/>
        </w:rPr>
        <w:t>. För att föregripa den planerade reformen, rekryterades i slutet av 2020 ett stort antal nya jurister till republikens lagråd och ett många av dem hanterar brottmål, inklusive korruptionsfall</w:t>
      </w:r>
      <w:r>
        <w:rPr>
          <w:rStyle w:val="FootnoteReference"/>
          <w:noProof/>
          <w:szCs w:val="24"/>
        </w:rPr>
        <w:footnoteReference w:id="26"/>
      </w:r>
      <w:r>
        <w:rPr>
          <w:noProof/>
        </w:rPr>
        <w:t xml:space="preserve">. </w:t>
      </w:r>
    </w:p>
    <w:p>
      <w:pPr>
        <w:pStyle w:val="ManualConsidrant"/>
        <w:spacing w:before="0" w:after="0"/>
        <w:ind w:left="0" w:firstLine="0"/>
        <w:rPr>
          <w:noProof/>
          <w:szCs w:val="24"/>
        </w:rPr>
      </w:pPr>
    </w:p>
    <w:p>
      <w:pPr>
        <w:pStyle w:val="Heading2"/>
        <w:rPr>
          <w:noProof/>
        </w:rPr>
      </w:pPr>
      <w:r>
        <w:rPr>
          <w:noProof/>
        </w:rPr>
        <w:t xml:space="preserve">Kvalitet </w:t>
      </w:r>
    </w:p>
    <w:p>
      <w:pPr>
        <w:rPr>
          <w:rFonts w:eastAsia="Times New Roman" w:cs="Times New Roman"/>
          <w:noProof/>
          <w:szCs w:val="20"/>
        </w:rPr>
      </w:pPr>
      <w:r>
        <w:rPr>
          <w:b/>
          <w:noProof/>
          <w:szCs w:val="20"/>
        </w:rPr>
        <w:t xml:space="preserve">Åtgärder vidtas för att förbättra digitaliseringen av rättsväsendet, men allvarlig oro kvarstår inom detta område. </w:t>
      </w:r>
      <w:r>
        <w:rPr>
          <w:noProof/>
        </w:rPr>
        <w:t>Mycket lite information om rättssystemet är tillgänglig för allmänheten via internet</w:t>
      </w:r>
      <w:r>
        <w:rPr>
          <w:rStyle w:val="FootnoteReference"/>
          <w:rFonts w:eastAsia="Times New Roman" w:cs="Times New Roman"/>
          <w:noProof/>
          <w:szCs w:val="20"/>
          <w:lang w:eastAsia="fr-FR"/>
        </w:rPr>
        <w:footnoteReference w:id="27"/>
      </w:r>
      <w:r>
        <w:rPr>
          <w:noProof/>
        </w:rPr>
        <w:t>. Dessutom finns det väldigt få digitala lösningar för att initiera och följa förfarandena i civila/kommersiella och administrativa ärenden</w:t>
      </w:r>
      <w:r>
        <w:rPr>
          <w:rStyle w:val="FootnoteReference"/>
          <w:rFonts w:eastAsia="Times New Roman" w:cs="Times New Roman"/>
          <w:noProof/>
          <w:szCs w:val="20"/>
          <w:lang w:eastAsia="fr-FR"/>
        </w:rPr>
        <w:footnoteReference w:id="28"/>
      </w:r>
      <w:r>
        <w:rPr>
          <w:noProof/>
        </w:rPr>
        <w:t>. Upprättandet av ett elektroniskt system för domstolsförvaltning är ett av huvudmålen för de pågående reformerna</w:t>
      </w:r>
      <w:r>
        <w:rPr>
          <w:rStyle w:val="FootnoteReference"/>
          <w:rFonts w:eastAsia="Times New Roman" w:cs="Times New Roman"/>
          <w:noProof/>
          <w:szCs w:val="20"/>
          <w:lang w:eastAsia="fr-FR"/>
        </w:rPr>
        <w:footnoteReference w:id="29"/>
      </w:r>
      <w:r>
        <w:rPr>
          <w:noProof/>
        </w:rPr>
        <w:t>. Genomförandet och de tillhörande offentliga upphandlingsförfarandena har emellertid försenats sedan 2017. Under tiden har ett elektroniskt miniregister för att registrera mål tagits fram och driftsattes 2020 i alla civilrättsliga register och i högsta domstolen för att möjliggöra en effektivare behandling av ansökningar i väntan på att systemet för e-juridik till fullo genomförs</w:t>
      </w:r>
      <w:r>
        <w:rPr>
          <w:rStyle w:val="FootnoteReference"/>
          <w:rFonts w:eastAsia="Times New Roman" w:cs="Times New Roman"/>
          <w:noProof/>
          <w:szCs w:val="20"/>
          <w:lang w:eastAsia="fr-FR"/>
        </w:rPr>
        <w:footnoteReference w:id="30"/>
      </w:r>
      <w:r>
        <w:rPr>
          <w:noProof/>
        </w:rPr>
        <w:t>. Genomförandet av registret påskyndades av covid-19-pandemin.</w:t>
      </w:r>
    </w:p>
    <w:p>
      <w:pPr>
        <w:rPr>
          <w:rFonts w:cs="Times New Roman"/>
          <w:noProof/>
        </w:rPr>
      </w:pPr>
      <w:r>
        <w:rPr>
          <w:b/>
          <w:noProof/>
        </w:rPr>
        <w:t>Informativa webbplatser om rättspraxis och lagstiftning för allmänheten har vidareutvecklats</w:t>
      </w:r>
      <w:r>
        <w:rPr>
          <w:noProof/>
        </w:rPr>
        <w:t>. En webbplats som förvaltas av Cyperns advokatsamfund ger öppet, kostnadsfritt tillträde för allmänheten till ett antal datasamlingar, till exempel databaser för rättspraxis och lagstiftning. Webbplatsen ger framför allt tillträde till databasen för Cyperns rättspraxis, rättspraxis från Cyperns högsta domstol, rättspraxis från Europeiska domstolen för de mänskliga rättigheterna och Cyperns lagstiftning. Tillgång till nationella och utländska onlinedatabaser tillhandahålls de cypriotiska domarna av högsta domstolen, som bär kostnaden</w:t>
      </w:r>
      <w:r>
        <w:rPr>
          <w:rStyle w:val="FootnoteReference"/>
          <w:rFonts w:cs="Times New Roman"/>
          <w:noProof/>
        </w:rPr>
        <w:footnoteReference w:id="31"/>
      </w:r>
      <w:r>
        <w:rPr>
          <w:noProof/>
        </w:rPr>
        <w:t>.</w:t>
      </w:r>
    </w:p>
    <w:p>
      <w:pPr>
        <w:pStyle w:val="Heading2"/>
        <w:rPr>
          <w:noProof/>
        </w:rPr>
      </w:pPr>
      <w:r>
        <w:rPr>
          <w:noProof/>
        </w:rPr>
        <w:t>Effektivitet</w:t>
      </w:r>
    </w:p>
    <w:p>
      <w:pPr>
        <w:rPr>
          <w:rFonts w:cs="Times New Roman"/>
          <w:noProof/>
          <w:szCs w:val="24"/>
        </w:rPr>
      </w:pPr>
      <w:r>
        <w:rPr>
          <w:b/>
          <w:noProof/>
          <w:szCs w:val="24"/>
        </w:rPr>
        <w:t>Domstolsväsendet fortsätter att stå inför allvarliga bekymmer när det gäller dess effektivitet</w:t>
      </w:r>
      <w:r>
        <w:rPr>
          <w:rStyle w:val="FootnoteReference"/>
          <w:rFonts w:cs="Times New Roman"/>
          <w:b/>
          <w:noProof/>
          <w:szCs w:val="24"/>
        </w:rPr>
        <w:footnoteReference w:id="32"/>
      </w:r>
      <w:r>
        <w:rPr>
          <w:b/>
          <w:noProof/>
          <w:szCs w:val="24"/>
        </w:rPr>
        <w:t xml:space="preserve">. </w:t>
      </w:r>
      <w:r>
        <w:rPr>
          <w:noProof/>
        </w:rPr>
        <w:t>Den tid det tar att avgöra civilrättsliga, handelsrättsliga och förvaltningsrättsliga ärenden i första instans (882 dagar 2019, jämfört med 737 dagar 2018) är fortfarande bland de längsta i EU</w:t>
      </w:r>
      <w:r>
        <w:rPr>
          <w:rStyle w:val="FootnoteReference"/>
          <w:rFonts w:cs="Times New Roman"/>
          <w:noProof/>
          <w:szCs w:val="24"/>
        </w:rPr>
        <w:footnoteReference w:id="33"/>
      </w:r>
      <w:r>
        <w:rPr>
          <w:noProof/>
        </w:rPr>
        <w:t>. I förvaltningsrätten i första instans ökade tidsåtgången för förfarandena (495 dagar 2019 jämfört med 487 dagar 2018)</w:t>
      </w:r>
      <w:r>
        <w:rPr>
          <w:rStyle w:val="FootnoteReference"/>
          <w:rFonts w:cs="Times New Roman"/>
          <w:noProof/>
          <w:szCs w:val="24"/>
        </w:rPr>
        <w:footnoteReference w:id="34"/>
      </w:r>
      <w:r>
        <w:rPr>
          <w:noProof/>
        </w:rPr>
        <w:t xml:space="preserve"> och avslutandegraden minskade (cirka 170 % 2019 jämfört med cirka 219 % 2018)</w:t>
      </w:r>
      <w:r>
        <w:rPr>
          <w:rStyle w:val="FootnoteReference"/>
          <w:rFonts w:cs="Times New Roman"/>
          <w:noProof/>
          <w:szCs w:val="24"/>
        </w:rPr>
        <w:footnoteReference w:id="35"/>
      </w:r>
      <w:r>
        <w:rPr>
          <w:noProof/>
        </w:rPr>
        <w:t>. Sedan september 2020 har ett projekt genomförts på försöksbasis i distriktsdomstolen i Paphos för att minska eftersläpningar. Efter rekryteringen av ytterligare ett antal domare har en arbetsgrupp inrättats som fokuserar särskilt på att hantera eftersläpningen av ärenden</w:t>
      </w:r>
      <w:r>
        <w:rPr>
          <w:rStyle w:val="FootnoteReference"/>
          <w:rFonts w:cs="Times New Roman"/>
          <w:noProof/>
          <w:szCs w:val="24"/>
        </w:rPr>
        <w:footnoteReference w:id="36"/>
      </w:r>
      <w:r>
        <w:rPr>
          <w:noProof/>
        </w:rPr>
        <w:t>.</w:t>
      </w:r>
    </w:p>
    <w:p>
      <w:pPr>
        <w:rPr>
          <w:rFonts w:cs="Times New Roman"/>
          <w:noProof/>
        </w:rPr>
      </w:pPr>
      <w:r>
        <w:rPr>
          <w:b/>
          <w:noProof/>
          <w:szCs w:val="20"/>
        </w:rPr>
        <w:t>Genomförandet av handlingsplanen för att åtgärda effektivitetsutmaningar fortsätter om än med en viss fördröjning</w:t>
      </w:r>
      <w:r>
        <w:rPr>
          <w:rStyle w:val="FootnoteReference"/>
          <w:rFonts w:eastAsia="Times New Roman" w:cs="Times New Roman"/>
          <w:b/>
          <w:noProof/>
          <w:szCs w:val="20"/>
          <w:lang w:eastAsia="fr-FR"/>
        </w:rPr>
        <w:footnoteReference w:id="37"/>
      </w:r>
      <w:r>
        <w:rPr>
          <w:b/>
          <w:noProof/>
          <w:szCs w:val="20"/>
        </w:rPr>
        <w:t xml:space="preserve">. </w:t>
      </w:r>
      <w:r>
        <w:rPr>
          <w:noProof/>
        </w:rPr>
        <w:t>I ett lagförslag som utarbetades av ministeriet för justitiefrågor och allmän ordning i slutet av 2020 ökas den civilrättsliga befogenheten för domare och höga domare i distriktsdomstolarna avseende antalet tvister de får pröva och döma, i syfte att möjliggöra större flexibilitet i systemet</w:t>
      </w:r>
      <w:r>
        <w:rPr>
          <w:rStyle w:val="FootnoteReference"/>
          <w:rFonts w:cs="Times New Roman"/>
          <w:noProof/>
        </w:rPr>
        <w:footnoteReference w:id="38"/>
      </w:r>
      <w:r>
        <w:rPr>
          <w:noProof/>
        </w:rPr>
        <w:t>. Det beslut som fattades av högsta domstolen i februari 2019 att fördela hanteringen av ekonomiska tvister - domstolsförfaranden angående nödlidande lån - på sex domare i diskritsdomstolen som redan var i tjänst, fortsätter att genomföras</w:t>
      </w:r>
      <w:bookmarkStart w:id="2" w:name="_Hlk18567410"/>
      <w:r>
        <w:rPr>
          <w:rStyle w:val="FootnoteReference"/>
          <w:rFonts w:cs="Times New Roman"/>
          <w:noProof/>
        </w:rPr>
        <w:footnoteReference w:id="39"/>
      </w:r>
      <w:r>
        <w:rPr>
          <w:noProof/>
        </w:rPr>
        <w:t>.</w:t>
      </w:r>
      <w:bookmarkEnd w:id="2"/>
    </w:p>
    <w:p>
      <w:pPr>
        <w:rPr>
          <w:rFonts w:cs="Times New Roman"/>
          <w:noProof/>
        </w:rPr>
      </w:pPr>
      <w:r>
        <w:rPr>
          <w:b/>
          <w:noProof/>
          <w:szCs w:val="24"/>
        </w:rPr>
        <w:t xml:space="preserve">De nya civilprocessrättsliga reglerna har godkänts. </w:t>
      </w:r>
      <w:r>
        <w:rPr>
          <w:noProof/>
        </w:rPr>
        <w:t>De nya civilprocessrättsliga reglerna godkändes den 19 maj 2021 av högsta domstolen och ersätter det föråldrade regelverk som varit i kraft sedan 1958</w:t>
      </w:r>
      <w:r>
        <w:rPr>
          <w:rStyle w:val="FootnoteReference"/>
          <w:rFonts w:eastAsia="Times New Roman" w:cs="Times New Roman"/>
          <w:noProof/>
          <w:szCs w:val="24"/>
          <w:lang w:eastAsia="en-GB"/>
        </w:rPr>
        <w:footnoteReference w:id="40"/>
      </w:r>
      <w:r>
        <w:rPr>
          <w:noProof/>
        </w:rPr>
        <w:t>. Dessa regler, som ännu inte har genomförts, syftar till att påskynda de rättsliga förfarandena och öka den totala effektiviteten i den civilrättsliga processen, bland annat vad gäller verkställandet av domstolsbeslut</w:t>
      </w:r>
      <w:r>
        <w:rPr>
          <w:rStyle w:val="FootnoteReference"/>
          <w:rFonts w:cs="Times New Roman"/>
          <w:noProof/>
        </w:rPr>
        <w:footnoteReference w:id="41"/>
      </w:r>
      <w:r>
        <w:rPr>
          <w:noProof/>
        </w:rPr>
        <w:t>.</w:t>
      </w:r>
    </w:p>
    <w:p>
      <w:pPr>
        <w:pStyle w:val="Heading1"/>
        <w:numPr>
          <w:ilvl w:val="0"/>
          <w:numId w:val="8"/>
        </w:numPr>
        <w:rPr>
          <w:noProof/>
        </w:rPr>
      </w:pPr>
      <w:r>
        <w:rPr>
          <w:noProof/>
        </w:rPr>
        <w:t xml:space="preserve">Regelverk för korruptionsbekämpning </w:t>
      </w:r>
    </w:p>
    <w:p>
      <w:pPr>
        <w:pStyle w:val="Normal1"/>
        <w:spacing w:before="0" w:beforeAutospacing="0" w:after="240" w:afterAutospacing="0"/>
        <w:jc w:val="both"/>
        <w:textAlignment w:val="baseline"/>
        <w:rPr>
          <w:bCs/>
          <w:noProof/>
        </w:rPr>
      </w:pPr>
      <w:r>
        <w:rPr>
          <w:noProof/>
        </w:rPr>
        <w:t xml:space="preserve">En ny handlingsplan mot korruption för 2021-2026 har antagits, och byrån för öppenhet och korruptionsbekämpning har fått i uppgift att övervaka genomförandet. </w:t>
      </w:r>
      <w:r>
        <w:rPr>
          <w:noProof/>
          <w:shd w:val="clear" w:color="auto" w:fill="FFFFFF"/>
        </w:rPr>
        <w:t xml:space="preserve">Statsåklagaren har den övergripande befogenheten att lagföra brott, däribland korruption. Åklagarmyndigheten tillhandahåller juridisk rådgivning till brottsbekämpande myndigheter som utreder korruptionsbrott. </w:t>
      </w:r>
      <w:r>
        <w:rPr>
          <w:noProof/>
        </w:rPr>
        <w:t xml:space="preserve">En ny statsåklagare har utsetts, åtföljt av rekrytering av ny personal och omorganisation av kontoret för lagföring av ekonomiska brott. </w:t>
      </w:r>
      <w:r>
        <w:rPr>
          <w:noProof/>
          <w:shd w:val="clear" w:color="auto" w:fill="FFFFFF"/>
        </w:rPr>
        <w:t xml:space="preserve">Ett nytt lagförslag om tillgång till offentlig information innebär en förbättring av den rättsliga ramen mot korruption. </w:t>
      </w:r>
    </w:p>
    <w:p>
      <w:pPr>
        <w:spacing w:line="259" w:lineRule="auto"/>
        <w:jc w:val="left"/>
        <w:rPr>
          <w:rFonts w:cs="Times New Roman"/>
          <w:noProof/>
          <w:szCs w:val="24"/>
        </w:rPr>
      </w:pPr>
      <w:r>
        <w:rPr>
          <w:b/>
          <w:noProof/>
          <w:szCs w:val="24"/>
        </w:rPr>
        <w:t>Uppfattningen bland experter och företagsledare är att graden av korruption inom den offentliga sektorn fortfarande är relativt hög.</w:t>
      </w:r>
      <w:r>
        <w:rPr>
          <w:noProof/>
        </w:rPr>
        <w:t xml:space="preserve"> I 2020 års korruptionsindex från Transparency International fick Cypern 57 poäng av 100 och kom på tolfte plats i Europeiska unionen och fyrtioandra plats i världen</w:t>
      </w:r>
      <w:r>
        <w:rPr>
          <w:rFonts w:cs="Times New Roman"/>
          <w:bCs/>
          <w:noProof/>
          <w:szCs w:val="24"/>
          <w:vertAlign w:val="superscript"/>
        </w:rPr>
        <w:footnoteReference w:id="42"/>
      </w:r>
      <w:r>
        <w:rPr>
          <w:noProof/>
        </w:rPr>
        <w:t>. Detta index har försämrats</w:t>
      </w:r>
      <w:r>
        <w:rPr>
          <w:rFonts w:cs="Times New Roman"/>
          <w:noProof/>
          <w:szCs w:val="24"/>
          <w:vertAlign w:val="superscript"/>
          <w:lang w:val="en-IE"/>
        </w:rPr>
        <w:footnoteReference w:id="43"/>
      </w:r>
      <w:r>
        <w:rPr>
          <w:noProof/>
        </w:rPr>
        <w:t xml:space="preserve"> under de senaste fem åren</w:t>
      </w:r>
      <w:r>
        <w:rPr>
          <w:rFonts w:cs="Times New Roman"/>
          <w:noProof/>
          <w:szCs w:val="24"/>
          <w:vertAlign w:val="superscript"/>
        </w:rPr>
        <w:footnoteReference w:id="44"/>
      </w:r>
      <w:r>
        <w:rPr>
          <w:noProof/>
        </w:rPr>
        <w:t>.</w:t>
      </w:r>
    </w:p>
    <w:p>
      <w:pPr>
        <w:autoSpaceDE w:val="0"/>
        <w:autoSpaceDN w:val="0"/>
        <w:adjustRightInd w:val="0"/>
        <w:spacing w:after="0"/>
        <w:rPr>
          <w:rFonts w:cs="Times New Roman"/>
          <w:b/>
          <w:bCs/>
          <w:noProof/>
          <w:color w:val="000000"/>
          <w:szCs w:val="24"/>
        </w:rPr>
      </w:pPr>
      <w:r>
        <w:rPr>
          <w:b/>
          <w:noProof/>
          <w:szCs w:val="24"/>
        </w:rPr>
        <w:t xml:space="preserve">Den strategiska ramen om korruptionsbekämpning har setts över. </w:t>
      </w:r>
      <w:r>
        <w:rPr>
          <w:noProof/>
        </w:rPr>
        <w:t>I januari 2021 antogs en ny strategi mot korruption för 2021-2026 av landets president och ministern för justitiefrågor allmän ordning. De föreslagna åtgärderna handlar om öppenhet, ansvar och korruption, i syfte att förstärka befintliga institutioner och skapa nya garantier</w:t>
      </w:r>
      <w:r>
        <w:rPr>
          <w:rFonts w:cs="Times New Roman"/>
          <w:noProof/>
          <w:szCs w:val="24"/>
          <w:vertAlign w:val="superscript"/>
        </w:rPr>
        <w:footnoteReference w:id="45"/>
      </w:r>
      <w:r>
        <w:rPr>
          <w:noProof/>
        </w:rPr>
        <w:t>. Strategin omfattar tre pelare</w:t>
      </w:r>
      <w:r>
        <w:rPr>
          <w:rFonts w:cs="Times New Roman"/>
          <w:noProof/>
          <w:szCs w:val="24"/>
          <w:vertAlign w:val="superscript"/>
        </w:rPr>
        <w:footnoteReference w:id="46"/>
      </w:r>
      <w:r>
        <w:rPr>
          <w:noProof/>
        </w:rPr>
        <w:t>, uppdelade i specifika åtgärder</w:t>
      </w:r>
      <w:r>
        <w:rPr>
          <w:rFonts w:cs="Times New Roman"/>
          <w:bCs/>
          <w:noProof/>
          <w:szCs w:val="24"/>
          <w:vertAlign w:val="superscript"/>
        </w:rPr>
        <w:footnoteReference w:id="47"/>
      </w:r>
      <w:r>
        <w:rPr>
          <w:noProof/>
        </w:rPr>
        <w:t xml:space="preserve">. </w:t>
      </w:r>
      <w:r>
        <w:rPr>
          <w:noProof/>
          <w:color w:val="000000"/>
          <w:szCs w:val="24"/>
        </w:rPr>
        <w:t>Byrån för öppenhet och korruptionsbekämpning (lyder under ministeriet för justitiefrågor och allmän ordning) har utsett två tjänstemän med uppgift att hantera interinstitutionell samordning och genomförandet av strategin. Varje offentlig institution har en kontaktpunkt för korruptionsstrategin, som rapporterar om framsteg i genomförandet av åtgärder mot korruptionsbekämpning från sina respektive ansvarsområden. Byrån för öppenhet och korruptionsbekämpning samlar in och centraliserar informationen om genomförandet av strategin och publicerar resultaten på en webbplattform</w:t>
      </w:r>
      <w:r>
        <w:rPr>
          <w:rFonts w:eastAsia="Times New Roman" w:cs="Times New Roman"/>
          <w:noProof/>
          <w:color w:val="000000"/>
          <w:szCs w:val="24"/>
          <w:vertAlign w:val="superscript"/>
          <w:lang w:eastAsia="en-GB"/>
        </w:rPr>
        <w:footnoteReference w:id="48"/>
      </w:r>
      <w:r>
        <w:rPr>
          <w:noProof/>
          <w:color w:val="000000"/>
          <w:szCs w:val="24"/>
        </w:rPr>
        <w:t xml:space="preserve">. </w:t>
      </w:r>
      <w:r>
        <w:rPr>
          <w:noProof/>
        </w:rPr>
        <w:t xml:space="preserve">Ministerrådet lanserade också i slutet av 2020 ett nationellt integritetsprogram baserat på </w:t>
      </w:r>
      <w:r>
        <w:rPr>
          <w:noProof/>
          <w:szCs w:val="24"/>
          <w:shd w:val="clear" w:color="auto" w:fill="FFFFFF"/>
        </w:rPr>
        <w:t xml:space="preserve">Internationella standardiseringsorganets </w:t>
      </w:r>
      <w:r>
        <w:rPr>
          <w:noProof/>
        </w:rPr>
        <w:t xml:space="preserve">ISO-standard om </w:t>
      </w:r>
      <w:r>
        <w:rPr>
          <w:noProof/>
          <w:szCs w:val="24"/>
          <w:shd w:val="clear" w:color="auto" w:fill="FFFFFF"/>
        </w:rPr>
        <w:t>ett ledningssystem för bekämpning av mutor</w:t>
      </w:r>
      <w:r>
        <w:rPr>
          <w:noProof/>
        </w:rPr>
        <w:t>. Justitieministeriet ansvarar för att övervaka genomförandet av detta program</w:t>
      </w:r>
      <w:r>
        <w:rPr>
          <w:rFonts w:eastAsia="Times New Roman" w:cs="Times New Roman"/>
          <w:noProof/>
          <w:szCs w:val="24"/>
          <w:vertAlign w:val="superscript"/>
          <w:lang w:eastAsia="en-GB"/>
        </w:rPr>
        <w:footnoteReference w:id="49"/>
      </w:r>
      <w:r>
        <w:rPr>
          <w:noProof/>
        </w:rPr>
        <w:t>.</w:t>
      </w:r>
    </w:p>
    <w:p>
      <w:pPr>
        <w:autoSpaceDE w:val="0"/>
        <w:autoSpaceDN w:val="0"/>
        <w:adjustRightInd w:val="0"/>
        <w:spacing w:after="0"/>
        <w:rPr>
          <w:rFonts w:cs="Times New Roman"/>
          <w:b/>
          <w:bCs/>
          <w:noProof/>
          <w:color w:val="000000"/>
          <w:szCs w:val="24"/>
        </w:rPr>
      </w:pPr>
    </w:p>
    <w:p>
      <w:pPr>
        <w:widowControl w:val="0"/>
        <w:autoSpaceDE w:val="0"/>
        <w:autoSpaceDN w:val="0"/>
        <w:adjustRightInd w:val="0"/>
        <w:spacing w:after="160"/>
        <w:rPr>
          <w:rFonts w:cs="Times New Roman"/>
          <w:bCs/>
          <w:noProof/>
          <w:szCs w:val="24"/>
        </w:rPr>
      </w:pPr>
      <w:r>
        <w:rPr>
          <w:b/>
          <w:noProof/>
          <w:szCs w:val="24"/>
        </w:rPr>
        <w:t xml:space="preserve">Lagen om tillgång till offentlig information har antagits, men annan lagstiftning mot korruptionsbekämpning diskuteras fortfarande i parlamentet. </w:t>
      </w:r>
      <w:r>
        <w:rPr>
          <w:noProof/>
        </w:rPr>
        <w:t>Lagen om rätten att få tillgång till information från den offentliga sektorn</w:t>
      </w:r>
      <w:r>
        <w:rPr>
          <w:rFonts w:cs="Times New Roman"/>
          <w:bCs/>
          <w:noProof/>
          <w:szCs w:val="24"/>
          <w:vertAlign w:val="superscript"/>
        </w:rPr>
        <w:footnoteReference w:id="50"/>
      </w:r>
      <w:r>
        <w:rPr>
          <w:noProof/>
        </w:rPr>
        <w:t xml:space="preserve">, </w:t>
      </w:r>
      <w:r>
        <w:rPr>
          <w:noProof/>
          <w:color w:val="212529"/>
          <w:szCs w:val="24"/>
          <w:shd w:val="clear" w:color="auto" w:fill="FFFFFF"/>
        </w:rPr>
        <w:t>som ger en fysisk eller juridisk person rätt att få tillgång till information som innehas av en offentlig myndighet,</w:t>
      </w:r>
      <w:r>
        <w:rPr>
          <w:noProof/>
        </w:rPr>
        <w:t xml:space="preserve"> trädde i kraft i december år 2020. Lagförslaget om inrättande av en oberoende myndighet mot korruption och lagförslaget om lobbyverksamhet har genomgått den första behandlingen i det berörda parlamentsutskottet. Ett antal lagförslag om redovisning av tillgångar för valda och statliga tjänstemän ligger kvar hos den parlamentariska kommittén för institutioner, meriter och kommissionären för administration</w:t>
      </w:r>
      <w:r>
        <w:rPr>
          <w:rFonts w:cs="Times New Roman"/>
          <w:noProof/>
          <w:szCs w:val="24"/>
          <w:vertAlign w:val="superscript"/>
        </w:rPr>
        <w:footnoteReference w:id="51"/>
      </w:r>
      <w:r>
        <w:rPr>
          <w:noProof/>
        </w:rPr>
        <w:t xml:space="preserve">. Det finns dock ingen uppgift om tidsplanen för det slutliga antagandet. </w:t>
      </w:r>
    </w:p>
    <w:p>
      <w:pPr>
        <w:autoSpaceDE w:val="0"/>
        <w:autoSpaceDN w:val="0"/>
        <w:adjustRightInd w:val="0"/>
        <w:spacing w:after="0"/>
        <w:rPr>
          <w:rFonts w:cs="Times New Roman"/>
          <w:noProof/>
          <w:color w:val="000000"/>
          <w:shd w:val="clear" w:color="auto" w:fill="FFFFFF"/>
        </w:rPr>
      </w:pPr>
      <w:r>
        <w:rPr>
          <w:b/>
          <w:bCs/>
          <w:noProof/>
          <w:color w:val="000000"/>
        </w:rPr>
        <w:t xml:space="preserve">Påföljden för brottet missbruk av offentlig tjänsteställning har ökat. </w:t>
      </w:r>
      <w:r>
        <w:rPr>
          <w:noProof/>
          <w:color w:val="000000"/>
        </w:rPr>
        <w:t>I mars 2021 ökade påföljden för brottet missbruk av tjänsteställning</w:t>
      </w:r>
      <w:r>
        <w:rPr>
          <w:rStyle w:val="FootnoteReference"/>
          <w:rFonts w:cs="Times New Roman"/>
          <w:noProof/>
          <w:color w:val="000000"/>
        </w:rPr>
        <w:footnoteReference w:id="52"/>
      </w:r>
      <w:r>
        <w:rPr>
          <w:noProof/>
          <w:color w:val="000000"/>
        </w:rPr>
        <w:t xml:space="preserve"> av offentliga tjänstemän (valda såväl som anställda) från tre till sju års fängelse</w:t>
      </w:r>
      <w:r>
        <w:rPr>
          <w:rFonts w:cs="Times New Roman"/>
          <w:noProof/>
          <w:color w:val="000000"/>
          <w:vertAlign w:val="superscript"/>
        </w:rPr>
        <w:footnoteReference w:id="53"/>
      </w:r>
      <w:r>
        <w:rPr>
          <w:noProof/>
          <w:color w:val="000000"/>
        </w:rPr>
        <w:t xml:space="preserve">. </w:t>
      </w:r>
    </w:p>
    <w:p>
      <w:pPr>
        <w:autoSpaceDE w:val="0"/>
        <w:autoSpaceDN w:val="0"/>
        <w:adjustRightInd w:val="0"/>
        <w:spacing w:after="0"/>
        <w:rPr>
          <w:rFonts w:cs="Times New Roman"/>
          <w:noProof/>
          <w:color w:val="000000"/>
          <w:szCs w:val="24"/>
          <w:shd w:val="clear" w:color="auto" w:fill="FFFFFF"/>
        </w:rPr>
      </w:pPr>
    </w:p>
    <w:p>
      <w:pPr>
        <w:widowControl w:val="0"/>
        <w:autoSpaceDE w:val="0"/>
        <w:autoSpaceDN w:val="0"/>
        <w:adjustRightInd w:val="0"/>
        <w:spacing w:after="160"/>
        <w:rPr>
          <w:rFonts w:cs="Times New Roman"/>
          <w:noProof/>
          <w:szCs w:val="24"/>
        </w:rPr>
      </w:pPr>
      <w:r>
        <w:rPr>
          <w:b/>
          <w:noProof/>
          <w:szCs w:val="24"/>
        </w:rPr>
        <w:t>Statsåklagarens kontor fortsätter att öka sin kapacitet.</w:t>
      </w:r>
      <w:r>
        <w:rPr>
          <w:noProof/>
        </w:rPr>
        <w:t xml:space="preserve"> En ny statsåklagare utsågs i slutet av juni 2020.</w:t>
      </w:r>
      <w:r>
        <w:rPr>
          <w:b/>
          <w:noProof/>
          <w:szCs w:val="24"/>
        </w:rPr>
        <w:t xml:space="preserve"> </w:t>
      </w:r>
      <w:r>
        <w:rPr>
          <w:noProof/>
        </w:rPr>
        <w:t>Kontoret har nyligen rekryterat 24 advokater på första nivå med uppdrag att åtala ekonomiska brott, däribland korruption, och tre tjänstemän flyttades från personalavdelningen till statsåklagarens kontor. Mellan 2013 och 2020 undersöktes 149 fall av korruption, varav 20 fall prövades (däribland fem fall som rör höga officerare och personer i politiskt utsatt ställning)</w:t>
      </w:r>
      <w:r>
        <w:rPr>
          <w:rFonts w:cs="Times New Roman"/>
          <w:noProof/>
          <w:szCs w:val="24"/>
          <w:vertAlign w:val="superscript"/>
        </w:rPr>
        <w:footnoteReference w:id="54"/>
      </w:r>
      <w:r>
        <w:rPr>
          <w:noProof/>
        </w:rPr>
        <w:t>. Ett särskilt riskområde, som styrs av lagen om bekämpning av manipulering av resultat inom idrotten</w:t>
      </w:r>
      <w:r>
        <w:rPr>
          <w:rFonts w:cs="Times New Roman"/>
          <w:noProof/>
          <w:szCs w:val="24"/>
          <w:bdr w:val="none" w:sz="0" w:space="0" w:color="auto" w:frame="1"/>
          <w:vertAlign w:val="superscript"/>
        </w:rPr>
        <w:footnoteReference w:id="55"/>
      </w:r>
      <w:r>
        <w:rPr>
          <w:noProof/>
        </w:rPr>
        <w:t>, ledde till ett flertal öppna undersökningar om korruption (12 fall 2020 och tre fall 2021) och intressekonflikter (två fall 2020 och ett fall 2021) men inga ärenden har hittills avgjorts</w:t>
      </w:r>
      <w:r>
        <w:rPr>
          <w:rFonts w:cs="Times New Roman"/>
          <w:noProof/>
          <w:szCs w:val="24"/>
          <w:vertAlign w:val="superscript"/>
        </w:rPr>
        <w:footnoteReference w:id="56"/>
      </w:r>
      <w:r>
        <w:rPr>
          <w:noProof/>
        </w:rPr>
        <w:t>. Statsåklagaren samordnade under 2020 möten med vadhållningsförbundet och polisen i samband med genomförandet av</w:t>
      </w:r>
      <w:r>
        <w:rPr>
          <w:noProof/>
          <w:szCs w:val="24"/>
          <w:bdr w:val="none" w:sz="0" w:space="0" w:color="auto" w:frame="1"/>
        </w:rPr>
        <w:t xml:space="preserve"> lagen om kamp mot manipulering av resultat inom idrotten</w:t>
      </w:r>
      <w:r>
        <w:rPr>
          <w:rStyle w:val="FootnoteReference"/>
          <w:rFonts w:cs="Times New Roman"/>
          <w:noProof/>
          <w:szCs w:val="24"/>
          <w:bdr w:val="none" w:sz="0" w:space="0" w:color="auto" w:frame="1"/>
        </w:rPr>
        <w:footnoteReference w:id="57"/>
      </w:r>
      <w:r>
        <w:rPr>
          <w:noProof/>
        </w:rPr>
        <w:t>.</w:t>
      </w:r>
    </w:p>
    <w:p>
      <w:pPr>
        <w:spacing w:after="0"/>
        <w:textAlignment w:val="baseline"/>
        <w:rPr>
          <w:rFonts w:eastAsia="Times New Roman" w:cs="Times New Roman"/>
          <w:noProof/>
          <w:bdr w:val="none" w:sz="0" w:space="0" w:color="auto" w:frame="1"/>
        </w:rPr>
      </w:pPr>
      <w:r>
        <w:rPr>
          <w:b/>
          <w:bCs/>
          <w:noProof/>
          <w:bdr w:val="none" w:sz="0" w:space="0" w:color="auto" w:frame="1"/>
        </w:rPr>
        <w:t xml:space="preserve">Regeringen tillsatte en utredningskommission för att undersöka Cyperns system för investerares medborgarskap. </w:t>
      </w:r>
      <w:r>
        <w:rPr>
          <w:noProof/>
          <w:bdr w:val="none" w:sz="0" w:space="0" w:color="auto" w:frame="1"/>
        </w:rPr>
        <w:t>Som svar på anklagelser om korruption som berörde utländska personer och högt uppsatta tjänstemän (inklusive eventuellt deltagande av personer i politiskt utsatt ställning) utsåg statsåklagaren, på begäran av ministerrådet, den 7 september 2020 en utredningskommission med uppgift att utreda och undersöka alla naturaliseringar i enlighet med Cyperns system med medborgarskap för investerare 2007-2020. Kommissionen undersökte enligt uppgift 6 779 naturaliseringar som baserats på investeringar</w:t>
      </w:r>
      <w:r>
        <w:rPr>
          <w:rStyle w:val="FootnoteReference"/>
          <w:rFonts w:eastAsia="Times New Roman" w:cs="Times New Roman"/>
          <w:noProof/>
          <w:bdr w:val="none" w:sz="0" w:space="0" w:color="auto" w:frame="1"/>
          <w:lang w:eastAsia="en-IE"/>
        </w:rPr>
        <w:footnoteReference w:id="58"/>
      </w:r>
      <w:r>
        <w:rPr>
          <w:noProof/>
          <w:bdr w:val="none" w:sz="0" w:space="0" w:color="auto" w:frame="1"/>
        </w:rPr>
        <w:t>. De preliminära slutsatserna från kommissionen som meddelades i april 2021 visar att mer än 53 % av alla analyserade naturaliseringar beviljades i strid med lagen</w:t>
      </w:r>
      <w:r>
        <w:rPr>
          <w:rStyle w:val="FootnoteReference"/>
          <w:rFonts w:eastAsia="Times New Roman" w:cs="Times New Roman"/>
          <w:noProof/>
          <w:bdr w:val="none" w:sz="0" w:space="0" w:color="auto" w:frame="1"/>
          <w:lang w:eastAsia="en-IE"/>
        </w:rPr>
        <w:footnoteReference w:id="59"/>
      </w:r>
      <w:r>
        <w:rPr>
          <w:noProof/>
          <w:bdr w:val="none" w:sz="0" w:space="0" w:color="auto" w:frame="1"/>
        </w:rPr>
        <w:t xml:space="preserve">. </w:t>
      </w:r>
      <w:r>
        <w:rPr>
          <w:bCs/>
          <w:noProof/>
          <w:bdr w:val="none" w:sz="0" w:space="0" w:color="auto" w:frame="1"/>
        </w:rPr>
        <w:t>Europeiska kommissionen inledde ett överträdelseförfarande mot Cypern avseende systemet för medborgarskap för investerare</w:t>
      </w:r>
      <w:r>
        <w:rPr>
          <w:rStyle w:val="FootnoteReference"/>
          <w:rFonts w:eastAsia="Times New Roman" w:cs="Times New Roman"/>
          <w:bCs/>
          <w:noProof/>
          <w:bdr w:val="none" w:sz="0" w:space="0" w:color="auto" w:frame="1"/>
          <w:lang w:eastAsia="en-IE"/>
        </w:rPr>
        <w:footnoteReference w:id="60"/>
      </w:r>
      <w:r>
        <w:rPr>
          <w:bCs/>
          <w:noProof/>
          <w:bdr w:val="none" w:sz="0" w:space="0" w:color="auto" w:frame="1"/>
        </w:rPr>
        <w:t>.</w:t>
      </w:r>
      <w:r>
        <w:rPr>
          <w:noProof/>
          <w:bdr w:val="none" w:sz="0" w:space="0" w:color="auto" w:frame="1"/>
        </w:rPr>
        <w:t xml:space="preserve"> </w:t>
      </w:r>
    </w:p>
    <w:p>
      <w:pPr>
        <w:spacing w:after="0"/>
        <w:textAlignment w:val="baseline"/>
        <w:rPr>
          <w:rFonts w:eastAsia="Times New Roman" w:cs="Times New Roman"/>
          <w:noProof/>
          <w:bdr w:val="none" w:sz="0" w:space="0" w:color="auto" w:frame="1"/>
          <w:lang w:eastAsia="en-IE"/>
        </w:rPr>
      </w:pPr>
    </w:p>
    <w:p>
      <w:pPr>
        <w:spacing w:after="0"/>
        <w:textAlignment w:val="baseline"/>
        <w:rPr>
          <w:rFonts w:eastAsia="Times New Roman" w:cs="Times New Roman"/>
          <w:noProof/>
          <w:color w:val="000000"/>
          <w:szCs w:val="24"/>
          <w:bdr w:val="none" w:sz="0" w:space="0" w:color="auto" w:frame="1"/>
        </w:rPr>
      </w:pPr>
      <w:r>
        <w:rPr>
          <w:b/>
          <w:iCs/>
          <w:noProof/>
          <w:szCs w:val="24"/>
        </w:rPr>
        <w:t xml:space="preserve">Åklagarmyndighetens kontor för ekonomiska brott har omorganiserats. </w:t>
      </w:r>
      <w:r>
        <w:rPr>
          <w:noProof/>
        </w:rPr>
        <w:t>Kontoret för utredning av ekonomiska brott omorganiserades 2020 i två avdelningar: en avdelning med ansvar för utredning av ekonomiska brott, och en stödavdelning (vars verksamhet startade i februari 2021) med två polisutredare och fyra kriminaltekniska revisorer</w:t>
      </w:r>
      <w:r>
        <w:rPr>
          <w:rFonts w:eastAsia="Times New Roman" w:cs="Times New Roman"/>
          <w:iCs/>
          <w:noProof/>
          <w:szCs w:val="24"/>
          <w:vertAlign w:val="superscript"/>
          <w:lang w:eastAsia="en-IE"/>
        </w:rPr>
        <w:footnoteReference w:id="61"/>
      </w:r>
      <w:r>
        <w:rPr>
          <w:noProof/>
        </w:rPr>
        <w:t>. Stödenheten ger övergripande stöd till andra enheter genom finansunderrättelseanalys och tillbörlig vaksamhet avseende misstänkta personer. Svårigheten att locka och behålla kvalificerad personal är dock fortfarande en utmaning för kontoret</w:t>
      </w:r>
      <w:r>
        <w:rPr>
          <w:rFonts w:eastAsia="Times New Roman" w:cs="Times New Roman"/>
          <w:iCs/>
          <w:noProof/>
          <w:szCs w:val="24"/>
          <w:vertAlign w:val="superscript"/>
          <w:lang w:eastAsia="en-IE"/>
        </w:rPr>
        <w:footnoteReference w:id="62"/>
      </w:r>
      <w:r>
        <w:rPr>
          <w:noProof/>
        </w:rPr>
        <w:t>. Vissa undersökningar av ekonomiska brott försenas på grund av finansinstitutens långsamhet när det gäller att lägga fram bevis till domstolen och, när det gäller vissa internationella fall, på grund av utländska myndigheters påstått långsamma reaktioner på begäranden om ömsesidig rättslig hjälp</w:t>
      </w:r>
      <w:r>
        <w:rPr>
          <w:rFonts w:eastAsia="Times New Roman" w:cs="Times New Roman"/>
          <w:bCs/>
          <w:iCs/>
          <w:noProof/>
          <w:szCs w:val="24"/>
          <w:vertAlign w:val="superscript"/>
          <w:lang w:eastAsia="en-IE"/>
        </w:rPr>
        <w:footnoteReference w:id="63"/>
      </w:r>
      <w:r>
        <w:rPr>
          <w:noProof/>
        </w:rPr>
        <w:t>. Ett beslag gjordes 2020 avseende ett korruptionsbrott som involverade fyra åtalade, däribland en offentlig tjänsteman</w:t>
      </w:r>
      <w:r>
        <w:rPr>
          <w:rFonts w:eastAsia="Times New Roman" w:cs="Times New Roman"/>
          <w:iCs/>
          <w:noProof/>
          <w:szCs w:val="24"/>
          <w:vertAlign w:val="superscript"/>
          <w:lang w:eastAsia="en-IE"/>
        </w:rPr>
        <w:footnoteReference w:id="64"/>
      </w:r>
      <w:r>
        <w:rPr>
          <w:noProof/>
        </w:rPr>
        <w:t xml:space="preserve">. </w:t>
      </w:r>
    </w:p>
    <w:p>
      <w:pPr>
        <w:autoSpaceDE w:val="0"/>
        <w:autoSpaceDN w:val="0"/>
        <w:adjustRightInd w:val="0"/>
        <w:spacing w:after="0"/>
        <w:rPr>
          <w:rFonts w:cs="Times New Roman"/>
          <w:iCs/>
          <w:noProof/>
          <w:color w:val="000000"/>
          <w:szCs w:val="24"/>
        </w:rPr>
      </w:pPr>
    </w:p>
    <w:p>
      <w:pPr>
        <w:rPr>
          <w:rFonts w:cs="Times New Roman"/>
          <w:b/>
          <w:noProof/>
          <w:szCs w:val="24"/>
        </w:rPr>
      </w:pPr>
      <w:r>
        <w:rPr>
          <w:b/>
          <w:iCs/>
          <w:noProof/>
          <w:color w:val="000000"/>
          <w:szCs w:val="24"/>
        </w:rPr>
        <w:t xml:space="preserve">Nya instrument för att förbättra integriteten inom polisen har införts, bland annat en onlineplattform för visselblåsning. </w:t>
      </w:r>
      <w:r>
        <w:rPr>
          <w:iCs/>
          <w:noProof/>
          <w:color w:val="000000"/>
          <w:szCs w:val="24"/>
        </w:rPr>
        <w:t>Polisens tjänst för inre angelägenheter</w:t>
      </w:r>
      <w:r>
        <w:rPr>
          <w:noProof/>
          <w:color w:val="000000"/>
          <w:szCs w:val="24"/>
        </w:rPr>
        <w:t>, som är ansvarig för att utreda anklagelser om korruption inom polisen, lanserade 2020 en onlineplattform för visselblåsning. Sedan dess har den mottagit 141 klagomål</w:t>
      </w:r>
      <w:r>
        <w:rPr>
          <w:rFonts w:cs="Times New Roman"/>
          <w:iCs/>
          <w:noProof/>
          <w:color w:val="000000"/>
          <w:szCs w:val="24"/>
          <w:vertAlign w:val="superscript"/>
        </w:rPr>
        <w:footnoteReference w:id="65"/>
      </w:r>
      <w:r>
        <w:rPr>
          <w:noProof/>
          <w:color w:val="000000"/>
          <w:szCs w:val="24"/>
        </w:rPr>
        <w:t>:</w:t>
      </w:r>
      <w:r>
        <w:rPr>
          <w:iCs/>
          <w:noProof/>
          <w:color w:val="000000"/>
          <w:szCs w:val="24"/>
        </w:rPr>
        <w:t xml:space="preserve"> 36 klagomål har redan utretts (varav 21 senare ogillades). Det finns ingen information om avgjorda fall. I början av 2021</w:t>
      </w:r>
      <w:r>
        <w:rPr>
          <w:noProof/>
          <w:color w:val="121314"/>
          <w:szCs w:val="24"/>
          <w:shd w:val="clear" w:color="auto" w:fill="FFFFFF"/>
        </w:rPr>
        <w:t xml:space="preserve"> antog polisens tjänst för inre angelägenheter en uppförandekod för polisen inriktad på korruption (inskriven i polisens befintliga etiska regler)</w:t>
      </w:r>
      <w:r>
        <w:rPr>
          <w:rFonts w:cs="Times New Roman"/>
          <w:noProof/>
          <w:color w:val="121314"/>
          <w:szCs w:val="24"/>
          <w:shd w:val="clear" w:color="auto" w:fill="FFFFFF"/>
          <w:vertAlign w:val="superscript"/>
        </w:rPr>
        <w:footnoteReference w:id="66"/>
      </w:r>
      <w:r>
        <w:rPr>
          <w:noProof/>
          <w:color w:val="121314"/>
          <w:szCs w:val="24"/>
          <w:shd w:val="clear" w:color="auto" w:fill="FFFFFF"/>
        </w:rPr>
        <w:t xml:space="preserve">, och förklarade polisens befogenheter i en informationsbroschyr till allmänheten. Vid misstankar om korruption hos en polistjänsteman kan polisens tjänst för inre angelägenheter besluta att utföra </w:t>
      </w:r>
      <w:r>
        <w:rPr>
          <w:iCs/>
          <w:noProof/>
          <w:color w:val="000000"/>
          <w:szCs w:val="24"/>
        </w:rPr>
        <w:t>ett ”integritetstest” på den misstänkte. Medan misstankar om korruption anmäls till statsåklagaren, skickas uppgifter som pekar på brott mot disciplinära bestämmelser till polisdirektören för eventuella korrigerande åtgärder. Mellan 2018 och 2020 hänsköts 13 fall till statsåklagarens kontor, och ett fall avgjordes (med övertygelse). För närvarande pågår 11 utredningar, och en är under beredning på statsåklagarens kontor</w:t>
      </w:r>
      <w:r>
        <w:rPr>
          <w:rStyle w:val="FootnoteReference"/>
          <w:rFonts w:cs="Times New Roman"/>
          <w:iCs/>
          <w:noProof/>
          <w:color w:val="000000"/>
          <w:szCs w:val="24"/>
        </w:rPr>
        <w:footnoteReference w:id="67"/>
      </w:r>
      <w:r>
        <w:rPr>
          <w:iCs/>
          <w:noProof/>
          <w:color w:val="000000"/>
          <w:szCs w:val="24"/>
        </w:rPr>
        <w:t>.</w:t>
      </w:r>
    </w:p>
    <w:p>
      <w:pPr>
        <w:spacing w:after="160"/>
        <w:rPr>
          <w:rFonts w:cs="Times New Roman"/>
          <w:noProof/>
          <w:szCs w:val="24"/>
        </w:rPr>
      </w:pPr>
      <w:r>
        <w:rPr>
          <w:b/>
          <w:noProof/>
          <w:szCs w:val="24"/>
        </w:rPr>
        <w:t>Nya bestämmelser om intressekonflikt för parlamentsledamöter har antagits</w:t>
      </w:r>
      <w:r>
        <w:rPr>
          <w:noProof/>
        </w:rPr>
        <w:t>. Representanthuset antog i februari 2021 en uppförandekod för sina ledamöter, med bestämmelser om oförenlighet, redovisning av tillgångar, gåvor och lobbyverksamhet</w:t>
      </w:r>
      <w:r>
        <w:rPr>
          <w:rFonts w:cs="Times New Roman"/>
          <w:noProof/>
          <w:szCs w:val="24"/>
          <w:vertAlign w:val="superscript"/>
        </w:rPr>
        <w:footnoteReference w:id="68"/>
      </w:r>
      <w:r>
        <w:rPr>
          <w:noProof/>
        </w:rPr>
        <w:t>. Efterlevnaden av koden kommer att övervakas av en särskild parlamentarisk kommitté. För andra tjänstemän, utöver den befintliga förvaltningsrätten</w:t>
      </w:r>
      <w:r>
        <w:rPr>
          <w:rFonts w:cs="Times New Roman"/>
          <w:noProof/>
          <w:szCs w:val="24"/>
          <w:vertAlign w:val="superscript"/>
        </w:rPr>
        <w:footnoteReference w:id="69"/>
      </w:r>
      <w:r>
        <w:rPr>
          <w:noProof/>
        </w:rPr>
        <w:t>, pågår ett projekt som syftar till att utforma en gemensam uppsättning principer för intressekonflikter för tjänstemän från alla sektorer</w:t>
      </w:r>
      <w:r>
        <w:rPr>
          <w:rFonts w:cs="Times New Roman"/>
          <w:iCs/>
          <w:noProof/>
          <w:szCs w:val="24"/>
          <w:vertAlign w:val="superscript"/>
        </w:rPr>
        <w:footnoteReference w:id="70"/>
      </w:r>
      <w:r>
        <w:rPr>
          <w:noProof/>
        </w:rPr>
        <w:t>.</w:t>
      </w:r>
    </w:p>
    <w:p>
      <w:pPr>
        <w:spacing w:after="0"/>
        <w:textAlignment w:val="baseline"/>
        <w:rPr>
          <w:rFonts w:eastAsia="Times New Roman" w:cs="Times New Roman"/>
          <w:noProof/>
          <w:color w:val="000000"/>
          <w:szCs w:val="24"/>
        </w:rPr>
      </w:pPr>
      <w:r>
        <w:rPr>
          <w:b/>
          <w:noProof/>
          <w:szCs w:val="24"/>
        </w:rPr>
        <w:t>Det finns inga uppgifter om genomförandet av ramen för redovisning av tillgångar</w:t>
      </w:r>
      <w:r>
        <w:rPr>
          <w:noProof/>
        </w:rPr>
        <w:t>. Trots att reglerna för redovisning av tillgångar har införts uppstod frågor gällande dessa redovisningars korrekthet och kontrollen av dem</w:t>
      </w:r>
      <w:r>
        <w:rPr>
          <w:rStyle w:val="FootnoteReference"/>
          <w:rFonts w:eastAsia="Times New Roman" w:cs="Times New Roman"/>
          <w:noProof/>
          <w:color w:val="000000"/>
          <w:szCs w:val="24"/>
          <w:bdr w:val="none" w:sz="0" w:space="0" w:color="auto" w:frame="1"/>
          <w:lang w:eastAsia="en-IE"/>
        </w:rPr>
        <w:footnoteReference w:id="71"/>
      </w:r>
      <w:r>
        <w:rPr>
          <w:noProof/>
        </w:rPr>
        <w:t>. Dessutom är det så att även om det finns regler och sanktioner för bristande efterlevnad av skyldigheten att redovisa tillgångar även för högre tjänstemän och personer i politiskt utsatt ställning (t.ex. parlamentsledamöter och landets president) är det fortfarande oklart hur effektiva de är eftersom information om genomförandet av systemet för redovisning av tillgångar saknas.</w:t>
      </w:r>
      <w:r>
        <w:rPr>
          <w:noProof/>
          <w:color w:val="000000"/>
          <w:szCs w:val="24"/>
          <w:bdr w:val="none" w:sz="0" w:space="0" w:color="auto" w:frame="1"/>
        </w:rPr>
        <w:t xml:space="preserve"> De farhågor som togs upp i förra årets rapport är således fortfarande giltiga. </w:t>
      </w:r>
    </w:p>
    <w:p>
      <w:pPr>
        <w:autoSpaceDE w:val="0"/>
        <w:autoSpaceDN w:val="0"/>
        <w:adjustRightInd w:val="0"/>
        <w:spacing w:after="0"/>
        <w:rPr>
          <w:rFonts w:cs="Times New Roman"/>
          <w:b/>
          <w:noProof/>
          <w:color w:val="000000"/>
          <w:szCs w:val="24"/>
          <w:bdr w:val="none" w:sz="0" w:space="0" w:color="auto" w:frame="1"/>
        </w:rPr>
      </w:pPr>
    </w:p>
    <w:p>
      <w:pPr>
        <w:autoSpaceDE w:val="0"/>
        <w:autoSpaceDN w:val="0"/>
        <w:adjustRightInd w:val="0"/>
        <w:spacing w:after="0"/>
        <w:rPr>
          <w:rFonts w:cs="Times New Roman"/>
          <w:noProof/>
          <w:color w:val="000000"/>
        </w:rPr>
      </w:pPr>
      <w:r>
        <w:rPr>
          <w:b/>
          <w:noProof/>
        </w:rPr>
        <w:t>Ett lagförslag om rapportering av korruptionshandlingar väntar på godkännande</w:t>
      </w:r>
      <w:r>
        <w:rPr>
          <w:rFonts w:cs="Times New Roman"/>
          <w:b/>
          <w:noProof/>
          <w:color w:val="000000"/>
          <w:vertAlign w:val="superscript"/>
        </w:rPr>
        <w:footnoteReference w:id="72"/>
      </w:r>
      <w:r>
        <w:rPr>
          <w:b/>
          <w:noProof/>
        </w:rPr>
        <w:t xml:space="preserve"> av lagstiftaren sedan maj 2017</w:t>
      </w:r>
      <w:r>
        <w:rPr>
          <w:noProof/>
        </w:rPr>
        <w:t>.</w:t>
      </w:r>
      <w:r>
        <w:rPr>
          <w:noProof/>
          <w:color w:val="000000"/>
        </w:rPr>
        <w:t xml:space="preserve"> Denna lagstiftning skulle införa nya bestämmelser om skydd för personer som rapporterar om korruption, både inom den offentliga och den privata sektorn</w:t>
      </w:r>
      <w:r>
        <w:rPr>
          <w:rFonts w:cs="Times New Roman"/>
          <w:noProof/>
          <w:color w:val="000000"/>
          <w:vertAlign w:val="superscript"/>
        </w:rPr>
        <w:footnoteReference w:id="73"/>
      </w:r>
      <w:r>
        <w:rPr>
          <w:noProof/>
          <w:color w:val="000000"/>
        </w:rPr>
        <w:t>.</w:t>
      </w:r>
    </w:p>
    <w:p>
      <w:pPr>
        <w:autoSpaceDE w:val="0"/>
        <w:autoSpaceDN w:val="0"/>
        <w:adjustRightInd w:val="0"/>
        <w:spacing w:after="0"/>
        <w:rPr>
          <w:rFonts w:cs="Times New Roman"/>
          <w:iCs/>
          <w:noProof/>
          <w:color w:val="000000"/>
          <w:szCs w:val="24"/>
        </w:rPr>
      </w:pPr>
    </w:p>
    <w:p>
      <w:pPr>
        <w:spacing w:after="160"/>
        <w:rPr>
          <w:rFonts w:cs="Times New Roman"/>
          <w:noProof/>
          <w:sz w:val="22"/>
        </w:rPr>
      </w:pPr>
      <w:r>
        <w:rPr>
          <w:b/>
          <w:noProof/>
          <w:szCs w:val="24"/>
        </w:rPr>
        <w:t xml:space="preserve">Åtgärder som syftar till att förhindra bedrägerier i stödordningarna har använts under covid-19-pandemin. </w:t>
      </w:r>
      <w:r>
        <w:rPr>
          <w:noProof/>
        </w:rPr>
        <w:t>Ministeriet för arbete, välfärd och socialpolitik har lanserat en kontrollmekanism, kopplad till socialförsäkringstjänstens databas, som möjliggör automatiska kontroller av mottagarna av covid-19-relaterade subventioner (även kallad ”särskilda ordningen”). I händelse av brott mot kriterierna för att kvalificera sig för den ”särskilda ordningen”, har ministeriet för arbete, välfärd och socialpolitik begärt att det berörda stödet ska återlämnas. Inom hälsosektorn är pristak för inköp av sådant som är nödvändigt för skydd mot sjukdom (t.ex. masker eller medicinska covid-19-tester) bland de åtgärder som syftar till att hantera korruptionsrisker</w:t>
      </w:r>
      <w:r>
        <w:rPr>
          <w:rStyle w:val="FootnoteReference"/>
          <w:rFonts w:cs="Times New Roman"/>
          <w:bCs/>
          <w:noProof/>
          <w:szCs w:val="24"/>
        </w:rPr>
        <w:footnoteReference w:id="74"/>
      </w:r>
      <w:r>
        <w:rPr>
          <w:noProof/>
        </w:rPr>
        <w:t>.</w:t>
      </w:r>
    </w:p>
    <w:p>
      <w:pPr>
        <w:pStyle w:val="Heading1"/>
        <w:numPr>
          <w:ilvl w:val="0"/>
          <w:numId w:val="8"/>
        </w:numPr>
        <w:rPr>
          <w:noProof/>
        </w:rPr>
      </w:pPr>
      <w:r>
        <w:rPr>
          <w:noProof/>
        </w:rPr>
        <w:t>Mediernas mångfald och oberoende</w:t>
      </w:r>
    </w:p>
    <w:p>
      <w:pPr>
        <w:rPr>
          <w:noProof/>
        </w:rPr>
      </w:pPr>
      <w:r>
        <w:rPr>
          <w:noProof/>
        </w:rPr>
        <w:t>I Cypern skyddas yttrandefriheten och rätten till tillgång till information rättsligt och formellt genom artikel 19 i författningen. Sekundärlagstiftningen skyddar uttryckligen journalisters rätt att skydda sina källor och främjar mediemångfald inom radio- och tv-sektorn. Lagen om rätten till åtkomst till information från den offentliga sektorn (2017) trädde i kraft i december 2020 efter flera förseningar, i syfte att förankra denna rätt i sekundärlagstiftningen</w:t>
      </w:r>
      <w:r>
        <w:rPr>
          <w:rStyle w:val="FootnoteReference"/>
          <w:noProof/>
        </w:rPr>
        <w:footnoteReference w:id="75"/>
      </w:r>
      <w:r>
        <w:rPr>
          <w:noProof/>
        </w:rPr>
        <w:t>. Lagen fastställer ramarna och villkoren för allmänhetens tillgång till information hos offentliga myndigheter och inrättar kommissariatet för information. Två separata lagförslag, som är planerade att antas under andra halvåret 2021, förväntas anpassa den cypriotiska lagstiftningen till direktivet om audiovisuella medietjänster och stärka pressfriheten</w:t>
      </w:r>
      <w:r>
        <w:rPr>
          <w:rFonts w:eastAsia="Times New Roman" w:cs="Times New Roman"/>
          <w:noProof/>
          <w:vertAlign w:val="superscript"/>
          <w:lang w:eastAsia="en-GB"/>
        </w:rPr>
        <w:footnoteReference w:id="76"/>
      </w:r>
      <w:r>
        <w:rPr>
          <w:noProof/>
        </w:rPr>
        <w:t>. Cypern delade ut ett statligt bidrag som huvudsakligen utgjordes av reklamintäkter till medierna för att de spred information till allmänheten om covid-19-pandemin.</w:t>
      </w:r>
    </w:p>
    <w:p>
      <w:pPr>
        <w:rPr>
          <w:noProof/>
        </w:rPr>
      </w:pPr>
      <w:r>
        <w:rPr>
          <w:b/>
          <w:bCs/>
          <w:noProof/>
        </w:rPr>
        <w:t>Ändringsförslag lämnades in</w:t>
      </w:r>
      <w:r>
        <w:rPr>
          <w:rStyle w:val="FootnoteReference"/>
          <w:b/>
          <w:bCs/>
          <w:noProof/>
        </w:rPr>
        <w:footnoteReference w:id="77"/>
      </w:r>
      <w:r>
        <w:rPr>
          <w:b/>
          <w:bCs/>
          <w:noProof/>
        </w:rPr>
        <w:t xml:space="preserve"> i syfte att stärka oberoendet för tillsynsmyndigheten för audiovisuella medietjänster, Cyperns radio- och tv-myndighet. </w:t>
      </w:r>
      <w:r>
        <w:rPr>
          <w:noProof/>
        </w:rPr>
        <w:t>Ändringar i lagen om radio- och tv-bolag 7(I)/1998 lämnades in till parlamentet för att uttryckligen fastslå myndighetens funktionella och effektiva oberoende genom att anpassa lagen till direktivet för audiovisuella medietjänster</w:t>
      </w:r>
      <w:r>
        <w:rPr>
          <w:rStyle w:val="FootnoteReference"/>
          <w:noProof/>
        </w:rPr>
        <w:footnoteReference w:id="78"/>
      </w:r>
      <w:r>
        <w:rPr>
          <w:noProof/>
        </w:rPr>
        <w:t>. Vidare är urvalskriterierna för styrelseledamöter i Cyperns radio- och tv-myndighet anpassade till Cyperns lag om offentlig förvaltning såsom den har tolkats i ministerrådets beslut 87/869, och säkerställer därmed att styrelseledamöterna besitter en hög grad av yrkeskvalifikationer</w:t>
      </w:r>
      <w:r>
        <w:rPr>
          <w:rStyle w:val="FootnoteReference"/>
          <w:noProof/>
        </w:rPr>
        <w:footnoteReference w:id="79"/>
      </w:r>
      <w:r>
        <w:rPr>
          <w:noProof/>
        </w:rPr>
        <w:t>.</w:t>
      </w:r>
    </w:p>
    <w:p>
      <w:pPr>
        <w:rPr>
          <w:noProof/>
        </w:rPr>
      </w:pPr>
      <w:r>
        <w:rPr>
          <w:b/>
          <w:bCs/>
          <w:noProof/>
        </w:rPr>
        <w:t>Cyperns oberoende pressråd, kommissionen för klagomål mot medier, består av 13 ledamöter och ansvarar för nyhetsmediernas självreglering, både i skrift och elektroniskt</w:t>
      </w:r>
      <w:r>
        <w:rPr>
          <w:noProof/>
        </w:rPr>
        <w:t>. Om det antas skulle lagförslaget om skydd av pressfrihet och mediers verksamhet</w:t>
      </w:r>
      <w:r>
        <w:rPr>
          <w:rStyle w:val="FootnoteReference"/>
          <w:noProof/>
        </w:rPr>
        <w:footnoteReference w:id="80"/>
      </w:r>
      <w:r>
        <w:rPr>
          <w:noProof/>
        </w:rPr>
        <w:t xml:space="preserve"> befästa kommissionen för klagomål i lag</w:t>
      </w:r>
      <w:r>
        <w:rPr>
          <w:rStyle w:val="FootnoteReference"/>
          <w:noProof/>
        </w:rPr>
        <w:footnoteReference w:id="81"/>
      </w:r>
      <w:r>
        <w:rPr>
          <w:noProof/>
        </w:rPr>
        <w:t>. Medan kommissionen för klagomål är helt fri från statlig inblandning och rättslig kontroll, påpekar övervakningsverktyget för mediepluralism att covid-19-pandemin och relaterade uppsägningar har förvärrat långvariga problem, eftersom kommissionens arbete till stor del är fokuserat på att skydda sysselsättningen och lönerna och mindre pådet redaktionella oberoendet</w:t>
      </w:r>
      <w:r>
        <w:rPr>
          <w:rStyle w:val="FootnoteReference"/>
          <w:noProof/>
        </w:rPr>
        <w:footnoteReference w:id="82"/>
      </w:r>
      <w:r>
        <w:rPr>
          <w:noProof/>
        </w:rPr>
        <w:t>.</w:t>
      </w:r>
    </w:p>
    <w:p>
      <w:pPr>
        <w:rPr>
          <w:noProof/>
        </w:rPr>
      </w:pPr>
      <w:r>
        <w:rPr>
          <w:b/>
          <w:bCs/>
          <w:noProof/>
        </w:rPr>
        <w:t xml:space="preserve">En förstärkning förväntas av Cyperns regelverk, som redan möjliggör en viss grad av öppenhet när det gäller ägarförhållandena inom sektorn för audiovisuella medier. </w:t>
      </w:r>
      <w:r>
        <w:rPr>
          <w:noProof/>
        </w:rPr>
        <w:t>I övervakningsverktyget för mediepluralism 2021 påminns om de farhågor som lyftes fram i övervakningsverktyget för mediepluralism 2020 och de risknivåer som man betonade där bekräftas när det gäller det effektiva genomförandet av de nuvarande bestämmelserna och avsaknaden av en ram som garanterar öppenhet om ägarna i sektorerna för tryckt press och digitala medier, vilket gör det svårt att identifiera och verifiera faktiska ägare eller korsvist ägande inom dessa sektorer. Lagförslaget, som för närvarande är på remiss, syftar till att åtgärda detta</w:t>
      </w:r>
      <w:r>
        <w:rPr>
          <w:rStyle w:val="FootnoteReference"/>
          <w:noProof/>
        </w:rPr>
        <w:footnoteReference w:id="83"/>
      </w:r>
      <w:r>
        <w:rPr>
          <w:noProof/>
        </w:rPr>
        <w:t xml:space="preserve"> genom att ålägga alla medier att offentliggöra granskade redovisningar med information om de verkliga ägarna</w:t>
      </w:r>
      <w:r>
        <w:rPr>
          <w:rStyle w:val="FootnoteReference"/>
          <w:noProof/>
        </w:rPr>
        <w:footnoteReference w:id="84"/>
      </w:r>
      <w:r>
        <w:rPr>
          <w:noProof/>
        </w:rPr>
        <w:t xml:space="preserve">. </w:t>
      </w:r>
    </w:p>
    <w:p>
      <w:pPr>
        <w:rPr>
          <w:noProof/>
        </w:rPr>
      </w:pPr>
      <w:r>
        <w:rPr>
          <w:b/>
          <w:bCs/>
          <w:noProof/>
        </w:rPr>
        <w:t>Mekanismer finns fortfarande för att värna om mediernas politiska oberoende och förhindra intressekonflikter</w:t>
      </w:r>
      <w:r>
        <w:rPr>
          <w:noProof/>
        </w:rPr>
        <w:t>. Samtidigt som en ram som reglerar statlig reklam fortfarande saknas, utdelades ett statligt stöd på 700 000 euro som främst består av reklamintäkter som utbetalades till medier för att informera allmänheten om covid-19-pandemin. I övervakningsverktyget för mediepluralism 2021 anges att de utdelade subventionerna är mer diversifierade än i tidigare system och att de drastiskt har minskat riskfaktorn i samband med indikatorn för statlig reglering av resurser</w:t>
      </w:r>
      <w:r>
        <w:rPr>
          <w:noProof/>
          <w:vertAlign w:val="superscript"/>
        </w:rPr>
        <w:footnoteReference w:id="85"/>
      </w:r>
      <w:r>
        <w:rPr>
          <w:noProof/>
        </w:rPr>
        <w:t>. I övervakningsverktyget för mediepluralism 2021 fastslås att risken generellt har minskat på området för politiskt oberoende (från 59 % till 55 %), även om den redaktionella självständigheten fortfarande äventyras och utsätts för höga risker på grund av att medieägare följer politiska agendor, vilket leder till en viss grad av självcensur av redaktionen</w:t>
      </w:r>
      <w:r>
        <w:rPr>
          <w:rStyle w:val="FootnoteReference"/>
          <w:noProof/>
        </w:rPr>
        <w:footnoteReference w:id="86"/>
      </w:r>
      <w:r>
        <w:rPr>
          <w:noProof/>
        </w:rPr>
        <w:t>. Arbete pågår med detaljerad mekanism som reglerar utbetalning av reklamintäkter för statens reklamkampanjer bortom covid-19-pandemin</w:t>
      </w:r>
      <w:r>
        <w:rPr>
          <w:rStyle w:val="FootnoteReference"/>
          <w:noProof/>
        </w:rPr>
        <w:footnoteReference w:id="87"/>
      </w:r>
      <w:r>
        <w:rPr>
          <w:noProof/>
        </w:rPr>
        <w:t>.</w:t>
      </w:r>
    </w:p>
    <w:p>
      <w:pPr>
        <w:rPr>
          <w:noProof/>
        </w:rPr>
      </w:pPr>
      <w:r>
        <w:rPr>
          <w:b/>
          <w:bCs/>
          <w:noProof/>
        </w:rPr>
        <w:t>Även om direkta hot förblir ovanliga har ett fall av nättrakasserier och övervakning av en journalist rapporterats.</w:t>
      </w:r>
      <w:r>
        <w:rPr>
          <w:noProof/>
        </w:rPr>
        <w:t xml:space="preserve"> Lagstadgade skyddsåtgärder för att skydda journalisters källor har vidtagits. När lagförslaget om skydd av pressfrihet och mediers verksamhet antas förväntas det förstärka yttrandefriheten både online och offline</w:t>
      </w:r>
      <w:r>
        <w:rPr>
          <w:rStyle w:val="FootnoteReference"/>
          <w:noProof/>
        </w:rPr>
        <w:footnoteReference w:id="88"/>
      </w:r>
      <w:r>
        <w:rPr>
          <w:noProof/>
        </w:rPr>
        <w:t>. Berörda parter har uttryckt oro i samband med stalkning, en cyberattack på och grova digitala trakasserier av en undersökande journalist</w:t>
      </w:r>
      <w:r>
        <w:rPr>
          <w:rStyle w:val="FootnoteReference"/>
          <w:noProof/>
        </w:rPr>
        <w:footnoteReference w:id="89"/>
      </w:r>
      <w:r>
        <w:rPr>
          <w:noProof/>
        </w:rPr>
        <w:t>, främst genom exponering på sociala medier</w:t>
      </w:r>
      <w:r>
        <w:rPr>
          <w:rStyle w:val="FootnoteReference"/>
          <w:noProof/>
        </w:rPr>
        <w:footnoteReference w:id="90"/>
      </w:r>
      <w:r>
        <w:rPr>
          <w:noProof/>
        </w:rPr>
        <w:t xml:space="preserve">. Europarådets plattform för att främja skyddet av journalistik och journalisters säkerhet hade inte publicerat några varningar sedan 2020 års rapport om rättsstatsprincipen om Republiken Cypern. </w:t>
      </w:r>
    </w:p>
    <w:p>
      <w:pPr>
        <w:pStyle w:val="Heading1"/>
        <w:numPr>
          <w:ilvl w:val="0"/>
          <w:numId w:val="8"/>
        </w:numPr>
        <w:rPr>
          <w:noProof/>
        </w:rPr>
      </w:pPr>
      <w:r>
        <w:rPr>
          <w:noProof/>
        </w:rPr>
        <w:t>Andra institutionella frågor som rör kontroller och motvikter</w:t>
      </w:r>
    </w:p>
    <w:p>
      <w:pPr>
        <w:rPr>
          <w:rFonts w:eastAsia="Times New Roman" w:cs="Times New Roman"/>
          <w:noProof/>
          <w:szCs w:val="20"/>
        </w:rPr>
      </w:pPr>
      <w:r>
        <w:rPr>
          <w:noProof/>
        </w:rPr>
        <w:t>Cypern är en representativ republik med president. Cyperns president är både statschef och regeringschef. Det cypriotiska parlamentet har lagstiftande befogenheter. Både parlamentsledamöter och ministrar har rätt att ta lagstiftningsinitiativ. Högsta domstolen är behörig att bedöma lagars författningsenlighet i samband med vissa mål som läggs fram vid domstolen</w:t>
      </w:r>
      <w:r>
        <w:rPr>
          <w:rFonts w:eastAsia="Times New Roman" w:cs="Times New Roman"/>
          <w:noProof/>
          <w:szCs w:val="20"/>
          <w:vertAlign w:val="superscript"/>
          <w:lang w:eastAsia="fr-FR"/>
        </w:rPr>
        <w:footnoteReference w:id="91"/>
      </w:r>
      <w:r>
        <w:rPr>
          <w:noProof/>
        </w:rPr>
        <w:t>. Det finns ett antal nationella oberoende myndigheter, organisationer och institutioner som strävar efter att skydda och värna mänskliga rättigheter.</w:t>
      </w:r>
    </w:p>
    <w:p>
      <w:pPr>
        <w:rPr>
          <w:rFonts w:eastAsia="Times New Roman" w:cs="Times New Roman"/>
          <w:b/>
          <w:noProof/>
          <w:szCs w:val="20"/>
        </w:rPr>
      </w:pPr>
      <w:r>
        <w:rPr>
          <w:b/>
          <w:noProof/>
        </w:rPr>
        <w:t>Trots de åtgärder som vidtagits för att förbättra intressenternas engagemang, genomförs inte alltid offentliga samråd på ett tidigt stadium av utformningen av politik och utarbetandet av förslag.</w:t>
      </w:r>
      <w:r>
        <w:rPr>
          <w:noProof/>
        </w:rPr>
        <w:t xml:space="preserve"> Öppet offentligt samråd om rättsakter sker sällan</w:t>
      </w:r>
      <w:r>
        <w:rPr>
          <w:rStyle w:val="FootnoteReference"/>
          <w:rFonts w:eastAsia="Times New Roman" w:cs="Times New Roman"/>
          <w:noProof/>
          <w:szCs w:val="20"/>
          <w:lang w:eastAsia="fr-FR"/>
        </w:rPr>
        <w:footnoteReference w:id="92"/>
      </w:r>
      <w:r>
        <w:rPr>
          <w:noProof/>
        </w:rPr>
        <w:t xml:space="preserve"> trots det åtagande som gjordes i samband med projektet för bättre lagstiftning samt cirkulären från finansministeriet och republikens lagråd</w:t>
      </w:r>
      <w:r>
        <w:rPr>
          <w:rStyle w:val="FootnoteReference"/>
          <w:rFonts w:eastAsia="Times New Roman" w:cs="Times New Roman"/>
          <w:noProof/>
          <w:szCs w:val="20"/>
          <w:lang w:eastAsia="fr-FR"/>
        </w:rPr>
        <w:footnoteReference w:id="93"/>
      </w:r>
      <w:r>
        <w:rPr>
          <w:noProof/>
        </w:rPr>
        <w:t>. I stället är samrådsprocessen om ett lagförslag inte särskilt tillgänglig för allmänheten och begränsad till diskussioner inom representanthuset. I detta skede delas lagstiftningsförslagen ut genom en vanlig distributionslista från justitieministeriet till i förväg utsedda intressenter</w:t>
      </w:r>
      <w:r>
        <w:rPr>
          <w:rStyle w:val="FootnoteReference"/>
          <w:rFonts w:eastAsia="Times New Roman" w:cs="Times New Roman"/>
          <w:noProof/>
          <w:szCs w:val="20"/>
          <w:lang w:eastAsia="fr-FR"/>
        </w:rPr>
        <w:footnoteReference w:id="94"/>
      </w:r>
      <w:r>
        <w:rPr>
          <w:noProof/>
        </w:rPr>
        <w:t xml:space="preserve"> så att de kan lämna synpunkter och/eller delta i diskussionerna i de berörda ständiga parlamentsutskotten</w:t>
      </w:r>
      <w:r>
        <w:rPr>
          <w:rStyle w:val="FootnoteReference"/>
          <w:rFonts w:eastAsia="Times New Roman" w:cs="Times New Roman"/>
          <w:noProof/>
          <w:szCs w:val="20"/>
          <w:lang w:eastAsia="fr-FR"/>
        </w:rPr>
        <w:footnoteReference w:id="95"/>
      </w:r>
      <w:r>
        <w:rPr>
          <w:noProof/>
        </w:rPr>
        <w:t>. Statsåklagaren gör en granskning i förväg av lagförslag för att kontrollera efterlevnaden av principerna om lagenlighet och proportionalitet</w:t>
      </w:r>
      <w:r>
        <w:rPr>
          <w:rStyle w:val="FootnoteReference"/>
          <w:rFonts w:eastAsia="Times New Roman" w:cs="Times New Roman"/>
          <w:noProof/>
          <w:szCs w:val="20"/>
          <w:lang w:eastAsia="fr-FR"/>
        </w:rPr>
        <w:footnoteReference w:id="96"/>
      </w:r>
      <w:r>
        <w:rPr>
          <w:noProof/>
        </w:rPr>
        <w:t xml:space="preserve">. </w:t>
      </w:r>
    </w:p>
    <w:p>
      <w:pPr>
        <w:rPr>
          <w:rFonts w:cs="Times New Roman"/>
          <w:bCs/>
          <w:noProof/>
        </w:rPr>
      </w:pPr>
      <w:r>
        <w:rPr>
          <w:b/>
          <w:bCs/>
          <w:noProof/>
        </w:rPr>
        <w:t>Regeringen har fått befogenhet att vidta åtgärder för att hantera covid-19-pandemin.</w:t>
      </w:r>
      <w:r>
        <w:rPr>
          <w:noProof/>
        </w:rPr>
        <w:t xml:space="preserve"> Det akutläge som anges i författningen har inte utropats i Cypern. Restriktioner infördes emellertid enligt karantänlagen, som ger ministerrådet</w:t>
      </w:r>
      <w:r>
        <w:rPr>
          <w:rStyle w:val="FootnoteReference"/>
          <w:rFonts w:cs="Times New Roman"/>
          <w:bCs/>
          <w:noProof/>
        </w:rPr>
        <w:footnoteReference w:id="97"/>
      </w:r>
      <w:r>
        <w:rPr>
          <w:noProof/>
        </w:rPr>
        <w:t xml:space="preserve"> befogenhet att utfärda föreskrifter, på grund av covid-19-pandemin, som gäller både för medborgare, myndigheter och företag</w:t>
      </w:r>
      <w:r>
        <w:rPr>
          <w:rStyle w:val="FootnoteReference"/>
          <w:rFonts w:cs="Times New Roman"/>
          <w:bCs/>
          <w:noProof/>
        </w:rPr>
        <w:footnoteReference w:id="98"/>
      </w:r>
      <w:r>
        <w:rPr>
          <w:noProof/>
        </w:rPr>
        <w:t>. Cyperns parlament övervakar regelbundet genomförandet av alla covid-19-relaterade åtgärder</w:t>
      </w:r>
      <w:r>
        <w:rPr>
          <w:rStyle w:val="FootnoteReference"/>
          <w:rFonts w:cs="Times New Roman"/>
          <w:bCs/>
          <w:noProof/>
        </w:rPr>
        <w:footnoteReference w:id="99"/>
      </w:r>
      <w:r>
        <w:rPr>
          <w:noProof/>
        </w:rPr>
        <w:t>. Enligt uppgifter från regeringen har de restriktiva åtgärderna hittills endast ifrågasatts en gång, i ett fall från 2020 som fortfarande är anhängigt förvaltningsdomstolen och som handlar om hur många anställda som tillåts på kontor och andra arbetsplatser</w:t>
      </w:r>
      <w:r>
        <w:rPr>
          <w:rFonts w:cs="Times New Roman"/>
          <w:bCs/>
          <w:noProof/>
          <w:szCs w:val="24"/>
          <w:vertAlign w:val="superscript"/>
        </w:rPr>
        <w:footnoteReference w:id="100"/>
      </w:r>
      <w:r>
        <w:rPr>
          <w:noProof/>
        </w:rPr>
        <w:t xml:space="preserve">. </w:t>
      </w:r>
    </w:p>
    <w:p>
      <w:pPr>
        <w:rPr>
          <w:rFonts w:asciiTheme="minorHAnsi" w:hAnsiTheme="minorHAnsi"/>
          <w:noProof/>
          <w:sz w:val="22"/>
        </w:rPr>
      </w:pPr>
      <w:r>
        <w:rPr>
          <w:b/>
          <w:bCs/>
          <w:noProof/>
        </w:rPr>
        <w:t>I samband med covid-19-pandemin har ombudsmannen varit aktiv för att hjälpa medborgarna.</w:t>
      </w:r>
      <w:r>
        <w:rPr>
          <w:noProof/>
        </w:rPr>
        <w:t xml:space="preserve"> Sedan mars 2020 har ombudsmannen genomfört en medvetenhetskampanj relaterad till covid-19-pandemin och skyddet av de mänskliga rättigheterna</w:t>
      </w:r>
      <w:r>
        <w:rPr>
          <w:rStyle w:val="FootnoteReference"/>
          <w:rFonts w:cs="Times New Roman"/>
          <w:bCs/>
          <w:noProof/>
        </w:rPr>
        <w:footnoteReference w:id="101"/>
      </w:r>
      <w:r>
        <w:rPr>
          <w:noProof/>
        </w:rPr>
        <w:t>. Ombudsmannen ackrediterades med B-status genom den globala alliansen av nationella människorättsinstitutioner (GANHRI) 2015</w:t>
      </w:r>
      <w:r>
        <w:rPr>
          <w:rFonts w:cs="Times New Roman"/>
          <w:bCs/>
          <w:noProof/>
          <w:vertAlign w:val="superscript"/>
        </w:rPr>
        <w:footnoteReference w:id="102"/>
      </w:r>
      <w:r>
        <w:rPr>
          <w:noProof/>
        </w:rPr>
        <w:t xml:space="preserve"> och denna ackreditering kommer att ses över i juni 2021</w:t>
      </w:r>
      <w:r>
        <w:rPr>
          <w:rFonts w:cs="Times New Roman"/>
          <w:bCs/>
          <w:noProof/>
          <w:vertAlign w:val="superscript"/>
        </w:rPr>
        <w:footnoteReference w:id="103"/>
      </w:r>
      <w:r>
        <w:rPr>
          <w:noProof/>
        </w:rPr>
        <w:t xml:space="preserve">. </w:t>
      </w:r>
    </w:p>
    <w:p>
      <w:pPr>
        <w:rPr>
          <w:noProof/>
          <w:color w:val="000000" w:themeColor="text1"/>
        </w:rPr>
      </w:pPr>
      <w:r>
        <w:rPr>
          <w:b/>
          <w:noProof/>
        </w:rPr>
        <w:t>Vissa framsteg har visserligen gjorts, men det finns fortfarande farhågor när det gäller registreringen av organisationer i det civila samhället</w:t>
      </w:r>
      <w:r>
        <w:rPr>
          <w:rStyle w:val="FootnoteReference"/>
          <w:rFonts w:eastAsia="Times New Roman" w:cs="Times New Roman"/>
          <w:b/>
          <w:noProof/>
          <w:szCs w:val="20"/>
          <w:lang w:eastAsia="fr-FR"/>
        </w:rPr>
        <w:footnoteReference w:id="104"/>
      </w:r>
      <w:r>
        <w:rPr>
          <w:b/>
          <w:noProof/>
        </w:rPr>
        <w:t>.</w:t>
      </w:r>
      <w:r>
        <w:rPr>
          <w:b/>
          <w:noProof/>
          <w:szCs w:val="20"/>
        </w:rPr>
        <w:t xml:space="preserve"> </w:t>
      </w:r>
      <w:r>
        <w:rPr>
          <w:noProof/>
        </w:rPr>
        <w:t>Dessa farhågor upprepades av kommissionären för mänskliga rättigheter i Europarådet</w:t>
      </w:r>
      <w:r>
        <w:rPr>
          <w:rFonts w:cs="Times New Roman"/>
          <w:noProof/>
          <w:szCs w:val="24"/>
          <w:vertAlign w:val="superscript"/>
          <w:lang w:eastAsia="en-GB"/>
        </w:rPr>
        <w:footnoteReference w:id="105"/>
      </w:r>
      <w:r>
        <w:rPr>
          <w:noProof/>
        </w:rPr>
        <w:t>, nämligen vad gäller icke-statliga organisationers förmåga att verka i Cypern och genomförandet av lagstiftningen om föreningar som nyligen har lett till avregistrering av ett flertal icke-statliga organisationer. Som svar på dessa frågor</w:t>
      </w:r>
      <w:r>
        <w:rPr>
          <w:rFonts w:cs="Times New Roman"/>
          <w:noProof/>
          <w:szCs w:val="24"/>
          <w:vertAlign w:val="superscript"/>
          <w:lang w:eastAsia="en-GB"/>
        </w:rPr>
        <w:footnoteReference w:id="106"/>
      </w:r>
      <w:r>
        <w:rPr>
          <w:noProof/>
        </w:rPr>
        <w:t xml:space="preserve"> betonade regeringen att 2017 års lagstiftning</w:t>
      </w:r>
      <w:r>
        <w:rPr>
          <w:rFonts w:cs="Times New Roman"/>
          <w:noProof/>
          <w:szCs w:val="24"/>
          <w:vertAlign w:val="superscript"/>
          <w:lang w:eastAsia="en-GB"/>
        </w:rPr>
        <w:footnoteReference w:id="107"/>
      </w:r>
      <w:r>
        <w:rPr>
          <w:noProof/>
        </w:rPr>
        <w:t xml:space="preserve"> inför inslag av öppenhet och ansvarstagande för icke-statliga organisationers verksamhet i enlighet med både riktlinjerna från arbetsgruppen för finansiella åtgärder (FATF)</w:t>
      </w:r>
      <w:r>
        <w:rPr>
          <w:rFonts w:cs="Times New Roman"/>
          <w:noProof/>
          <w:szCs w:val="24"/>
          <w:vertAlign w:val="superscript"/>
          <w:lang w:eastAsia="en-GB"/>
        </w:rPr>
        <w:footnoteReference w:id="108"/>
      </w:r>
      <w:r>
        <w:rPr>
          <w:noProof/>
        </w:rPr>
        <w:t xml:space="preserve"> för att skydda icke-statliga organisationer från finansiering av terrorism och med EU:s femte direktiv för förebyggande och övervakning av penningtvätt</w:t>
      </w:r>
      <w:r>
        <w:rPr>
          <w:rStyle w:val="FootnoteReference"/>
          <w:rFonts w:cs="Times New Roman"/>
          <w:noProof/>
          <w:szCs w:val="24"/>
          <w:lang w:eastAsia="en-GB"/>
        </w:rPr>
        <w:footnoteReference w:id="109"/>
      </w:r>
      <w:r>
        <w:rPr>
          <w:noProof/>
        </w:rPr>
        <w:t>. Registrering av sammanslutningar av organisationer är nu möjligt direkt utan att medlemmarna också registreras individuellt</w:t>
      </w:r>
      <w:r>
        <w:rPr>
          <w:noProof/>
          <w:color w:val="000000" w:themeColor="text1"/>
          <w:vertAlign w:val="superscript"/>
        </w:rPr>
        <w:footnoteReference w:id="110"/>
      </w:r>
      <w:r>
        <w:rPr>
          <w:noProof/>
        </w:rPr>
        <w:t>.</w:t>
      </w:r>
      <w:r>
        <w:rPr>
          <w:noProof/>
          <w:color w:val="000000" w:themeColor="text1"/>
        </w:rPr>
        <w:t xml:space="preserve"> </w:t>
      </w:r>
    </w:p>
    <w:p>
      <w:pPr>
        <w:rPr>
          <w:rFonts w:eastAsia="Times New Roman" w:cs="Times New Roman"/>
          <w:noProof/>
          <w:szCs w:val="20"/>
          <w:lang w:eastAsia="fr-FR"/>
        </w:rPr>
      </w:pPr>
    </w:p>
    <w:p>
      <w:pPr>
        <w:pageBreakBefore/>
        <w:spacing w:after="120"/>
        <w:rPr>
          <w:rFonts w:eastAsia="Times New Roman" w:cs="Times New Roman"/>
          <w:b/>
          <w:bCs/>
          <w:noProof/>
          <w:sz w:val="22"/>
        </w:rPr>
      </w:pPr>
      <w:r>
        <w:rPr>
          <w:b/>
          <w:bCs/>
          <w:noProof/>
          <w:sz w:val="22"/>
        </w:rPr>
        <w:t>Bilaga I: Källförteckning i alfabetisk ordning*</w:t>
      </w:r>
    </w:p>
    <w:p>
      <w:pPr>
        <w:spacing w:after="120"/>
        <w:rPr>
          <w:rFonts w:eastAsia="Times New Roman" w:cs="Times New Roman"/>
          <w:i/>
          <w:iCs/>
          <w:noProof/>
          <w:sz w:val="22"/>
        </w:rPr>
      </w:pPr>
      <w:r>
        <w:rPr>
          <w:noProof/>
        </w:rPr>
        <w:t xml:space="preserve">* Förteckningen över bidrag som mottagits i samband med samrådet om 2021 års rapport om rättsstatsprincipen finns på </w:t>
      </w:r>
      <w:hyperlink r:id="rId16" w:history="1">
        <w:r>
          <w:rPr>
            <w:rStyle w:val="Hyperlink"/>
            <w:i/>
            <w:iCs/>
            <w:noProof/>
            <w:sz w:val="22"/>
          </w:rPr>
          <w:t>https://ec.europa.eu/info/policies/justice-and-fundamental-rights/upholding-rule-law/rule-law/rule-law-mechanism/2021-rule-law-report-targeted-stakeholder-consultation</w:t>
        </w:r>
      </w:hyperlink>
      <w:r>
        <w:rPr>
          <w:noProof/>
        </w:rPr>
        <w:t>.</w:t>
      </w:r>
    </w:p>
    <w:p>
      <w:pPr>
        <w:spacing w:after="120"/>
        <w:rPr>
          <w:rFonts w:cs="Times New Roman"/>
          <w:bCs/>
          <w:noProof/>
          <w:sz w:val="22"/>
        </w:rPr>
      </w:pPr>
      <w:r>
        <w:rPr>
          <w:noProof/>
        </w:rPr>
        <w:t xml:space="preserve">Arbetsgruppen för finansiella åtgärder (2015), </w:t>
      </w:r>
      <w:r>
        <w:rPr>
          <w:i/>
          <w:noProof/>
        </w:rPr>
        <w:t>Combating the abuse of non-profit organisations (recommendation 8)</w:t>
      </w:r>
      <w:r>
        <w:rPr>
          <w:noProof/>
        </w:rPr>
        <w:t xml:space="preserve"> (</w:t>
      </w:r>
      <w:hyperlink r:id="rId17" w:history="1">
        <w:r>
          <w:rPr>
            <w:rStyle w:val="Hyperlink"/>
            <w:bCs/>
            <w:noProof/>
            <w:sz w:val="22"/>
          </w:rPr>
          <w:t>http://www.fatf-gafi.org/media/fatf/documents/reports/BPP-combating-abuse-non-profit-organisations.pdf</w:t>
        </w:r>
      </w:hyperlink>
      <w:r>
        <w:rPr>
          <w:noProof/>
        </w:rPr>
        <w:t>).</w:t>
      </w:r>
      <w:r>
        <w:rPr>
          <w:bCs/>
          <w:noProof/>
          <w:sz w:val="22"/>
        </w:rPr>
        <w:t xml:space="preserve"> </w:t>
      </w:r>
    </w:p>
    <w:p>
      <w:pPr>
        <w:spacing w:after="120"/>
        <w:rPr>
          <w:rFonts w:cs="Times New Roman"/>
          <w:bCs/>
          <w:noProof/>
          <w:sz w:val="22"/>
        </w:rPr>
      </w:pPr>
      <w:r>
        <w:rPr>
          <w:noProof/>
        </w:rPr>
        <w:t>Brev från Dunja Mijatović, kommissionär för mänskliga rättigheter, till Nicos Nouris, Cyperns inrikesminister (2021) (</w:t>
      </w:r>
      <w:hyperlink r:id="rId18" w:history="1">
        <w:r>
          <w:rPr>
            <w:rStyle w:val="Hyperlink"/>
            <w:bCs/>
            <w:noProof/>
            <w:sz w:val="22"/>
          </w:rPr>
          <w:t>https://rm.coe.int/letter-to-mr-nicos-nouris-minister-of-interior-of-cyprus-by-ms-dunja-m/1680a1c09b</w:t>
        </w:r>
      </w:hyperlink>
      <w:r>
        <w:rPr>
          <w:noProof/>
        </w:rPr>
        <w:t>).</w:t>
      </w:r>
    </w:p>
    <w:p>
      <w:pPr>
        <w:spacing w:after="120"/>
        <w:rPr>
          <w:rStyle w:val="Hyperlink"/>
          <w:rFonts w:cs="Times New Roman"/>
          <w:bCs/>
          <w:i/>
          <w:noProof/>
          <w:color w:val="auto"/>
          <w:sz w:val="22"/>
          <w:u w:val="none"/>
        </w:rPr>
      </w:pPr>
      <w:r>
        <w:rPr>
          <w:noProof/>
          <w:sz w:val="22"/>
        </w:rPr>
        <w:t xml:space="preserve">Byrån för grundläggande rättigheter (2021), </w:t>
      </w:r>
      <w:r>
        <w:rPr>
          <w:i/>
          <w:noProof/>
          <w:sz w:val="22"/>
        </w:rPr>
        <w:t>Contribution from the Fundamental Rights Agency to the 2021 Rule of Law Report.</w:t>
      </w:r>
    </w:p>
    <w:p>
      <w:pPr>
        <w:spacing w:after="120"/>
        <w:rPr>
          <w:rFonts w:cs="Times New Roman"/>
          <w:noProof/>
          <w:sz w:val="22"/>
        </w:rPr>
      </w:pPr>
      <w:r>
        <w:rPr>
          <w:noProof/>
          <w:sz w:val="22"/>
        </w:rPr>
        <w:t>Centre for Media Pluralism and Media Freedom (2021),</w:t>
      </w:r>
      <w:r>
        <w:rPr>
          <w:i/>
          <w:iCs/>
          <w:noProof/>
          <w:sz w:val="22"/>
        </w:rPr>
        <w:t xml:space="preserve"> Media pluralism monitor 2021</w:t>
      </w:r>
      <w:r>
        <w:rPr>
          <w:noProof/>
          <w:sz w:val="22"/>
        </w:rPr>
        <w:t xml:space="preserve"> –</w:t>
      </w:r>
      <w:r>
        <w:rPr>
          <w:i/>
          <w:noProof/>
          <w:sz w:val="22"/>
        </w:rPr>
        <w:t xml:space="preserve"> Report on Cyprus</w:t>
      </w:r>
      <w:r>
        <w:rPr>
          <w:noProof/>
          <w:sz w:val="22"/>
        </w:rPr>
        <w:t xml:space="preserve"> (länken läggs till när den blir tillgänglig).</w:t>
      </w:r>
    </w:p>
    <w:p>
      <w:pPr>
        <w:spacing w:after="120"/>
        <w:rPr>
          <w:rFonts w:cs="Times New Roman"/>
          <w:noProof/>
          <w:sz w:val="22"/>
        </w:rPr>
      </w:pPr>
      <w:r>
        <w:rPr>
          <w:noProof/>
          <w:sz w:val="22"/>
        </w:rPr>
        <w:t>Cepej (2020), Undersökning om rättssystemens funktion i EU:s medlemsstater.</w:t>
      </w:r>
    </w:p>
    <w:p>
      <w:pPr>
        <w:spacing w:after="120"/>
        <w:rPr>
          <w:rFonts w:cs="Times New Roman"/>
          <w:bCs/>
          <w:noProof/>
          <w:sz w:val="22"/>
        </w:rPr>
      </w:pPr>
      <w:r>
        <w:rPr>
          <w:bCs/>
          <w:noProof/>
          <w:sz w:val="22"/>
        </w:rPr>
        <w:t xml:space="preserve">Cyperns advokatsamfund (2021), </w:t>
      </w:r>
      <w:r>
        <w:rPr>
          <w:bCs/>
          <w:i/>
          <w:noProof/>
          <w:sz w:val="22"/>
        </w:rPr>
        <w:t>Contribution from the Cyprus Bar Association for the 2021 Rule of Law Report</w:t>
      </w:r>
      <w:r>
        <w:rPr>
          <w:bCs/>
          <w:noProof/>
          <w:sz w:val="22"/>
        </w:rPr>
        <w:t xml:space="preserve"> (bidrag från Cyperns advokatsamfund till 2021 års rapport om rättsstatsprincipen).</w:t>
      </w:r>
    </w:p>
    <w:p>
      <w:pPr>
        <w:spacing w:after="120"/>
        <w:rPr>
          <w:rFonts w:cs="Times New Roman"/>
          <w:bCs/>
          <w:i/>
          <w:noProof/>
          <w:sz w:val="22"/>
        </w:rPr>
      </w:pPr>
      <w:r>
        <w:rPr>
          <w:bCs/>
          <w:noProof/>
          <w:sz w:val="22"/>
        </w:rPr>
        <w:t>Cyperns högsta domstol (2021), bidrag från Cyperns högsta domstol till 2021 års rapport om rättsstatsprincipen.</w:t>
      </w:r>
    </w:p>
    <w:p>
      <w:pPr>
        <w:spacing w:after="120"/>
        <w:rPr>
          <w:rFonts w:cs="Times New Roman"/>
          <w:bCs/>
          <w:noProof/>
          <w:sz w:val="22"/>
        </w:rPr>
      </w:pPr>
      <w:r>
        <w:rPr>
          <w:bCs/>
          <w:noProof/>
          <w:sz w:val="22"/>
        </w:rPr>
        <w:t>Cyperns regering (2021), underlag från Cypern till 2021 års rapport om rättsstatsprincipen.</w:t>
      </w:r>
    </w:p>
    <w:p>
      <w:pPr>
        <w:spacing w:after="120"/>
        <w:rPr>
          <w:rFonts w:cs="Times New Roman"/>
          <w:bCs/>
          <w:noProof/>
          <w:sz w:val="22"/>
        </w:rPr>
      </w:pPr>
      <w:r>
        <w:rPr>
          <w:noProof/>
        </w:rPr>
        <w:t xml:space="preserve">Cyperns undersökningskommission (2021), </w:t>
      </w:r>
      <w:r>
        <w:rPr>
          <w:i/>
          <w:noProof/>
        </w:rPr>
        <w:t>Interim Report on the procedure of granting citizenship to foreign investors and businessmen</w:t>
      </w:r>
      <w:r>
        <w:rPr>
          <w:noProof/>
        </w:rPr>
        <w:t xml:space="preserve"> (delårsrapport om förfarandet att bevilja medborgarskap till utländska investerare och affärsmän) (</w:t>
      </w:r>
      <w:hyperlink r:id="rId19" w:history="1">
        <w:r>
          <w:rPr>
            <w:rStyle w:val="Hyperlink"/>
            <w:bCs/>
            <w:noProof/>
            <w:sz w:val="22"/>
          </w:rPr>
          <w:t>https://www.pio.gov.cy/assets/pdf/newsroom/2021/04/Interim Report 27 04 2021(pdf).pdf</w:t>
        </w:r>
      </w:hyperlink>
      <w:r>
        <w:rPr>
          <w:noProof/>
        </w:rPr>
        <w:t>).</w:t>
      </w:r>
    </w:p>
    <w:p>
      <w:pPr>
        <w:spacing w:after="120"/>
        <w:rPr>
          <w:rFonts w:cs="Times New Roman"/>
          <w:noProof/>
          <w:color w:val="000000"/>
          <w:sz w:val="22"/>
        </w:rPr>
      </w:pPr>
      <w:r>
        <w:rPr>
          <w:noProof/>
          <w:color w:val="000000"/>
          <w:sz w:val="22"/>
        </w:rPr>
        <w:t>Europarådet: Ministerkommitténs rekommendation CM/Rec(2010)12 till medlemsstaterna om domares</w:t>
      </w:r>
      <w:r>
        <w:rPr>
          <w:i/>
          <w:noProof/>
          <w:color w:val="000000"/>
          <w:sz w:val="22"/>
        </w:rPr>
        <w:t xml:space="preserve"> </w:t>
      </w:r>
      <w:r>
        <w:rPr>
          <w:noProof/>
          <w:color w:val="000000"/>
          <w:sz w:val="22"/>
        </w:rPr>
        <w:t>oberoende, effektivitet och ansvar.</w:t>
      </w:r>
    </w:p>
    <w:p>
      <w:pPr>
        <w:spacing w:after="120"/>
        <w:rPr>
          <w:rStyle w:val="Hyperlink"/>
          <w:rFonts w:cs="Times New Roman"/>
          <w:bCs/>
          <w:i/>
          <w:noProof/>
          <w:color w:val="auto"/>
          <w:sz w:val="22"/>
          <w:u w:val="none"/>
        </w:rPr>
      </w:pPr>
      <w:r>
        <w:rPr>
          <w:rStyle w:val="Hyperlink"/>
          <w:bCs/>
          <w:noProof/>
          <w:color w:val="auto"/>
          <w:sz w:val="22"/>
          <w:u w:val="none"/>
        </w:rPr>
        <w:t>Europeiska kommissionen (2020),</w:t>
      </w:r>
      <w:r>
        <w:rPr>
          <w:rStyle w:val="Hyperlink"/>
          <w:bCs/>
          <w:i/>
          <w:noProof/>
          <w:color w:val="auto"/>
          <w:sz w:val="22"/>
          <w:u w:val="none"/>
        </w:rPr>
        <w:t xml:space="preserve"> 2020 års rapport om rättsstatsprincipen - Rättsstatssituationen i Europeiska unionen</w:t>
      </w:r>
    </w:p>
    <w:p>
      <w:pPr>
        <w:spacing w:after="120"/>
        <w:rPr>
          <w:rStyle w:val="Hyperlink"/>
          <w:rFonts w:cs="Times New Roman"/>
          <w:bCs/>
          <w:noProof/>
          <w:color w:val="auto"/>
          <w:sz w:val="22"/>
          <w:u w:val="none"/>
        </w:rPr>
      </w:pPr>
      <w:r>
        <w:rPr>
          <w:bCs/>
          <w:noProof/>
          <w:sz w:val="22"/>
        </w:rPr>
        <w:t xml:space="preserve">Europeiska kommissionen (2020), </w:t>
      </w:r>
      <w:r>
        <w:rPr>
          <w:bCs/>
          <w:i/>
          <w:noProof/>
          <w:sz w:val="22"/>
        </w:rPr>
        <w:t xml:space="preserve">Investor citizenship schemes: </w:t>
      </w:r>
      <w:r>
        <w:rPr>
          <w:i/>
          <w:noProof/>
        </w:rPr>
        <w:t>European Commission opens infringements against Cyprus and Malta for ”selling” EU citizenship</w:t>
      </w:r>
      <w:r>
        <w:rPr>
          <w:noProof/>
        </w:rPr>
        <w:t>, INFR (2020) 2300 (</w:t>
      </w:r>
      <w:hyperlink r:id="rId20" w:history="1">
        <w:r>
          <w:rPr>
            <w:rStyle w:val="Hyperlink"/>
            <w:noProof/>
            <w:sz w:val="22"/>
          </w:rPr>
          <w:t>https://ec.europa.eu/commission/presscorner/detail/en/ip_20_1925</w:t>
        </w:r>
      </w:hyperlink>
      <w:r>
        <w:rPr>
          <w:noProof/>
        </w:rPr>
        <w:t>).</w:t>
      </w:r>
      <w:r>
        <w:rPr>
          <w:bCs/>
          <w:noProof/>
          <w:sz w:val="22"/>
        </w:rPr>
        <w:t xml:space="preserve"> </w:t>
      </w:r>
    </w:p>
    <w:p>
      <w:pPr>
        <w:spacing w:after="120"/>
        <w:rPr>
          <w:rFonts w:cs="Times New Roman"/>
          <w:noProof/>
          <w:color w:val="000000"/>
          <w:sz w:val="22"/>
        </w:rPr>
      </w:pPr>
      <w:r>
        <w:rPr>
          <w:noProof/>
          <w:color w:val="000000"/>
          <w:sz w:val="22"/>
        </w:rPr>
        <w:t xml:space="preserve">Europeiska kommissionen (2021), </w:t>
      </w:r>
      <w:r>
        <w:rPr>
          <w:i/>
          <w:noProof/>
          <w:color w:val="000000"/>
          <w:sz w:val="22"/>
        </w:rPr>
        <w:t>EU:s resultattavla för rättvisa.</w:t>
      </w:r>
    </w:p>
    <w:p>
      <w:pPr>
        <w:spacing w:after="120"/>
        <w:rPr>
          <w:rFonts w:cs="Times New Roman"/>
          <w:noProof/>
          <w:color w:val="000000"/>
          <w:sz w:val="22"/>
        </w:rPr>
      </w:pPr>
      <w:r>
        <w:rPr>
          <w:noProof/>
          <w:color w:val="000000"/>
          <w:sz w:val="22"/>
        </w:rPr>
        <w:t>Europeiska kommissionens presshörna (2021), Överträdelser i juni:</w:t>
      </w:r>
      <w:r>
        <w:rPr>
          <w:i/>
          <w:noProof/>
          <w:color w:val="000000"/>
          <w:sz w:val="22"/>
        </w:rPr>
        <w:t xml:space="preserve"> </w:t>
      </w:r>
      <w:r>
        <w:rPr>
          <w:noProof/>
        </w:rPr>
        <w:t>Viktiga beslut (</w:t>
      </w:r>
      <w:hyperlink r:id="rId21" w:history="1">
        <w:r>
          <w:rPr>
            <w:rStyle w:val="Hyperlink"/>
            <w:bCs/>
            <w:noProof/>
            <w:sz w:val="22"/>
          </w:rPr>
          <w:t>https://ec.europa.eu/commission/presscorner/detail/en/inf_21_2743</w:t>
        </w:r>
      </w:hyperlink>
      <w:r>
        <w:rPr>
          <w:noProof/>
        </w:rPr>
        <w:t>).</w:t>
      </w:r>
    </w:p>
    <w:p>
      <w:pPr>
        <w:spacing w:after="120"/>
        <w:rPr>
          <w:rFonts w:cs="Times New Roman"/>
          <w:noProof/>
          <w:sz w:val="22"/>
        </w:rPr>
      </w:pPr>
      <w:r>
        <w:rPr>
          <w:noProof/>
          <w:sz w:val="22"/>
        </w:rPr>
        <w:t>Generaldirektoratet för kommunikation (2019), Flash Eurobarometer 482 om</w:t>
      </w:r>
      <w:r>
        <w:rPr>
          <w:i/>
          <w:iCs/>
          <w:noProof/>
          <w:sz w:val="22"/>
        </w:rPr>
        <w:t xml:space="preserve"> </w:t>
      </w:r>
      <w:r>
        <w:rPr>
          <w:noProof/>
          <w:sz w:val="22"/>
        </w:rPr>
        <w:t>företagens inställning till korruption i EU.</w:t>
      </w:r>
    </w:p>
    <w:p>
      <w:pPr>
        <w:spacing w:after="120"/>
        <w:rPr>
          <w:rFonts w:cs="Times New Roman"/>
          <w:noProof/>
          <w:sz w:val="22"/>
        </w:rPr>
      </w:pPr>
      <w:r>
        <w:rPr>
          <w:noProof/>
          <w:sz w:val="22"/>
        </w:rPr>
        <w:t>Generaldirektoratet för kommunikation (2020), särskild Eurobarometer 502 om</w:t>
      </w:r>
      <w:r>
        <w:rPr>
          <w:i/>
          <w:iCs/>
          <w:noProof/>
          <w:sz w:val="22"/>
        </w:rPr>
        <w:t xml:space="preserve"> </w:t>
      </w:r>
      <w:r>
        <w:rPr>
          <w:noProof/>
          <w:sz w:val="22"/>
        </w:rPr>
        <w:t>korruption.</w:t>
      </w:r>
    </w:p>
    <w:p>
      <w:pPr>
        <w:spacing w:after="120"/>
        <w:rPr>
          <w:rFonts w:cs="Times New Roman"/>
          <w:bCs/>
          <w:i/>
          <w:noProof/>
          <w:sz w:val="22"/>
        </w:rPr>
      </w:pPr>
      <w:r>
        <w:rPr>
          <w:noProof/>
        </w:rPr>
        <w:t xml:space="preserve">Greco (2020), </w:t>
      </w:r>
      <w:r>
        <w:rPr>
          <w:i/>
          <w:noProof/>
        </w:rPr>
        <w:t>Fourth Evaluation Round – Second Compliance Report on Cyprus on corruption prevention in respect of members of parliament, judges and prosecutors (</w:t>
      </w:r>
      <w:hyperlink r:id="rId22" w:history="1">
        <w:r>
          <w:rPr>
            <w:rStyle w:val="Hyperlink"/>
            <w:bCs/>
            <w:noProof/>
            <w:sz w:val="22"/>
          </w:rPr>
          <w:t>https://rm.coe.int/fourth-evaluation-round-corruption-prevention-in-respect-of-members-of/1680a06389</w:t>
        </w:r>
      </w:hyperlink>
      <w:r>
        <w:rPr>
          <w:noProof/>
        </w:rPr>
        <w:t>).</w:t>
      </w:r>
    </w:p>
    <w:p>
      <w:pPr>
        <w:spacing w:after="120"/>
        <w:rPr>
          <w:rStyle w:val="Hyperlink"/>
          <w:rFonts w:cs="Times New Roman"/>
          <w:bCs/>
          <w:noProof/>
          <w:color w:val="auto"/>
          <w:sz w:val="22"/>
          <w:u w:val="none"/>
        </w:rPr>
      </w:pPr>
      <w:r>
        <w:rPr>
          <w:noProof/>
        </w:rPr>
        <w:t xml:space="preserve">Kathimerini (2021), </w:t>
      </w:r>
      <w:r>
        <w:rPr>
          <w:i/>
          <w:noProof/>
        </w:rPr>
        <w:t>Interim report on golden passports delivered</w:t>
      </w:r>
      <w:r>
        <w:rPr>
          <w:noProof/>
        </w:rPr>
        <w:t xml:space="preserve"> (</w:t>
      </w:r>
      <w:hyperlink r:id="rId23" w:history="1">
        <w:r>
          <w:rPr>
            <w:rStyle w:val="Hyperlink"/>
            <w:bCs/>
            <w:noProof/>
            <w:sz w:val="22"/>
          </w:rPr>
          <w:t>https://knews.kathimerini.com.cy/en/news/interim-report-on-golden-passports-delivered</w:t>
        </w:r>
      </w:hyperlink>
      <w:r>
        <w:rPr>
          <w:noProof/>
        </w:rPr>
        <w:t>).</w:t>
      </w:r>
    </w:p>
    <w:p>
      <w:pPr>
        <w:spacing w:after="120"/>
        <w:rPr>
          <w:rFonts w:cs="Times New Roman"/>
          <w:bCs/>
          <w:noProof/>
          <w:sz w:val="22"/>
        </w:rPr>
      </w:pPr>
      <w:r>
        <w:rPr>
          <w:bCs/>
          <w:noProof/>
          <w:sz w:val="22"/>
        </w:rPr>
        <w:t>OECD (2019), indikatorer för regleringspolitik och styrning – Cypern.</w:t>
      </w:r>
    </w:p>
    <w:p>
      <w:pPr>
        <w:spacing w:after="120"/>
        <w:rPr>
          <w:rFonts w:cs="Times New Roman"/>
          <w:bCs/>
          <w:noProof/>
          <w:sz w:val="22"/>
        </w:rPr>
      </w:pPr>
      <w:r>
        <w:rPr>
          <w:noProof/>
        </w:rPr>
        <w:t xml:space="preserve">Projekt för rapportering av organiserad brottslighet och korruption (Organized Crime and Corruption Reporting Project), </w:t>
      </w:r>
      <w:r>
        <w:rPr>
          <w:i/>
          <w:noProof/>
        </w:rPr>
        <w:t>Cypriot Journalist Says He is Being Spied on and Fears for His Life</w:t>
      </w:r>
      <w:r>
        <w:rPr>
          <w:noProof/>
        </w:rPr>
        <w:t xml:space="preserve"> (</w:t>
      </w:r>
      <w:hyperlink r:id="rId24" w:history="1">
        <w:r>
          <w:rPr>
            <w:rStyle w:val="Hyperlink"/>
            <w:bCs/>
            <w:noProof/>
            <w:sz w:val="22"/>
          </w:rPr>
          <w:t>https://www.occrp.org/en/daily/12631-cypriot-journalist-says-he-is-being-spied-on-and-fears-for-his-life</w:t>
        </w:r>
      </w:hyperlink>
      <w:r>
        <w:rPr>
          <w:noProof/>
        </w:rPr>
        <w:t>).</w:t>
      </w:r>
    </w:p>
    <w:p>
      <w:pPr>
        <w:spacing w:after="120"/>
        <w:rPr>
          <w:rFonts w:cs="Times New Roman"/>
          <w:bCs/>
          <w:iCs/>
          <w:noProof/>
          <w:sz w:val="22"/>
        </w:rPr>
      </w:pPr>
      <w:r>
        <w:rPr>
          <w:noProof/>
        </w:rPr>
        <w:t xml:space="preserve">Reportrar utan gränser (2021), </w:t>
      </w:r>
      <w:r>
        <w:rPr>
          <w:i/>
          <w:noProof/>
        </w:rPr>
        <w:t>2021 års internationella pressfrihetsindex – Cypern</w:t>
      </w:r>
      <w:r>
        <w:rPr>
          <w:noProof/>
        </w:rPr>
        <w:t xml:space="preserve"> (</w:t>
      </w:r>
      <w:hyperlink r:id="rId25" w:history="1">
        <w:r>
          <w:rPr>
            <w:rStyle w:val="Hyperlink"/>
            <w:bCs/>
            <w:iCs/>
            <w:noProof/>
            <w:sz w:val="22"/>
          </w:rPr>
          <w:t>https://rsf.org/en/cyprus</w:t>
        </w:r>
      </w:hyperlink>
      <w:r>
        <w:rPr>
          <w:noProof/>
        </w:rPr>
        <w:t>).</w:t>
      </w:r>
    </w:p>
    <w:p>
      <w:pPr>
        <w:spacing w:after="120"/>
        <w:rPr>
          <w:rFonts w:cs="Times New Roman"/>
          <w:bCs/>
          <w:i/>
          <w:noProof/>
          <w:sz w:val="22"/>
        </w:rPr>
      </w:pPr>
      <w:r>
        <w:rPr>
          <w:bCs/>
          <w:noProof/>
          <w:sz w:val="22"/>
        </w:rPr>
        <w:t xml:space="preserve">Reportrar utan gränser (2021), </w:t>
      </w:r>
      <w:r>
        <w:rPr>
          <w:bCs/>
          <w:i/>
          <w:noProof/>
          <w:sz w:val="22"/>
        </w:rPr>
        <w:t>Bidrag från reportrar utan gränser till 2021 års rapport om rättsstatsprincipen.</w:t>
      </w:r>
    </w:p>
    <w:p>
      <w:pPr>
        <w:spacing w:after="120"/>
        <w:rPr>
          <w:rFonts w:cs="Times New Roman"/>
          <w:bCs/>
          <w:noProof/>
          <w:sz w:val="22"/>
        </w:rPr>
      </w:pPr>
      <w:r>
        <w:rPr>
          <w:noProof/>
        </w:rPr>
        <w:t>Republiken Cyperns ordförandeskap, Exandas webbplats för kommunikation och information (</w:t>
      </w:r>
      <w:hyperlink r:id="rId26" w:history="1">
        <w:r>
          <w:rPr>
            <w:rStyle w:val="Hyperlink"/>
            <w:bCs/>
            <w:noProof/>
            <w:sz w:val="22"/>
          </w:rPr>
          <w:t>https://exandas.presidency.gov.cy/</w:t>
        </w:r>
      </w:hyperlink>
      <w:r>
        <w:rPr>
          <w:noProof/>
        </w:rPr>
        <w:t>).</w:t>
      </w:r>
      <w:r>
        <w:rPr>
          <w:bCs/>
          <w:noProof/>
          <w:sz w:val="22"/>
        </w:rPr>
        <w:t xml:space="preserve"> </w:t>
      </w:r>
    </w:p>
    <w:p>
      <w:pPr>
        <w:spacing w:after="120"/>
        <w:rPr>
          <w:rFonts w:cs="Times New Roman"/>
          <w:bCs/>
          <w:noProof/>
          <w:sz w:val="22"/>
        </w:rPr>
      </w:pPr>
      <w:r>
        <w:rPr>
          <w:noProof/>
        </w:rPr>
        <w:t xml:space="preserve">Sigma Live (2021), </w:t>
      </w:r>
      <w:r>
        <w:rPr>
          <w:i/>
          <w:noProof/>
        </w:rPr>
        <w:t>Report on citizenship</w:t>
      </w:r>
      <w:r>
        <w:rPr>
          <w:noProof/>
        </w:rPr>
        <w:t xml:space="preserve"> (</w:t>
      </w:r>
      <w:hyperlink r:id="rId27" w:history="1">
        <w:r>
          <w:rPr>
            <w:rStyle w:val="Hyperlink"/>
            <w:bCs/>
            <w:noProof/>
            <w:sz w:val="22"/>
          </w:rPr>
          <w:t>https://www.sigmalive.com/news/politics/795517/ekthesi-politografiseonto-53-ektos-nomikou-plaisioupeitharxikes-efthynes</w:t>
        </w:r>
      </w:hyperlink>
      <w:r>
        <w:rPr>
          <w:noProof/>
        </w:rPr>
        <w:t>).</w:t>
      </w:r>
    </w:p>
    <w:p>
      <w:pPr>
        <w:spacing w:after="120"/>
        <w:rPr>
          <w:rFonts w:cs="Times New Roman"/>
          <w:bCs/>
          <w:noProof/>
          <w:sz w:val="22"/>
        </w:rPr>
      </w:pPr>
      <w:r>
        <w:rPr>
          <w:noProof/>
        </w:rPr>
        <w:t>Svarsbrev från Nicos Nouris, Cyperns inrikesminister till Dunja Mijatović, kommissionär för mänskliga rättigheter (2021) (</w:t>
      </w:r>
      <w:hyperlink r:id="rId28" w:history="1">
        <w:r>
          <w:rPr>
            <w:rStyle w:val="Hyperlink"/>
            <w:bCs/>
            <w:noProof/>
            <w:sz w:val="22"/>
          </w:rPr>
          <w:t>https://rm.coe.int/reply-of-mr-nicos-nouris-minister-of-the-interiorof-cyprus-to-the-lett/1680a1cb15</w:t>
        </w:r>
      </w:hyperlink>
      <w:r>
        <w:rPr>
          <w:noProof/>
        </w:rPr>
        <w:t>).</w:t>
      </w:r>
    </w:p>
    <w:p>
      <w:pPr>
        <w:spacing w:after="120"/>
        <w:rPr>
          <w:rFonts w:cs="Times New Roman"/>
          <w:i/>
          <w:iCs/>
          <w:noProof/>
          <w:sz w:val="22"/>
        </w:rPr>
      </w:pPr>
      <w:r>
        <w:rPr>
          <w:noProof/>
          <w:sz w:val="22"/>
        </w:rPr>
        <w:t xml:space="preserve">Transparency International (2021), </w:t>
      </w:r>
      <w:r>
        <w:rPr>
          <w:i/>
          <w:iCs/>
          <w:noProof/>
          <w:sz w:val="22"/>
        </w:rPr>
        <w:t>Corruption Perceptions Index 2020</w:t>
      </w:r>
      <w:r>
        <w:rPr>
          <w:noProof/>
          <w:sz w:val="22"/>
        </w:rPr>
        <w:t>.</w:t>
      </w:r>
    </w:p>
    <w:p>
      <w:pPr>
        <w:pageBreakBefore/>
        <w:spacing w:after="120"/>
        <w:rPr>
          <w:rFonts w:eastAsia="Times New Roman" w:cs="Times New Roman"/>
          <w:b/>
          <w:noProof/>
          <w:sz w:val="22"/>
        </w:rPr>
      </w:pPr>
      <w:r>
        <w:rPr>
          <w:b/>
          <w:noProof/>
          <w:sz w:val="22"/>
        </w:rPr>
        <w:t>Bilaga II: Landsbesök i Cypern</w:t>
      </w:r>
    </w:p>
    <w:p>
      <w:pPr>
        <w:spacing w:after="120"/>
        <w:rPr>
          <w:rFonts w:eastAsia="Times New Roman" w:cs="Times New Roman"/>
          <w:noProof/>
          <w:sz w:val="22"/>
          <w:shd w:val="clear" w:color="auto" w:fill="FFFFFF"/>
        </w:rPr>
      </w:pPr>
      <w:r>
        <w:rPr>
          <w:noProof/>
          <w:sz w:val="22"/>
        </w:rPr>
        <w:t>Kommissionens avdelningar höll virtuella möten i april 2021 med följande instanser:</w:t>
      </w:r>
    </w:p>
    <w:p>
      <w:pPr>
        <w:numPr>
          <w:ilvl w:val="0"/>
          <w:numId w:val="2"/>
        </w:numPr>
        <w:spacing w:after="120"/>
        <w:ind w:left="714" w:hanging="357"/>
        <w:contextualSpacing/>
        <w:rPr>
          <w:rFonts w:cs="Times New Roman"/>
          <w:noProof/>
          <w:sz w:val="22"/>
          <w:shd w:val="clear" w:color="auto" w:fill="FFFFFF"/>
        </w:rPr>
      </w:pPr>
      <w:r>
        <w:rPr>
          <w:noProof/>
          <w:sz w:val="22"/>
          <w:bdr w:val="none" w:sz="0" w:space="0" w:color="auto" w:frame="1"/>
        </w:rPr>
        <w:t xml:space="preserve">Ministeriet för justitiefrågor och allmän ordning </w:t>
      </w:r>
    </w:p>
    <w:p>
      <w:pPr>
        <w:numPr>
          <w:ilvl w:val="0"/>
          <w:numId w:val="2"/>
        </w:numPr>
        <w:spacing w:after="120"/>
        <w:contextualSpacing/>
        <w:rPr>
          <w:rFonts w:cs="Times New Roman"/>
          <w:noProof/>
          <w:sz w:val="22"/>
          <w:shd w:val="clear" w:color="auto" w:fill="FFFFFF"/>
        </w:rPr>
      </w:pPr>
      <w:r>
        <w:rPr>
          <w:noProof/>
          <w:sz w:val="22"/>
          <w:shd w:val="clear" w:color="auto" w:fill="FFFFFF"/>
        </w:rPr>
        <w:t>Högsta domstolen</w:t>
      </w:r>
    </w:p>
    <w:p>
      <w:pPr>
        <w:numPr>
          <w:ilvl w:val="0"/>
          <w:numId w:val="2"/>
        </w:numPr>
        <w:spacing w:after="120"/>
        <w:contextualSpacing/>
        <w:rPr>
          <w:rFonts w:cs="Times New Roman"/>
          <w:noProof/>
          <w:sz w:val="22"/>
          <w:shd w:val="clear" w:color="auto" w:fill="FFFFFF"/>
        </w:rPr>
      </w:pPr>
      <w:r>
        <w:rPr>
          <w:noProof/>
          <w:sz w:val="22"/>
          <w:shd w:val="clear" w:color="auto" w:fill="FFFFFF"/>
        </w:rPr>
        <w:t>Cyperns advokatsamfund</w:t>
      </w:r>
    </w:p>
    <w:p>
      <w:pPr>
        <w:numPr>
          <w:ilvl w:val="0"/>
          <w:numId w:val="2"/>
        </w:numPr>
        <w:spacing w:after="120"/>
        <w:contextualSpacing/>
        <w:rPr>
          <w:rFonts w:cs="Times New Roman"/>
          <w:noProof/>
          <w:sz w:val="22"/>
          <w:shd w:val="clear" w:color="auto" w:fill="FFFFFF"/>
        </w:rPr>
      </w:pPr>
      <w:r>
        <w:rPr>
          <w:noProof/>
          <w:sz w:val="22"/>
          <w:shd w:val="clear" w:color="auto" w:fill="FFFFFF"/>
        </w:rPr>
        <w:t>Byrån för öppenhet och korruptionsbekämpning (RTPC)</w:t>
      </w:r>
    </w:p>
    <w:p>
      <w:pPr>
        <w:numPr>
          <w:ilvl w:val="0"/>
          <w:numId w:val="2"/>
        </w:numPr>
        <w:spacing w:after="120"/>
        <w:contextualSpacing/>
        <w:rPr>
          <w:rFonts w:cs="Times New Roman"/>
          <w:noProof/>
          <w:sz w:val="22"/>
          <w:shd w:val="clear" w:color="auto" w:fill="FFFFFF"/>
        </w:rPr>
      </w:pPr>
      <w:r>
        <w:rPr>
          <w:noProof/>
          <w:sz w:val="22"/>
          <w:shd w:val="clear" w:color="auto" w:fill="FFFFFF"/>
        </w:rPr>
        <w:t>Polisen – avdelningen för inre angelägenheter</w:t>
      </w:r>
    </w:p>
    <w:p>
      <w:pPr>
        <w:numPr>
          <w:ilvl w:val="0"/>
          <w:numId w:val="2"/>
        </w:numPr>
        <w:spacing w:after="120"/>
        <w:contextualSpacing/>
        <w:rPr>
          <w:rFonts w:cs="Times New Roman"/>
          <w:noProof/>
          <w:sz w:val="22"/>
          <w:shd w:val="clear" w:color="auto" w:fill="FFFFFF"/>
        </w:rPr>
      </w:pPr>
      <w:r>
        <w:rPr>
          <w:noProof/>
          <w:sz w:val="22"/>
          <w:shd w:val="clear" w:color="auto" w:fill="FFFFFF"/>
        </w:rPr>
        <w:t>Polisen – kontoret för utredning av ekonomiska brott</w:t>
      </w:r>
    </w:p>
    <w:p>
      <w:pPr>
        <w:numPr>
          <w:ilvl w:val="0"/>
          <w:numId w:val="2"/>
        </w:numPr>
        <w:spacing w:after="120"/>
        <w:contextualSpacing/>
        <w:rPr>
          <w:rFonts w:cs="Times New Roman"/>
          <w:noProof/>
          <w:sz w:val="22"/>
          <w:shd w:val="clear" w:color="auto" w:fill="FFFFFF"/>
        </w:rPr>
      </w:pPr>
      <w:r>
        <w:rPr>
          <w:noProof/>
          <w:sz w:val="22"/>
          <w:shd w:val="clear" w:color="auto" w:fill="FFFFFF"/>
        </w:rPr>
        <w:t>Radio- och tv-myndigheten</w:t>
      </w:r>
    </w:p>
    <w:p>
      <w:pPr>
        <w:numPr>
          <w:ilvl w:val="0"/>
          <w:numId w:val="2"/>
        </w:numPr>
        <w:spacing w:after="120"/>
        <w:contextualSpacing/>
        <w:rPr>
          <w:rFonts w:cs="Times New Roman"/>
          <w:noProof/>
          <w:sz w:val="22"/>
          <w:shd w:val="clear" w:color="auto" w:fill="FFFFFF"/>
        </w:rPr>
      </w:pPr>
      <w:r>
        <w:rPr>
          <w:noProof/>
          <w:sz w:val="22"/>
          <w:shd w:val="clear" w:color="auto" w:fill="FFFFFF"/>
        </w:rPr>
        <w:t>Press- och informationskontoret</w:t>
      </w:r>
    </w:p>
    <w:p>
      <w:pPr>
        <w:numPr>
          <w:ilvl w:val="0"/>
          <w:numId w:val="2"/>
        </w:numPr>
        <w:spacing w:after="120"/>
        <w:contextualSpacing/>
        <w:rPr>
          <w:rFonts w:cs="Times New Roman"/>
          <w:noProof/>
          <w:sz w:val="22"/>
          <w:shd w:val="clear" w:color="auto" w:fill="FFFFFF"/>
        </w:rPr>
      </w:pPr>
      <w:r>
        <w:rPr>
          <w:noProof/>
          <w:sz w:val="22"/>
        </w:rPr>
        <w:t xml:space="preserve">Statsåklagarämbetet </w:t>
      </w:r>
    </w:p>
    <w:p>
      <w:pPr>
        <w:numPr>
          <w:ilvl w:val="0"/>
          <w:numId w:val="2"/>
        </w:numPr>
        <w:spacing w:after="120"/>
        <w:contextualSpacing/>
        <w:rPr>
          <w:rFonts w:cs="Times New Roman"/>
          <w:noProof/>
          <w:sz w:val="22"/>
          <w:shd w:val="clear" w:color="auto" w:fill="FFFFFF"/>
        </w:rPr>
      </w:pPr>
      <w:r>
        <w:rPr>
          <w:noProof/>
          <w:sz w:val="22"/>
          <w:shd w:val="clear" w:color="auto" w:fill="FFFFFF"/>
        </w:rPr>
        <w:t>Inrikesministeriet – medier</w:t>
      </w:r>
    </w:p>
    <w:p>
      <w:pPr>
        <w:numPr>
          <w:ilvl w:val="0"/>
          <w:numId w:val="2"/>
        </w:numPr>
        <w:spacing w:after="120"/>
        <w:contextualSpacing/>
        <w:rPr>
          <w:rFonts w:cs="Times New Roman"/>
          <w:noProof/>
          <w:sz w:val="22"/>
          <w:shd w:val="clear" w:color="auto" w:fill="FFFFFF"/>
        </w:rPr>
      </w:pPr>
      <w:r>
        <w:rPr>
          <w:noProof/>
          <w:sz w:val="22"/>
          <w:shd w:val="clear" w:color="auto" w:fill="FFFFFF"/>
        </w:rPr>
        <w:t>Cyperns integritetscenter</w:t>
      </w:r>
    </w:p>
    <w:p>
      <w:pPr>
        <w:spacing w:after="120"/>
        <w:contextualSpacing/>
        <w:rPr>
          <w:rFonts w:cs="Times New Roman"/>
          <w:noProof/>
          <w:sz w:val="22"/>
          <w:shd w:val="clear" w:color="auto" w:fill="FFFFFF"/>
        </w:rPr>
      </w:pPr>
    </w:p>
    <w:p>
      <w:pPr>
        <w:spacing w:after="120"/>
        <w:contextualSpacing/>
        <w:rPr>
          <w:rFonts w:cs="Times New Roman"/>
          <w:noProof/>
          <w:sz w:val="22"/>
          <w:shd w:val="clear" w:color="auto" w:fill="FFFFFF"/>
        </w:rPr>
      </w:pPr>
      <w:r>
        <w:rPr>
          <w:noProof/>
          <w:sz w:val="22"/>
          <w:shd w:val="clear" w:color="auto" w:fill="FFFFFF"/>
        </w:rPr>
        <w:t>* Kommissionen träffade också följande organisationer vid ett antal övergripande möten:</w:t>
      </w:r>
    </w:p>
    <w:p>
      <w:pPr>
        <w:numPr>
          <w:ilvl w:val="0"/>
          <w:numId w:val="13"/>
        </w:numPr>
        <w:spacing w:after="120"/>
        <w:contextualSpacing/>
        <w:rPr>
          <w:rFonts w:cs="Times New Roman"/>
          <w:noProof/>
          <w:sz w:val="22"/>
          <w:shd w:val="clear" w:color="auto" w:fill="FFFFFF"/>
        </w:rPr>
      </w:pPr>
      <w:r>
        <w:rPr>
          <w:noProof/>
          <w:sz w:val="22"/>
          <w:shd w:val="clear" w:color="auto" w:fill="FFFFFF"/>
        </w:rPr>
        <w:t>Amnesty International</w:t>
      </w:r>
    </w:p>
    <w:p>
      <w:pPr>
        <w:numPr>
          <w:ilvl w:val="0"/>
          <w:numId w:val="13"/>
        </w:numPr>
        <w:spacing w:after="120"/>
        <w:contextualSpacing/>
        <w:rPr>
          <w:rFonts w:cs="Times New Roman"/>
          <w:noProof/>
          <w:sz w:val="22"/>
          <w:shd w:val="clear" w:color="auto" w:fill="FFFFFF"/>
        </w:rPr>
      </w:pPr>
      <w:r>
        <w:rPr>
          <w:noProof/>
          <w:sz w:val="22"/>
          <w:shd w:val="clear" w:color="auto" w:fill="FFFFFF"/>
        </w:rPr>
        <w:t>Centrum för reproduktiva rättigheter</w:t>
      </w:r>
    </w:p>
    <w:p>
      <w:pPr>
        <w:numPr>
          <w:ilvl w:val="0"/>
          <w:numId w:val="13"/>
        </w:numPr>
        <w:spacing w:after="120"/>
        <w:contextualSpacing/>
        <w:rPr>
          <w:rFonts w:cs="Times New Roman"/>
          <w:noProof/>
          <w:sz w:val="22"/>
          <w:shd w:val="clear" w:color="auto" w:fill="FFFFFF"/>
        </w:rPr>
      </w:pPr>
      <w:r>
        <w:rPr>
          <w:noProof/>
          <w:sz w:val="22"/>
          <w:shd w:val="clear" w:color="auto" w:fill="FFFFFF"/>
        </w:rPr>
        <w:t>Civicus</w:t>
      </w:r>
    </w:p>
    <w:p>
      <w:pPr>
        <w:numPr>
          <w:ilvl w:val="0"/>
          <w:numId w:val="13"/>
        </w:numPr>
        <w:spacing w:after="120"/>
        <w:contextualSpacing/>
        <w:rPr>
          <w:rFonts w:cs="Times New Roman"/>
          <w:noProof/>
          <w:sz w:val="22"/>
          <w:shd w:val="clear" w:color="auto" w:fill="FFFFFF"/>
        </w:rPr>
      </w:pPr>
      <w:r>
        <w:rPr>
          <w:noProof/>
          <w:sz w:val="22"/>
          <w:shd w:val="clear" w:color="auto" w:fill="FFFFFF"/>
        </w:rPr>
        <w:t>Civil Liberties Union for Europe</w:t>
      </w:r>
    </w:p>
    <w:p>
      <w:pPr>
        <w:numPr>
          <w:ilvl w:val="0"/>
          <w:numId w:val="13"/>
        </w:numPr>
        <w:spacing w:after="120"/>
        <w:contextualSpacing/>
        <w:rPr>
          <w:rFonts w:cs="Times New Roman"/>
          <w:noProof/>
          <w:sz w:val="22"/>
          <w:shd w:val="clear" w:color="auto" w:fill="FFFFFF"/>
        </w:rPr>
      </w:pPr>
      <w:r>
        <w:rPr>
          <w:noProof/>
          <w:sz w:val="22"/>
          <w:shd w:val="clear" w:color="auto" w:fill="FFFFFF"/>
        </w:rPr>
        <w:t>Civil Society Europe (CSE)</w:t>
      </w:r>
    </w:p>
    <w:p>
      <w:pPr>
        <w:numPr>
          <w:ilvl w:val="0"/>
          <w:numId w:val="13"/>
        </w:numPr>
        <w:spacing w:after="120"/>
        <w:contextualSpacing/>
        <w:rPr>
          <w:rFonts w:cs="Times New Roman"/>
          <w:noProof/>
          <w:sz w:val="22"/>
          <w:shd w:val="clear" w:color="auto" w:fill="FFFFFF"/>
        </w:rPr>
      </w:pPr>
      <w:r>
        <w:rPr>
          <w:noProof/>
          <w:sz w:val="22"/>
          <w:shd w:val="clear" w:color="auto" w:fill="FFFFFF"/>
        </w:rPr>
        <w:t>Europeiska kyrkokonferensen</w:t>
      </w:r>
    </w:p>
    <w:p>
      <w:pPr>
        <w:numPr>
          <w:ilvl w:val="0"/>
          <w:numId w:val="13"/>
        </w:numPr>
        <w:spacing w:after="120"/>
        <w:contextualSpacing/>
        <w:rPr>
          <w:rFonts w:cs="Times New Roman"/>
          <w:noProof/>
          <w:sz w:val="22"/>
          <w:shd w:val="clear" w:color="auto" w:fill="FFFFFF"/>
        </w:rPr>
      </w:pPr>
      <w:r>
        <w:rPr>
          <w:noProof/>
          <w:sz w:val="22"/>
          <w:shd w:val="clear" w:color="auto" w:fill="FFFFFF"/>
        </w:rPr>
        <w:t>Eurocommerce</w:t>
      </w:r>
    </w:p>
    <w:p>
      <w:pPr>
        <w:numPr>
          <w:ilvl w:val="0"/>
          <w:numId w:val="13"/>
        </w:numPr>
        <w:spacing w:after="120"/>
        <w:contextualSpacing/>
        <w:rPr>
          <w:rFonts w:cs="Times New Roman"/>
          <w:noProof/>
          <w:sz w:val="22"/>
          <w:shd w:val="clear" w:color="auto" w:fill="FFFFFF"/>
        </w:rPr>
      </w:pPr>
      <w:r>
        <w:rPr>
          <w:noProof/>
          <w:sz w:val="22"/>
          <w:shd w:val="clear" w:color="auto" w:fill="FFFFFF"/>
        </w:rPr>
        <w:t>European Center for Not-for-Profit Law (Europeiska centrumet för icke-vinstdrivande rätt)</w:t>
      </w:r>
    </w:p>
    <w:p>
      <w:pPr>
        <w:numPr>
          <w:ilvl w:val="0"/>
          <w:numId w:val="13"/>
        </w:numPr>
        <w:spacing w:after="120"/>
        <w:contextualSpacing/>
        <w:rPr>
          <w:rFonts w:cs="Times New Roman"/>
          <w:noProof/>
          <w:sz w:val="22"/>
          <w:shd w:val="clear" w:color="auto" w:fill="FFFFFF"/>
        </w:rPr>
      </w:pPr>
      <w:r>
        <w:rPr>
          <w:noProof/>
          <w:sz w:val="22"/>
          <w:shd w:val="clear" w:color="auto" w:fill="FFFFFF"/>
        </w:rPr>
        <w:t>Europeiska centrumet för press- och mediefrihet</w:t>
      </w:r>
    </w:p>
    <w:p>
      <w:pPr>
        <w:numPr>
          <w:ilvl w:val="0"/>
          <w:numId w:val="13"/>
        </w:numPr>
        <w:spacing w:after="120"/>
        <w:contextualSpacing/>
        <w:rPr>
          <w:rFonts w:cs="Times New Roman"/>
          <w:noProof/>
          <w:sz w:val="22"/>
          <w:shd w:val="clear" w:color="auto" w:fill="FFFFFF"/>
        </w:rPr>
      </w:pPr>
      <w:r>
        <w:rPr>
          <w:noProof/>
          <w:sz w:val="22"/>
          <w:shd w:val="clear" w:color="auto" w:fill="FFFFFF"/>
        </w:rPr>
        <w:t>Europeiska medborgarforumet</w:t>
      </w:r>
    </w:p>
    <w:p>
      <w:pPr>
        <w:numPr>
          <w:ilvl w:val="0"/>
          <w:numId w:val="13"/>
        </w:numPr>
        <w:spacing w:after="120"/>
        <w:contextualSpacing/>
        <w:rPr>
          <w:rFonts w:cs="Times New Roman"/>
          <w:noProof/>
          <w:sz w:val="22"/>
          <w:shd w:val="clear" w:color="auto" w:fill="FFFFFF"/>
        </w:rPr>
      </w:pPr>
      <w:r>
        <w:rPr>
          <w:noProof/>
          <w:sz w:val="22"/>
          <w:shd w:val="clear" w:color="auto" w:fill="FFFFFF"/>
        </w:rPr>
        <w:t>Europeiska journalistfederationen (EFJ)</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European Partnership for Democracy (EPD) </w:t>
      </w:r>
    </w:p>
    <w:p>
      <w:pPr>
        <w:numPr>
          <w:ilvl w:val="0"/>
          <w:numId w:val="13"/>
        </w:numPr>
        <w:spacing w:after="120"/>
        <w:contextualSpacing/>
        <w:rPr>
          <w:rFonts w:cs="Times New Roman"/>
          <w:noProof/>
          <w:sz w:val="22"/>
          <w:shd w:val="clear" w:color="auto" w:fill="FFFFFF"/>
        </w:rPr>
      </w:pPr>
      <w:r>
        <w:rPr>
          <w:noProof/>
          <w:sz w:val="22"/>
          <w:shd w:val="clear" w:color="auto" w:fill="FFFFFF"/>
        </w:rPr>
        <w:t>Europeiskt ungdomsforum</w:t>
      </w:r>
    </w:p>
    <w:p>
      <w:pPr>
        <w:numPr>
          <w:ilvl w:val="0"/>
          <w:numId w:val="13"/>
        </w:numPr>
        <w:spacing w:after="120"/>
        <w:contextualSpacing/>
        <w:rPr>
          <w:rFonts w:cs="Times New Roman"/>
          <w:noProof/>
          <w:sz w:val="22"/>
          <w:shd w:val="clear" w:color="auto" w:fill="FFFFFF"/>
        </w:rPr>
      </w:pPr>
      <w:r>
        <w:rPr>
          <w:noProof/>
          <w:sz w:val="22"/>
          <w:shd w:val="clear" w:color="auto" w:fill="FFFFFF"/>
        </w:rPr>
        <w:t>Front Line Defenders</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Human Rights House Foundation </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Human Rights Watch </w:t>
      </w:r>
    </w:p>
    <w:p>
      <w:pPr>
        <w:numPr>
          <w:ilvl w:val="0"/>
          <w:numId w:val="13"/>
        </w:numPr>
        <w:spacing w:after="120"/>
        <w:contextualSpacing/>
        <w:rPr>
          <w:rFonts w:cs="Times New Roman"/>
          <w:noProof/>
          <w:sz w:val="22"/>
          <w:shd w:val="clear" w:color="auto" w:fill="FFFFFF"/>
        </w:rPr>
      </w:pPr>
      <w:r>
        <w:rPr>
          <w:noProof/>
          <w:sz w:val="22"/>
          <w:shd w:val="clear" w:color="auto" w:fill="FFFFFF"/>
        </w:rPr>
        <w:t>ILGA-Europa</w:t>
      </w:r>
    </w:p>
    <w:p>
      <w:pPr>
        <w:numPr>
          <w:ilvl w:val="0"/>
          <w:numId w:val="13"/>
        </w:numPr>
        <w:spacing w:after="120"/>
        <w:contextualSpacing/>
        <w:rPr>
          <w:rFonts w:cs="Times New Roman"/>
          <w:noProof/>
          <w:sz w:val="22"/>
          <w:shd w:val="clear" w:color="auto" w:fill="FFFFFF"/>
        </w:rPr>
      </w:pPr>
      <w:r>
        <w:rPr>
          <w:noProof/>
          <w:sz w:val="22"/>
          <w:shd w:val="clear" w:color="auto" w:fill="FFFFFF"/>
        </w:rPr>
        <w:t>Internationella juristkommissionen</w:t>
      </w:r>
    </w:p>
    <w:p>
      <w:pPr>
        <w:numPr>
          <w:ilvl w:val="0"/>
          <w:numId w:val="13"/>
        </w:numPr>
        <w:spacing w:after="120"/>
        <w:contextualSpacing/>
        <w:rPr>
          <w:rFonts w:cs="Times New Roman"/>
          <w:noProof/>
          <w:sz w:val="22"/>
          <w:shd w:val="clear" w:color="auto" w:fill="FFFFFF"/>
        </w:rPr>
      </w:pPr>
      <w:r>
        <w:rPr>
          <w:noProof/>
          <w:sz w:val="22"/>
          <w:shd w:val="clear" w:color="auto" w:fill="FFFFFF"/>
        </w:rPr>
        <w:t>Internationella federationen för mänskliga rättigheter</w:t>
      </w:r>
    </w:p>
    <w:p>
      <w:pPr>
        <w:numPr>
          <w:ilvl w:val="0"/>
          <w:numId w:val="13"/>
        </w:numPr>
        <w:spacing w:after="120"/>
        <w:contextualSpacing/>
        <w:rPr>
          <w:rFonts w:cs="Times New Roman"/>
          <w:noProof/>
          <w:sz w:val="22"/>
          <w:shd w:val="clear" w:color="auto" w:fill="FFFFFF"/>
        </w:rPr>
      </w:pPr>
      <w:r>
        <w:rPr>
          <w:noProof/>
          <w:sz w:val="22"/>
          <w:shd w:val="clear" w:color="auto" w:fill="FFFFFF"/>
        </w:rPr>
        <w:t>International Planned Parenthood Federations europeiska nätverk (IPPF EN)</w:t>
      </w:r>
    </w:p>
    <w:p>
      <w:pPr>
        <w:numPr>
          <w:ilvl w:val="0"/>
          <w:numId w:val="13"/>
        </w:numPr>
        <w:spacing w:after="120"/>
        <w:contextualSpacing/>
        <w:rPr>
          <w:rFonts w:cs="Times New Roman"/>
          <w:noProof/>
          <w:sz w:val="22"/>
          <w:shd w:val="clear" w:color="auto" w:fill="FFFFFF"/>
        </w:rPr>
      </w:pPr>
      <w:r>
        <w:rPr>
          <w:noProof/>
          <w:sz w:val="22"/>
          <w:shd w:val="clear" w:color="auto" w:fill="FFFFFF"/>
        </w:rPr>
        <w:t>Internationella pressinstitutet</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Nederländska Helsingforskommittén </w:t>
      </w:r>
    </w:p>
    <w:p>
      <w:pPr>
        <w:numPr>
          <w:ilvl w:val="0"/>
          <w:numId w:val="13"/>
        </w:numPr>
        <w:spacing w:after="120"/>
        <w:contextualSpacing/>
        <w:rPr>
          <w:rFonts w:cs="Times New Roman"/>
          <w:noProof/>
          <w:sz w:val="22"/>
          <w:shd w:val="clear" w:color="auto" w:fill="FFFFFF"/>
        </w:rPr>
      </w:pPr>
      <w:r>
        <w:rPr>
          <w:noProof/>
          <w:sz w:val="22"/>
          <w:shd w:val="clear" w:color="auto" w:fill="FFFFFF"/>
        </w:rPr>
        <w:t>Open Society European Policy Institute</w:t>
      </w:r>
    </w:p>
    <w:p>
      <w:pPr>
        <w:numPr>
          <w:ilvl w:val="0"/>
          <w:numId w:val="13"/>
        </w:numPr>
        <w:spacing w:after="120"/>
        <w:contextualSpacing/>
        <w:rPr>
          <w:rFonts w:cs="Times New Roman"/>
          <w:noProof/>
          <w:sz w:val="22"/>
          <w:shd w:val="clear" w:color="auto" w:fill="FFFFFF"/>
        </w:rPr>
      </w:pPr>
      <w:r>
        <w:rPr>
          <w:noProof/>
          <w:sz w:val="22"/>
          <w:shd w:val="clear" w:color="auto" w:fill="FFFFFF"/>
        </w:rPr>
        <w:t>Philanthropy Advocacy</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Protection International (PI) </w:t>
      </w:r>
    </w:p>
    <w:p>
      <w:pPr>
        <w:numPr>
          <w:ilvl w:val="0"/>
          <w:numId w:val="13"/>
        </w:numPr>
        <w:spacing w:after="120"/>
        <w:contextualSpacing/>
        <w:rPr>
          <w:rFonts w:cs="Times New Roman"/>
          <w:noProof/>
          <w:sz w:val="22"/>
          <w:shd w:val="clear" w:color="auto" w:fill="FFFFFF"/>
        </w:rPr>
      </w:pPr>
      <w:r>
        <w:rPr>
          <w:noProof/>
          <w:sz w:val="22"/>
          <w:shd w:val="clear" w:color="auto" w:fill="FFFFFF"/>
        </w:rPr>
        <w:t>Reportrar utan gränser</w:t>
      </w:r>
    </w:p>
    <w:p>
      <w:pPr>
        <w:numPr>
          <w:ilvl w:val="0"/>
          <w:numId w:val="13"/>
        </w:numPr>
        <w:spacing w:after="120"/>
        <w:contextualSpacing/>
        <w:rPr>
          <w:rFonts w:cs="Times New Roman"/>
          <w:noProof/>
          <w:sz w:val="22"/>
          <w:shd w:val="clear" w:color="auto" w:fill="FFFFFF"/>
        </w:rPr>
      </w:pPr>
      <w:r>
        <w:rPr>
          <w:noProof/>
          <w:sz w:val="22"/>
          <w:shd w:val="clear" w:color="auto" w:fill="FFFFFF"/>
        </w:rPr>
        <w:t>Transparency International EU</w:t>
      </w:r>
    </w:p>
    <w:p>
      <w:pPr>
        <w:spacing w:after="120"/>
        <w:contextualSpacing/>
        <w:rPr>
          <w:rFonts w:cs="Times New Roman"/>
          <w:noProof/>
          <w:sz w:val="22"/>
          <w:shd w:val="clear" w:color="auto" w:fill="FFFFFF"/>
          <w:lang w:val="en-IE"/>
        </w:rPr>
      </w:pPr>
    </w:p>
    <w:sectPr>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560D8F" w16cex:dateUtc="2021-05-02T07:57:33.875Z"/>
  <w16cex:commentExtensible w16cex:durableId="5D54AC24" w16cex:dateUtc="2021-05-02T08:14:35.188Z"/>
  <w16cex:commentExtensible w16cex:durableId="29A8A50E" w16cex:dateUtc="2021-05-03T10:41:44.703Z"/>
  <w16cex:commentExtensible w16cex:durableId="2D93D7A4" w16cex:dateUtc="2021-05-03T10:43:53.409Z"/>
  <w16cex:commentExtensible w16cex:durableId="053B61BA" w16cex:dateUtc="2021-05-03T10:47:25.25Z"/>
  <w16cex:commentExtensible w16cex:durableId="1CF36120" w16cex:dateUtc="2021-05-03T10:50:01.935Z"/>
  <w16cex:commentExtensible w16cex:durableId="6E1F52D3" w16cex:dateUtc="2021-05-03T10:51:15.482Z"/>
  <w16cex:commentExtensible w16cex:durableId="4959B330" w16cex:dateUtc="2021-05-03T11:01:24.143Z"/>
  <w16cex:commentExtensible w16cex:durableId="3AD66359" w16cex:dateUtc="2021-05-03T11:03:37.986Z"/>
  <w16cex:commentExtensible w16cex:durableId="38D34018" w16cex:dateUtc="2021-05-03T11:04:47.83Z"/>
  <w16cex:commentExtensible w16cex:durableId="6C3F3410" w16cex:dateUtc="2021-05-03T11:05:21.199Z"/>
  <w16cex:commentExtensible w16cex:durableId="5E44F0C0" w16cex:dateUtc="2021-05-03T11:06:55.998Z"/>
  <w16cex:commentExtensible w16cex:durableId="134EF830" w16cex:dateUtc="2021-05-03T11:08:01.916Z"/>
  <w16cex:commentExtensible w16cex:durableId="3C1A14CA" w16cex:dateUtc="2021-05-03T11:12:40.697Z"/>
  <w16cex:commentExtensible w16cex:durableId="17C03F18" w16cex:dateUtc="2021-05-03T11:18:05.55Z"/>
  <w16cex:commentExtensible w16cex:durableId="3B5BB2CC" w16cex:dateUtc="2021-05-03T11:28:04.922Z"/>
  <w16cex:commentExtensible w16cex:durableId="7105AE7D" w16cex:dateUtc="2021-05-03T11:29:01.163Z"/>
  <w16cex:commentExtensible w16cex:durableId="4193B5E5" w16cex:dateUtc="2021-05-03T12:21:16.191Z"/>
</w16cex:commentsExtensible>
</file>

<file path=word/commentsIds.xml><?xml version="1.0" encoding="utf-8"?>
<w16cid:commentsIds xmlns:mc="http://schemas.openxmlformats.org/markup-compatibility/2006" xmlns:w16cid="http://schemas.microsoft.com/office/word/2016/wordml/cid" mc:Ignorable="w16cid">
  <w16cid:commentId w16cid:paraId="7F58061A" w16cid:durableId="443CB60F"/>
  <w16cid:commentId w16cid:paraId="19E4D605" w16cid:durableId="615B7C9E"/>
  <w16cid:commentId w16cid:paraId="55B20530" w16cid:durableId="28420AC1"/>
  <w16cid:commentId w16cid:paraId="1CE1EF3D" w16cid:durableId="121F2438"/>
  <w16cid:commentId w16cid:paraId="6DBAD076" w16cid:durableId="0AD04A60"/>
  <w16cid:commentId w16cid:paraId="3CA568C7" w16cid:durableId="1C34F9E4"/>
  <w16cid:commentId w16cid:paraId="23A2759F" w16cid:durableId="7C9CC4D1"/>
  <w16cid:commentId w16cid:paraId="7E8E843D" w16cid:durableId="421D84C1"/>
  <w16cid:commentId w16cid:paraId="7531E4AB" w16cid:durableId="78EAF405"/>
  <w16cid:commentId w16cid:paraId="3E21561C" w16cid:durableId="65E2B4CF"/>
  <w16cid:commentId w16cid:paraId="73B349B0" w16cid:durableId="479FF7C5"/>
  <w16cid:commentId w16cid:paraId="0B925E49" w16cid:durableId="480A3563"/>
  <w16cid:commentId w16cid:paraId="3F1F8591" w16cid:durableId="68F8CDA0"/>
  <w16cid:commentId w16cid:paraId="256B4D00" w16cid:durableId="421124FC"/>
  <w16cid:commentId w16cid:paraId="34AA7F78" w16cid:durableId="695E2206"/>
  <w16cid:commentId w16cid:paraId="3E19BF9B" w16cid:durableId="4C5D68E9"/>
  <w16cid:commentId w16cid:paraId="01BFB5C3" w16cid:durableId="2D58CC60"/>
  <w16cid:commentId w16cid:paraId="0E4AB3B7" w16cid:durableId="261D7450"/>
  <w16cid:commentId w16cid:paraId="4FB2433F" w16cid:durableId="3A5008CA"/>
  <w16cid:commentId w16cid:paraId="7E98E88B" w16cid:durableId="0FD8DA7E"/>
  <w16cid:commentId w16cid:paraId="5DA6B7CD" w16cid:durableId="0313A49B"/>
  <w16cid:commentId w16cid:paraId="5E0CD234" w16cid:durableId="4B7CFA09"/>
  <w16cid:commentId w16cid:paraId="69C4A880" w16cid:durableId="41080596"/>
  <w16cid:commentId w16cid:paraId="3804E784" w16cid:durableId="245CEAB5"/>
  <w16cid:commentId w16cid:paraId="1D71F3F0" w16cid:durableId="4DD5C797"/>
  <w16cid:commentId w16cid:paraId="17F703DD" w16cid:durableId="3D186AB6"/>
  <w16cid:commentId w16cid:paraId="6661E124" w16cid:durableId="61F38679"/>
  <w16cid:commentId w16cid:paraId="235B2E46" w16cid:durableId="5525BF02"/>
  <w16cid:commentId w16cid:paraId="7DA17E45" w16cid:durableId="56BAB4E9"/>
  <w16cid:commentId w16cid:paraId="62B92675" w16cid:durableId="4811F665"/>
  <w16cid:commentId w16cid:paraId="4FBCAB8B" w16cid:durableId="344D8DBD"/>
  <w16cid:commentId w16cid:paraId="71B71F7F" w16cid:durableId="1F5529CE"/>
  <w16cid:commentId w16cid:paraId="08EF4130" w16cid:durableId="0F5FE77B"/>
  <w16cid:commentId w16cid:paraId="6439D64C" w16cid:durableId="55075831"/>
  <w16cid:commentId w16cid:paraId="494E8770" w16cid:durableId="09C90521"/>
  <w16cid:commentId w16cid:paraId="11C4546C" w16cid:durableId="5D291631"/>
  <w16cid:commentId w16cid:paraId="28FB5689" w16cid:durableId="3777F78C"/>
  <w16cid:commentId w16cid:paraId="48FC7DD4" w16cid:durableId="7D037397"/>
  <w16cid:commentId w16cid:paraId="389A47A9" w16cid:durableId="4B91C453"/>
  <w16cid:commentId w16cid:paraId="14491CC4" w16cid:durableId="5D3CB3CA"/>
  <w16cid:commentId w16cid:paraId="53FB143E" w16cid:durableId="35087433"/>
  <w16cid:commentId w16cid:paraId="62446EBB" w16cid:durableId="18D99C0D"/>
  <w16cid:commentId w16cid:paraId="4A5B4F99" w16cid:durableId="51CB75ED"/>
  <w16cid:commentId w16cid:paraId="2C098ECE" w16cid:durableId="55EBD52D"/>
  <w16cid:commentId w16cid:paraId="05B82FBC" w16cid:durableId="44D18A1B"/>
  <w16cid:commentId w16cid:paraId="060BE9EF" w16cid:durableId="5BC882CE"/>
  <w16cid:commentId w16cid:paraId="12B7893D" w16cid:durableId="61FE24B2"/>
  <w16cid:commentId w16cid:paraId="34F1674C" w16cid:durableId="058F2FB7"/>
  <w16cid:commentId w16cid:paraId="2618B18B" w16cid:durableId="0FD01482"/>
  <w16cid:commentId w16cid:paraId="65402E56" w16cid:durableId="12143813"/>
  <w16cid:commentId w16cid:paraId="58CF2305" w16cid:durableId="39F79E74"/>
  <w16cid:commentId w16cid:paraId="4D996EA4" w16cid:durableId="09DE5ECC"/>
  <w16cid:commentId w16cid:paraId="5948B82A" w16cid:durableId="569FF0C5"/>
  <w16cid:commentId w16cid:paraId="75D0AB1A" w16cid:durableId="17C63FFA"/>
  <w16cid:commentId w16cid:paraId="454F494D" w16cid:durableId="3308649D"/>
  <w16cid:commentId w16cid:paraId="12D2AEB8" w16cid:durableId="78BFBC05"/>
  <w16cid:commentId w16cid:paraId="3C30A3F8" w16cid:durableId="20537708"/>
  <w16cid:commentId w16cid:paraId="16D26E8F" w16cid:durableId="03E5200C"/>
  <w16cid:commentId w16cid:paraId="5BBDB0CD" w16cid:durableId="44495CA0"/>
  <w16cid:commentId w16cid:paraId="038FCECB" w16cid:durableId="4DB7DFA9"/>
  <w16cid:commentId w16cid:paraId="4ABD580D" w16cid:durableId="3A41736A"/>
  <w16cid:commentId w16cid:paraId="6AB79435" w16cid:durableId="277705CF"/>
  <w16cid:commentId w16cid:paraId="5FB2FEA2" w16cid:durableId="6B62CFD7"/>
  <w16cid:commentId w16cid:paraId="2B0C2B0D" w16cid:durableId="30D8FDA0"/>
  <w16cid:commentId w16cid:paraId="248923B3" w16cid:durableId="31952712"/>
  <w16cid:commentId w16cid:paraId="4285A035" w16cid:durableId="284ACDF7"/>
  <w16cid:commentId w16cid:paraId="6CB51CCE" w16cid:durableId="38AA4DE8"/>
  <w16cid:commentId w16cid:paraId="44C398F9" w16cid:durableId="13F1756F"/>
  <w16cid:commentId w16cid:paraId="38A3D2F4" w16cid:durableId="38481FDB"/>
  <w16cid:commentId w16cid:paraId="5809F527" w16cid:durableId="0C350BD5"/>
  <w16cid:commentId w16cid:paraId="7DEC5E78" w16cid:durableId="14E5715D"/>
  <w16cid:commentId w16cid:paraId="56C31B67" w16cid:durableId="305558C8"/>
  <w16cid:commentId w16cid:paraId="4E95FD4B" w16cid:durableId="5A8BAFFC"/>
  <w16cid:commentId w16cid:paraId="4FE25A85" w16cid:durableId="5D1354FF"/>
  <w16cid:commentId w16cid:paraId="173FA43B" w16cid:durableId="5AD0664A"/>
  <w16cid:commentId w16cid:paraId="2BA13198" w16cid:durableId="6A3A088D"/>
  <w16cid:commentId w16cid:paraId="6D053A14" w16cid:durableId="79B1841B"/>
  <w16cid:commentId w16cid:paraId="22AAF518" w16cid:durableId="6B1C3068"/>
  <w16cid:commentId w16cid:paraId="1AA18D5B" w16cid:durableId="5F8B6099"/>
  <w16cid:commentId w16cid:paraId="25AA45E0" w16cid:durableId="720D44C8"/>
  <w16cid:commentId w16cid:paraId="3F5B1D0F" w16cid:durableId="5B1A4603"/>
  <w16cid:commentId w16cid:paraId="115CD928" w16cid:durableId="5C6456C2"/>
  <w16cid:commentId w16cid:paraId="4037E9A0" w16cid:durableId="4555AA80"/>
  <w16cid:commentId w16cid:paraId="22F7BFF4" w16cid:durableId="44A67CD6"/>
  <w16cid:commentId w16cid:paraId="59DDB285" w16cid:durableId="0E1A57F1"/>
  <w16cid:commentId w16cid:paraId="4224D562" w16cid:durableId="2A6F2EF1"/>
  <w16cid:commentId w16cid:paraId="0C9D0F2E" w16cid:durableId="48B53908"/>
  <w16cid:commentId w16cid:paraId="5ADD62FE" w16cid:durableId="7799A780"/>
  <w16cid:commentId w16cid:paraId="3F6FC11F" w16cid:durableId="21FEF394"/>
  <w16cid:commentId w16cid:paraId="52358AAF" w16cid:durableId="1109491B"/>
  <w16cid:commentId w16cid:paraId="5AA7E5BD" w16cid:durableId="3CD59F29"/>
  <w16cid:commentId w16cid:paraId="1EF2EEF5" w16cid:durableId="3392D780"/>
  <w16cid:commentId w16cid:paraId="0845EF56" w16cid:durableId="38BA16F7"/>
  <w16cid:commentId w16cid:paraId="60B4F609" w16cid:durableId="7DD9E4A9"/>
  <w16cid:commentId w16cid:paraId="0F22E749" w16cid:durableId="22FB4060"/>
  <w16cid:commentId w16cid:paraId="1AF7D013" w16cid:durableId="0D916E64"/>
  <w16cid:commentId w16cid:paraId="6150CA3B" w16cid:durableId="2D76CC35"/>
  <w16cid:commentId w16cid:paraId="4FFC04C0" w16cid:durableId="20F2784D"/>
  <w16cid:commentId w16cid:paraId="6E741CFD" w16cid:durableId="2456AE1B"/>
  <w16cid:commentId w16cid:paraId="5B87EB8E" w16cid:durableId="1C86BC24"/>
  <w16cid:commentId w16cid:paraId="57F583AB" w16cid:durableId="231E34E6"/>
  <w16cid:commentId w16cid:paraId="26A2CA7F" w16cid:durableId="4E0CAF43"/>
  <w16cid:commentId w16cid:paraId="6E5A7B23" w16cid:durableId="4D470FDB"/>
  <w16cid:commentId w16cid:paraId="20302268" w16cid:durableId="039B08AD"/>
  <w16cid:commentId w16cid:paraId="1DC40557" w16cid:durableId="7D2EC6B5"/>
  <w16cid:commentId w16cid:paraId="7096AE19" w16cid:durableId="09A245AC"/>
  <w16cid:commentId w16cid:paraId="0FB90548" w16cid:durableId="2F52AECF"/>
  <w16cid:commentId w16cid:paraId="45D12290" w16cid:durableId="798C9BC5"/>
  <w16cid:commentId w16cid:paraId="3B1AF4D2" w16cid:durableId="3CF5D9AF"/>
  <w16cid:commentId w16cid:paraId="31B80574" w16cid:durableId="48CE5C0F"/>
  <w16cid:commentId w16cid:paraId="60F8F98F" w16cid:durableId="00560D8F"/>
  <w16cid:commentId w16cid:paraId="0E8971A6" w16cid:durableId="5D54AC24"/>
  <w16cid:commentId w16cid:paraId="63835AA5" w16cid:durableId="1200AF1B"/>
  <w16cid:commentId w16cid:paraId="743F00F8" w16cid:durableId="5F1AFD6A"/>
  <w16cid:commentId w16cid:paraId="26F40EF3" w16cid:durableId="29A8A50E"/>
  <w16cid:commentId w16cid:paraId="0610DE11" w16cid:durableId="2D93D7A4"/>
  <w16cid:commentId w16cid:paraId="261A306F" w16cid:durableId="053B61BA"/>
  <w16cid:commentId w16cid:paraId="780F8F67" w16cid:durableId="1CF36120"/>
  <w16cid:commentId w16cid:paraId="12072800" w16cid:durableId="6E1F52D3"/>
  <w16cid:commentId w16cid:paraId="373086AF" w16cid:durableId="4959B330"/>
  <w16cid:commentId w16cid:paraId="739A2D6D" w16cid:durableId="3AD66359"/>
  <w16cid:commentId w16cid:paraId="3758F34B" w16cid:durableId="38D34018"/>
  <w16cid:commentId w16cid:paraId="6EDFC3F5" w16cid:durableId="6C3F3410"/>
  <w16cid:commentId w16cid:paraId="67AC2F24" w16cid:durableId="5E44F0C0"/>
  <w16cid:commentId w16cid:paraId="2FD4A793" w16cid:durableId="134EF830"/>
  <w16cid:commentId w16cid:paraId="0C849393" w16cid:durableId="3C1A14CA"/>
  <w16cid:commentId w16cid:paraId="2CFBD6C8" w16cid:durableId="17C03F18"/>
  <w16cid:commentId w16cid:paraId="15A4139A" w16cid:durableId="3B5BB2CC"/>
  <w16cid:commentId w16cid:paraId="68E6B0CB" w16cid:durableId="7105AE7D"/>
  <w16cid:commentId w16cid:paraId="3BB3F0BE" w16cid:durableId="4193B5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739170965"/>
        <w:docPartObj>
          <w:docPartGallery w:val="Page Numbers (Bottom of Page)"/>
          <w:docPartUnique/>
        </w:docPartObj>
      </w:sdtPr>
      <w:sdtEndPr>
        <w:rPr>
          <w:rFonts w:cs="Times New Roman"/>
          <w:noProof/>
        </w:rPr>
      </w:sdtEndPr>
      <w:sdtContent>
        <w:r>
          <w:rPr>
            <w:rFonts w:cs="Times New Roman"/>
            <w:color w:val="2B579A"/>
            <w:sz w:val="20"/>
            <w:shd w:val="clear" w:color="auto" w:fill="E6E6E6"/>
          </w:rPr>
          <w:fldChar w:fldCharType="begin"/>
        </w:r>
        <w:r>
          <w:rPr>
            <w:rFonts w:cs="Times New Roman"/>
            <w:sz w:val="20"/>
          </w:rPr>
          <w:instrText xml:space="preserve"> PAGE   \* MERGEFORMAT </w:instrText>
        </w:r>
        <w:r>
          <w:rPr>
            <w:rFonts w:cs="Times New Roman"/>
            <w:color w:val="2B579A"/>
            <w:sz w:val="20"/>
            <w:shd w:val="clear" w:color="auto" w:fill="E6E6E6"/>
          </w:rPr>
          <w:fldChar w:fldCharType="separate"/>
        </w:r>
        <w:r>
          <w:rPr>
            <w:rFonts w:cs="Times New Roman"/>
            <w:noProof/>
            <w:sz w:val="20"/>
          </w:rPr>
          <w:t>1</w:t>
        </w:r>
        <w:r>
          <w:rPr>
            <w:rFonts w:cs="Times New Roman"/>
            <w:color w:val="2B579A"/>
            <w:sz w:val="20"/>
            <w:shd w:val="clear" w:color="auto" w:fill="E6E6E6"/>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780455"/>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rPr>
            <w:color w:val="2B579A"/>
            <w:shd w:val="clear" w:color="auto" w:fill="E6E6E6"/>
          </w:rPr>
          <w:fldChar w:fldCharType="begin"/>
        </w:r>
        <w:r>
          <w:instrText xml:space="preserve"> PAGE   \* MERGEFORMAT </w:instrText>
        </w:r>
        <w:r>
          <w:rPr>
            <w:color w:val="2B579A"/>
            <w:shd w:val="clear" w:color="auto" w:fill="E6E6E6"/>
          </w:rPr>
          <w:fldChar w:fldCharType="separate"/>
        </w:r>
        <w:r>
          <w:t>3</w:t>
        </w:r>
        <w:r>
          <w:rPr>
            <w:color w:val="2B579A"/>
            <w:shd w:val="clear" w:color="auto" w:fill="E6E6E6"/>
          </w:rP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cs="Times New Roman"/>
        </w:rPr>
      </w:pPr>
      <w:r>
        <w:rPr>
          <w:rStyle w:val="FootnoteReference"/>
          <w:rFonts w:cs="Times New Roman"/>
        </w:rPr>
        <w:footnoteRef/>
      </w:r>
      <w:r>
        <w:tab/>
        <w:t xml:space="preserve">Cepej (2021), </w:t>
      </w:r>
      <w:r>
        <w:rPr>
          <w:i/>
          <w:iCs/>
        </w:rPr>
        <w:t>Study on the functioning of the judicial systems in the EU Member States</w:t>
      </w:r>
      <w:r>
        <w:t xml:space="preserve"> (undersökning av rättssystemens funktion i EU:s medlemsstater).</w:t>
      </w:r>
    </w:p>
  </w:footnote>
  <w:footnote w:id="3">
    <w:p>
      <w:pPr>
        <w:pStyle w:val="FootnoteText"/>
        <w:rPr>
          <w:rFonts w:cs="Times New Roman"/>
        </w:rPr>
      </w:pPr>
      <w:r>
        <w:rPr>
          <w:rStyle w:val="FootnoteReference"/>
          <w:rFonts w:cs="Times New Roman"/>
        </w:rPr>
        <w:footnoteRef/>
      </w:r>
      <w:r>
        <w:tab/>
        <w:t>Brottmålsdomstolen har obegränsad prövningsrätt när det gäller att pröva och avgöra brottmål i första instans.</w:t>
      </w:r>
    </w:p>
  </w:footnote>
  <w:footnote w:id="4">
    <w:p>
      <w:pPr>
        <w:pStyle w:val="FootnoteText"/>
        <w:rPr>
          <w:rFonts w:cs="Times New Roman"/>
        </w:rPr>
      </w:pPr>
      <w:r>
        <w:rPr>
          <w:rStyle w:val="FootnoteReference"/>
          <w:rFonts w:cs="Times New Roman"/>
        </w:rPr>
        <w:footnoteRef/>
      </w:r>
      <w:r>
        <w:t xml:space="preserve"> </w:t>
      </w:r>
      <w:r>
        <w:tab/>
        <w:t xml:space="preserve">Lag nr 131 (I)/2015 om inrättandet av förvaltningsdomstolen och om dess funktion. </w:t>
      </w:r>
    </w:p>
  </w:footnote>
  <w:footnote w:id="5">
    <w:p>
      <w:pPr>
        <w:pStyle w:val="FootnoteText"/>
        <w:rPr>
          <w:rFonts w:cs="Times New Roman"/>
        </w:rPr>
      </w:pPr>
      <w:r>
        <w:rPr>
          <w:rStyle w:val="FootnoteReference"/>
          <w:rFonts w:cs="Times New Roman"/>
        </w:rPr>
        <w:footnoteRef/>
      </w:r>
      <w:r>
        <w:t xml:space="preserve"> </w:t>
      </w:r>
      <w:r>
        <w:tab/>
        <w:t>Lag nr 73 (I)/2018 om inrättandet av förvaltningsdomstolen för internationellt skydd och om dess funktion.</w:t>
      </w:r>
    </w:p>
  </w:footnote>
  <w:footnote w:id="6">
    <w:p>
      <w:pPr>
        <w:pStyle w:val="FootnoteText"/>
        <w:rPr>
          <w:rFonts w:cs="Times New Roman"/>
        </w:rPr>
      </w:pPr>
      <w:r>
        <w:rPr>
          <w:rStyle w:val="FootnoteReference"/>
          <w:rFonts w:cs="Times New Roman"/>
        </w:rPr>
        <w:footnoteRef/>
      </w:r>
      <w:r>
        <w:t xml:space="preserve"> </w:t>
      </w:r>
      <w:r>
        <w:tab/>
        <w:t>Högsta domstolen fungerar som ett överprövningsorgan. Den fungerar även som författningsdomstol.</w:t>
      </w:r>
    </w:p>
  </w:footnote>
  <w:footnote w:id="7">
    <w:p>
      <w:pPr>
        <w:spacing w:after="0"/>
        <w:ind w:left="284" w:hanging="284"/>
        <w:rPr>
          <w:rFonts w:cs="Times New Roman"/>
          <w:bCs/>
          <w:sz w:val="20"/>
          <w:szCs w:val="20"/>
        </w:rPr>
      </w:pPr>
      <w:r>
        <w:rPr>
          <w:rStyle w:val="FootnoteReference"/>
          <w:rFonts w:cs="Times New Roman"/>
          <w:sz w:val="20"/>
          <w:szCs w:val="20"/>
        </w:rPr>
        <w:footnoteRef/>
      </w:r>
      <w:r>
        <w:rPr>
          <w:bCs/>
          <w:sz w:val="20"/>
          <w:szCs w:val="20"/>
        </w:rPr>
        <w:t xml:space="preserve"> </w:t>
      </w:r>
      <w:r>
        <w:tab/>
      </w:r>
      <w:r>
        <w:rPr>
          <w:bCs/>
          <w:sz w:val="20"/>
          <w:szCs w:val="20"/>
        </w:rPr>
        <w:t>Bidrag från Cyperns högsta domstol till 2021 års rapport om rättsstatsprincipen.</w:t>
      </w:r>
    </w:p>
  </w:footnote>
  <w:footnote w:id="8">
    <w:p>
      <w:pPr>
        <w:pStyle w:val="FootnoteText"/>
        <w:rPr>
          <w:rFonts w:cs="Times New Roman"/>
        </w:rPr>
      </w:pPr>
      <w:r>
        <w:rPr>
          <w:rStyle w:val="FootnoteReference"/>
          <w:rFonts w:cs="Times New Roman"/>
        </w:rPr>
        <w:footnoteRef/>
      </w:r>
      <w:r>
        <w:t xml:space="preserve"> </w:t>
      </w:r>
      <w:r>
        <w:tab/>
        <w:t>Underlag från Cypern till 2021 års rapport om rättsstatsprincipen; bidrag från högsta domstolen till 2021 års rapport om rättsstatsprincipen, s. 6, och information från högsta domstolen i samband med landsbesöket i Cypern.</w:t>
      </w:r>
    </w:p>
  </w:footnote>
  <w:footnote w:id="9">
    <w:p>
      <w:pPr>
        <w:pStyle w:val="FootnoteText"/>
        <w:rPr>
          <w:rFonts w:cs="Times New Roman"/>
        </w:rPr>
      </w:pPr>
      <w:r>
        <w:rPr>
          <w:rStyle w:val="FootnoteReference"/>
          <w:rFonts w:cs="Times New Roman"/>
        </w:rPr>
        <w:footnoteRef/>
      </w:r>
      <w:r>
        <w:t xml:space="preserve"> </w:t>
      </w:r>
      <w:r>
        <w:tab/>
        <w:t>Enligt artikel 157.2 i Cyperns författning hör tillsättning, befordring, förflyttning, entledigande, avsättning och disciplinfrågor avseende domare uteslutande till högsta domstolsrådets behörighetsområde. Denna bestämmelse i författningen utvecklas ytterligare i lag nr 33/64 om domstolsförvaltningen, avsnitt 10.</w:t>
      </w:r>
    </w:p>
  </w:footnote>
  <w:footnote w:id="10">
    <w:p>
      <w:pPr>
        <w:pStyle w:val="FootnoteText"/>
        <w:rPr>
          <w:rFonts w:cs="Times New Roman"/>
        </w:rPr>
      </w:pPr>
      <w:r>
        <w:rPr>
          <w:rStyle w:val="FootnoteReference"/>
          <w:rFonts w:cs="Times New Roman"/>
        </w:rPr>
        <w:footnoteRef/>
      </w:r>
      <w:r>
        <w:t xml:space="preserve"> </w:t>
      </w:r>
      <w:r>
        <w:tab/>
        <w:t>De två funktionerna, lagföring och rättslig rådgivning, är åtskilda och har separat personal. Statsåklagarens ombud (Republiken Cyperns advokater) agerar för hans räkning och tar endast emot instruktioner från honom. Alla advokater vid Republikens rättsliga byrå är offentliga tjänstemän och omfattas av lagen och förordningarna om offentlig förvaltning, inbegripet disciplinära förfaranden i likhet med alla andra offentliganställda.</w:t>
      </w:r>
    </w:p>
  </w:footnote>
  <w:footnote w:id="11">
    <w:p>
      <w:pPr>
        <w:pStyle w:val="FootnoteText"/>
        <w:rPr>
          <w:rFonts w:cs="Times New Roman"/>
        </w:rPr>
      </w:pPr>
      <w:r>
        <w:rPr>
          <w:rStyle w:val="FootnoteReference"/>
          <w:rFonts w:cs="Times New Roman"/>
        </w:rPr>
        <w:footnoteRef/>
      </w:r>
      <w:r>
        <w:t xml:space="preserve"> </w:t>
      </w:r>
      <w:r>
        <w:tab/>
        <w:t>Cyperns författning, artikel 112.</w:t>
      </w:r>
    </w:p>
  </w:footnote>
  <w:footnote w:id="12">
    <w:p>
      <w:pPr>
        <w:pStyle w:val="FootnoteText"/>
        <w:rPr>
          <w:rFonts w:cs="Times New Roman"/>
        </w:rPr>
      </w:pPr>
      <w:r>
        <w:rPr>
          <w:rStyle w:val="FootnoteReference"/>
          <w:rFonts w:cs="Times New Roman"/>
        </w:rPr>
        <w:footnoteRef/>
      </w:r>
      <w:r>
        <w:t xml:space="preserve"> </w:t>
      </w:r>
      <w:r>
        <w:tab/>
        <w:t>Diagram 48 och 50, resultattavlan för rättskipningen i EU 2021.</w:t>
      </w:r>
    </w:p>
  </w:footnote>
  <w:footnote w:id="13">
    <w:p>
      <w:pPr>
        <w:pStyle w:val="FootnoteText"/>
        <w:rPr>
          <w:rFonts w:cs="Times New Roman"/>
        </w:rPr>
      </w:pPr>
      <w:r>
        <w:rPr>
          <w:rStyle w:val="FootnoteReference"/>
          <w:rFonts w:cs="Times New Roman"/>
        </w:rPr>
        <w:footnoteRef/>
      </w:r>
      <w:r>
        <w:t xml:space="preserve"> </w:t>
      </w:r>
      <w:r>
        <w:tab/>
        <w:t>Nivån av upplevt oberoende för domstolsväsendet kategoriseras enligt följande: mycket låg (under 30 % av de tillfrågade uppfattar domstolarnas självständighet som ganska bra och mycket bra); låg (30–39 %), medel (40–59 %), hög (60–75 %), mycket hög (över 75 %).</w:t>
      </w:r>
    </w:p>
  </w:footnote>
  <w:footnote w:id="14">
    <w:p>
      <w:pPr>
        <w:pStyle w:val="FootnoteText"/>
        <w:rPr>
          <w:rFonts w:cs="Times New Roman"/>
        </w:rPr>
      </w:pPr>
      <w:r>
        <w:rPr>
          <w:rStyle w:val="FootnoteReference"/>
          <w:rFonts w:cs="Times New Roman"/>
        </w:rPr>
        <w:footnoteRef/>
      </w:r>
      <w:r>
        <w:t xml:space="preserve"> </w:t>
      </w:r>
      <w:r>
        <w:tab/>
        <w:t>2020 års rapport om rättsstatsprincipen, landskapitel om rättssituationen i Cypern, s.2.</w:t>
      </w:r>
    </w:p>
  </w:footnote>
  <w:footnote w:id="15">
    <w:p>
      <w:pPr>
        <w:pStyle w:val="FootnoteText"/>
        <w:rPr>
          <w:rFonts w:cs="Times New Roman"/>
        </w:rPr>
      </w:pPr>
      <w:r>
        <w:rPr>
          <w:rStyle w:val="FootnoteReference"/>
          <w:rFonts w:cs="Times New Roman"/>
        </w:rPr>
        <w:footnoteRef/>
      </w:r>
      <w:r>
        <w:t xml:space="preserve"> </w:t>
      </w:r>
      <w:r>
        <w:tab/>
        <w:t>Kommittén leds av ministern för justitiefrågor och allmän ordning och består av en representant för varje politiskt parti som deltar i parlamentsutskottet för rättsliga frågor samt ordföranden i Cyperns advokatsamfund. Ministern för justitiefrågor och allmän ordning samråder samtidigt med högsta domstolen. Information som mottagits i samband med landsbesöket i Cypern.</w:t>
      </w:r>
    </w:p>
  </w:footnote>
  <w:footnote w:id="16">
    <w:p>
      <w:pPr>
        <w:pStyle w:val="FootnoteText"/>
        <w:rPr>
          <w:rFonts w:cs="Times New Roman"/>
        </w:rPr>
      </w:pPr>
      <w:r>
        <w:rPr>
          <w:rStyle w:val="FootnoteReference"/>
          <w:rFonts w:cs="Times New Roman"/>
        </w:rPr>
        <w:footnoteRef/>
      </w:r>
      <w:r>
        <w:t xml:space="preserve"> </w:t>
      </w:r>
      <w:r>
        <w:tab/>
        <w:t>Skriftligt bidrag från justitieministeriet i samband med landsbesöket i Cypern.</w:t>
      </w:r>
    </w:p>
  </w:footnote>
  <w:footnote w:id="17">
    <w:p>
      <w:pPr>
        <w:pStyle w:val="FootnoteText"/>
        <w:rPr>
          <w:rFonts w:cs="Times New Roman"/>
        </w:rPr>
      </w:pPr>
      <w:r>
        <w:rPr>
          <w:rStyle w:val="FootnoteReference"/>
          <w:rFonts w:cs="Times New Roman"/>
        </w:rPr>
        <w:footnoteRef/>
      </w:r>
      <w:r>
        <w:t xml:space="preserve"> </w:t>
      </w:r>
      <w:r>
        <w:tab/>
        <w:t>”Ett rådgivande domstolsråd [...] ska fungera som ett rådgivande organ till republikens president när det gäller lämpliga kandidater för utnämning till domare i högsta författningsdomstolen och överdomstolen. Det rådgivande domstolsrådet ska ha två olika sammansättningar beroende på om domaren utses till högsta författningsdomstolen eller till överdomstolen. I förfarandet för att utse ledamöter till högsta författningsdomstolen består nämnden av ordföranden i högsta författningsdomstolen som nämndens ordförande, de fyra äldsta medlemmarna i samma domstol, republiken Cyperns statsåklagare och ordföranden i Cyperns advokatsamfund. I förfarandet för att utse ledamöter till överdomstolen består nämnden av ordföranden i högsta domstolen, som nämndens ordförande, de fyra äldsta medlemmarna i samma domstol, republiken Cyperns statsåklagare samt ordföranden för Cyperns advokatsamfund.” Lagförslag som mottagits i samband med landsbesöket i Cypern.</w:t>
      </w:r>
    </w:p>
  </w:footnote>
  <w:footnote w:id="18">
    <w:p>
      <w:pPr>
        <w:pStyle w:val="FootnoteText"/>
        <w:rPr>
          <w:rFonts w:cs="Times New Roman"/>
        </w:rPr>
      </w:pPr>
      <w:r>
        <w:rPr>
          <w:rStyle w:val="FootnoteReference"/>
          <w:rFonts w:cs="Times New Roman"/>
        </w:rPr>
        <w:footnoteRef/>
      </w:r>
      <w:r>
        <w:t xml:space="preserve"> </w:t>
      </w:r>
      <w:r>
        <w:tab/>
        <w:t>”Det rådgivande domstolsrådet ska upprätta en förteckning över personer som anses lämpliga för utnämning, deras antal ska vara minst tre gånger antalet lediga tjänster ..., och upprätta bedömningsrapporter för var och en av kandidaterna, som i alfabetisk ordning ska lämnas till republikens president. Rapporten ska innehålla rådets motiverade yttrande om varje kandidats lämplighet och innehållet är rådgivande till republikens president.” Lagförslag som mottagits i samband med landsbesöket i Cypern.</w:t>
      </w:r>
    </w:p>
  </w:footnote>
  <w:footnote w:id="19">
    <w:p>
      <w:pPr>
        <w:pStyle w:val="FootnoteText"/>
        <w:rPr>
          <w:rFonts w:cs="Times New Roman"/>
        </w:rPr>
      </w:pPr>
      <w:r>
        <w:rPr>
          <w:rStyle w:val="FootnoteReference"/>
          <w:rFonts w:cs="Times New Roman"/>
        </w:rPr>
        <w:footnoteRef/>
      </w:r>
      <w:r>
        <w:tab/>
        <w:t>Europarådets ministerkommittés rekommendation CM/Rec(2010)12, punkt 47. Domstolens dom av den 20 april 2021 i mål C-896/19, Repubblika, ECLI:EU:C:2021:311, punkt 71. Domstolens dom av den 9 april 2021 i mål C-824/18, AB et al., punkt 122.</w:t>
      </w:r>
    </w:p>
  </w:footnote>
  <w:footnote w:id="20">
    <w:p>
      <w:pPr>
        <w:pStyle w:val="FootnoteText"/>
        <w:rPr>
          <w:rFonts w:cs="Times New Roman"/>
        </w:rPr>
      </w:pPr>
      <w:r>
        <w:rPr>
          <w:rStyle w:val="FootnoteReference"/>
          <w:rFonts w:cs="Times New Roman"/>
        </w:rPr>
        <w:footnoteRef/>
      </w:r>
      <w:r>
        <w:t xml:space="preserve"> </w:t>
      </w:r>
      <w:r>
        <w:tab/>
        <w:t>Greco, fjärde utvärderingsomgången – Andra överensstämmelserapporten, s. 8; Information som mottagits i samband med landsbesöket i Cypern.</w:t>
      </w:r>
    </w:p>
  </w:footnote>
  <w:footnote w:id="21">
    <w:p>
      <w:pPr>
        <w:pStyle w:val="FootnoteText"/>
        <w:rPr>
          <w:rFonts w:cs="Times New Roman"/>
        </w:rPr>
      </w:pPr>
      <w:r>
        <w:rPr>
          <w:rStyle w:val="FootnoteReference"/>
          <w:rFonts w:cs="Times New Roman"/>
        </w:rPr>
        <w:footnoteRef/>
      </w:r>
      <w:r>
        <w:t xml:space="preserve"> </w:t>
      </w:r>
      <w:r>
        <w:tab/>
        <w:t>Information från justitieministern i samband med landsbesöket i Cypern.</w:t>
      </w:r>
    </w:p>
  </w:footnote>
  <w:footnote w:id="22">
    <w:p>
      <w:pPr>
        <w:pStyle w:val="FootnoteText"/>
        <w:rPr>
          <w:rFonts w:cs="Times New Roman"/>
        </w:rPr>
      </w:pPr>
      <w:r>
        <w:rPr>
          <w:rStyle w:val="FootnoteReference"/>
          <w:rFonts w:cs="Times New Roman"/>
        </w:rPr>
        <w:footnoteRef/>
      </w:r>
      <w:r>
        <w:tab/>
        <w:t xml:space="preserve">Europarådets ministerkommittés rekommendation CM/Rec(2010)12, punkt 27. </w:t>
      </w:r>
    </w:p>
  </w:footnote>
  <w:footnote w:id="23">
    <w:p>
      <w:pPr>
        <w:pStyle w:val="FootnoteText"/>
        <w:rPr>
          <w:rFonts w:cs="Times New Roman"/>
        </w:rPr>
      </w:pPr>
      <w:r>
        <w:rPr>
          <w:rStyle w:val="FootnoteReference"/>
          <w:rFonts w:cs="Times New Roman"/>
        </w:rPr>
        <w:footnoteRef/>
      </w:r>
      <w:r>
        <w:t xml:space="preserve"> </w:t>
      </w:r>
      <w:r>
        <w:tab/>
        <w:t>2020 års rapport om rättsstatsprincipen, landskapitel om rättssituationen i Cypern, s. 3.</w:t>
      </w:r>
    </w:p>
  </w:footnote>
  <w:footnote w:id="24">
    <w:p>
      <w:pPr>
        <w:pStyle w:val="FootnoteText"/>
        <w:rPr>
          <w:rFonts w:cs="Times New Roman"/>
        </w:rPr>
      </w:pPr>
      <w:r>
        <w:rPr>
          <w:rStyle w:val="FootnoteReference"/>
          <w:rFonts w:cs="Times New Roman"/>
        </w:rPr>
        <w:footnoteRef/>
      </w:r>
      <w:r>
        <w:t xml:space="preserve"> </w:t>
      </w:r>
      <w:r>
        <w:tab/>
        <w:t xml:space="preserve">Under 2019 genomförde oberoende experter en verksamhetsinriktad granskning av lagrådet. Utifrån deras rapport utarbetades en åtgärdsplan som godkändes av regeringen den 15 oktober 2019. Åtgärdsplanen omfattar en övergripande reform av republikens lagråd. </w:t>
      </w:r>
    </w:p>
  </w:footnote>
  <w:footnote w:id="25">
    <w:p>
      <w:pPr>
        <w:pStyle w:val="FootnoteText"/>
        <w:rPr>
          <w:rFonts w:cs="Times New Roman"/>
        </w:rPr>
      </w:pPr>
      <w:r>
        <w:rPr>
          <w:rStyle w:val="FootnoteReference"/>
          <w:rFonts w:cs="Times New Roman"/>
        </w:rPr>
        <w:footnoteRef/>
      </w:r>
      <w:r>
        <w:t xml:space="preserve"> </w:t>
      </w:r>
      <w:r>
        <w:tab/>
        <w:t>Underlag från Cypern till 2021 års rapport om rättsstatsprincipen, s. 2.</w:t>
      </w:r>
    </w:p>
  </w:footnote>
  <w:footnote w:id="26">
    <w:p>
      <w:pPr>
        <w:pStyle w:val="FootnoteText"/>
        <w:rPr>
          <w:rFonts w:cs="Times New Roman"/>
        </w:rPr>
      </w:pPr>
      <w:r>
        <w:rPr>
          <w:rStyle w:val="FootnoteReference"/>
          <w:rFonts w:cs="Times New Roman"/>
        </w:rPr>
        <w:footnoteRef/>
      </w:r>
      <w:r>
        <w:t xml:space="preserve"> </w:t>
      </w:r>
      <w:r>
        <w:tab/>
        <w:t>Underlag från Cypern till 2021 års rapport om rättsstatsprincipen, s. 4; information som mottogs i samband med landsbesöket i Cypern.</w:t>
      </w:r>
    </w:p>
  </w:footnote>
  <w:footnote w:id="27">
    <w:p>
      <w:pPr>
        <w:pStyle w:val="FootnoteText"/>
        <w:rPr>
          <w:rFonts w:cs="Times New Roman"/>
        </w:rPr>
      </w:pPr>
      <w:r>
        <w:rPr>
          <w:rStyle w:val="FootnoteReference"/>
          <w:rFonts w:cs="Times New Roman"/>
        </w:rPr>
        <w:footnoteRef/>
      </w:r>
      <w:r>
        <w:t xml:space="preserve"> </w:t>
      </w:r>
      <w:r>
        <w:tab/>
        <w:t>Diagram 39 i 2021 års resultattavla för rättskipningen i EU.</w:t>
      </w:r>
    </w:p>
  </w:footnote>
  <w:footnote w:id="28">
    <w:p>
      <w:pPr>
        <w:pStyle w:val="FootnoteText"/>
        <w:rPr>
          <w:rFonts w:cs="Times New Roman"/>
        </w:rPr>
      </w:pPr>
      <w:r>
        <w:rPr>
          <w:rStyle w:val="FootnoteReference"/>
          <w:rFonts w:cs="Times New Roman"/>
        </w:rPr>
        <w:footnoteRef/>
      </w:r>
      <w:r>
        <w:t xml:space="preserve"> </w:t>
      </w:r>
      <w:r>
        <w:tab/>
        <w:t>Diagram 44 i 2021 års resultattavla för rättskipningen i EU.</w:t>
      </w:r>
    </w:p>
  </w:footnote>
  <w:footnote w:id="29">
    <w:p>
      <w:pPr>
        <w:pStyle w:val="FootnoteText"/>
        <w:rPr>
          <w:rFonts w:cs="Times New Roman"/>
        </w:rPr>
      </w:pPr>
      <w:r>
        <w:rPr>
          <w:rStyle w:val="FootnoteReference"/>
          <w:rFonts w:cs="Times New Roman"/>
        </w:rPr>
        <w:footnoteRef/>
      </w:r>
      <w:r>
        <w:t xml:space="preserve"> </w:t>
      </w:r>
      <w:r>
        <w:tab/>
        <w:t>Cypern begär stöd från faciliteten för återhämtning och resiliens på detta område. Ett pilotprojekt om e-juridik förväntas genomföras inom 12–15 månader.</w:t>
      </w:r>
    </w:p>
  </w:footnote>
  <w:footnote w:id="30">
    <w:p>
      <w:pPr>
        <w:pStyle w:val="FootnoteText"/>
        <w:rPr>
          <w:rFonts w:cs="Times New Roman"/>
        </w:rPr>
      </w:pPr>
      <w:r>
        <w:rPr>
          <w:rStyle w:val="FootnoteReference"/>
          <w:rFonts w:cs="Times New Roman"/>
        </w:rPr>
        <w:footnoteRef/>
      </w:r>
      <w:r>
        <w:t xml:space="preserve"> </w:t>
      </w:r>
      <w:r>
        <w:tab/>
        <w:t>Underlag från Cypern till 2021 års rapport om rättsstatsprincipen, s. 6-7.</w:t>
      </w:r>
    </w:p>
  </w:footnote>
  <w:footnote w:id="31">
    <w:p>
      <w:pPr>
        <w:pStyle w:val="FootnoteText"/>
        <w:rPr>
          <w:rFonts w:cs="Times New Roman"/>
          <w:bCs/>
        </w:rPr>
      </w:pPr>
      <w:r>
        <w:rPr>
          <w:rStyle w:val="FootnoteReference"/>
          <w:rFonts w:cs="Times New Roman"/>
        </w:rPr>
        <w:footnoteRef/>
      </w:r>
      <w:r>
        <w:tab/>
        <w:t>Cyperns webbplats om lagstiftning,</w:t>
      </w:r>
      <w:r>
        <w:rPr>
          <w:rStyle w:val="Hyperlink"/>
          <w:color w:val="auto"/>
          <w:u w:val="none"/>
        </w:rPr>
        <w:t xml:space="preserve"> </w:t>
      </w:r>
      <w:r>
        <w:t>Information som mottagits i samband med landsbesöket i Cypern.</w:t>
      </w:r>
    </w:p>
  </w:footnote>
  <w:footnote w:id="32">
    <w:p>
      <w:pPr>
        <w:pStyle w:val="FootnoteText"/>
        <w:rPr>
          <w:rFonts w:cs="Times New Roman"/>
        </w:rPr>
      </w:pPr>
      <w:r>
        <w:rPr>
          <w:rStyle w:val="FootnoteReference"/>
          <w:rFonts w:cs="Times New Roman"/>
        </w:rPr>
        <w:footnoteRef/>
      </w:r>
      <w:r>
        <w:t xml:space="preserve"> </w:t>
      </w:r>
      <w:r>
        <w:tab/>
        <w:t>2020 års rapport om rättsstatsprincipen, landskapitel om rättssituationen i Cypern, s. 4.</w:t>
      </w:r>
    </w:p>
  </w:footnote>
  <w:footnote w:id="33">
    <w:p>
      <w:pPr>
        <w:pStyle w:val="FootnoteText"/>
        <w:rPr>
          <w:rFonts w:cs="Times New Roman"/>
        </w:rPr>
      </w:pPr>
      <w:r>
        <w:rPr>
          <w:rStyle w:val="FootnoteReference"/>
          <w:rFonts w:cs="Times New Roman"/>
        </w:rPr>
        <w:footnoteRef/>
      </w:r>
      <w:r>
        <w:t xml:space="preserve"> </w:t>
      </w:r>
      <w:r>
        <w:tab/>
        <w:t>Diagram 5, resultattavlan för rättskipningen i EU 2021.</w:t>
      </w:r>
    </w:p>
  </w:footnote>
  <w:footnote w:id="34">
    <w:p>
      <w:pPr>
        <w:pStyle w:val="FootnoteText"/>
        <w:rPr>
          <w:rFonts w:cs="Times New Roman"/>
        </w:rPr>
      </w:pPr>
      <w:r>
        <w:rPr>
          <w:rStyle w:val="FootnoteReference"/>
          <w:rFonts w:cs="Times New Roman"/>
        </w:rPr>
        <w:footnoteRef/>
      </w:r>
      <w:r>
        <w:t xml:space="preserve"> </w:t>
      </w:r>
      <w:r>
        <w:tab/>
        <w:t>Diagram 9, resultattavlan för rättskipningen i EU 2021.</w:t>
      </w:r>
    </w:p>
  </w:footnote>
  <w:footnote w:id="35">
    <w:p>
      <w:pPr>
        <w:pStyle w:val="FootnoteText"/>
        <w:rPr>
          <w:rFonts w:cs="Times New Roman"/>
        </w:rPr>
      </w:pPr>
      <w:r>
        <w:rPr>
          <w:rStyle w:val="FootnoteReference"/>
          <w:rFonts w:cs="Times New Roman"/>
        </w:rPr>
        <w:footnoteRef/>
      </w:r>
      <w:r>
        <w:t xml:space="preserve"> </w:t>
      </w:r>
      <w:r>
        <w:tab/>
        <w:t>Diagram 13, resultattavlan för rättskipningen i EU 2021.</w:t>
      </w:r>
    </w:p>
  </w:footnote>
  <w:footnote w:id="36">
    <w:p>
      <w:pPr>
        <w:pStyle w:val="FootnoteText"/>
        <w:rPr>
          <w:rFonts w:cs="Times New Roman"/>
        </w:rPr>
      </w:pPr>
      <w:r>
        <w:rPr>
          <w:rStyle w:val="FootnoteReference"/>
          <w:rFonts w:cs="Times New Roman"/>
        </w:rPr>
        <w:footnoteRef/>
      </w:r>
      <w:r>
        <w:t xml:space="preserve"> </w:t>
      </w:r>
      <w:r>
        <w:tab/>
        <w:t>Underlag från Cypern till 2021 års rapport om rättsstatsprincipen, s. 9.</w:t>
      </w:r>
    </w:p>
  </w:footnote>
  <w:footnote w:id="37">
    <w:p>
      <w:pPr>
        <w:pStyle w:val="FootnoteText"/>
        <w:rPr>
          <w:rFonts w:cs="Times New Roman"/>
        </w:rPr>
      </w:pPr>
      <w:r>
        <w:rPr>
          <w:rStyle w:val="FootnoteReference"/>
          <w:rFonts w:cs="Times New Roman"/>
        </w:rPr>
        <w:footnoteRef/>
      </w:r>
      <w:r>
        <w:t xml:space="preserve"> </w:t>
      </w:r>
      <w:r>
        <w:tab/>
        <w:t>2020 års rapport om rättsstatsprincipen, landskapitel om situationen i fråga om rättsstatsprincipen i Cypern, s. 4.</w:t>
      </w:r>
    </w:p>
  </w:footnote>
  <w:footnote w:id="38">
    <w:p>
      <w:pPr>
        <w:pStyle w:val="FootnoteText"/>
        <w:rPr>
          <w:rFonts w:cs="Times New Roman"/>
        </w:rPr>
      </w:pPr>
      <w:r>
        <w:rPr>
          <w:rStyle w:val="FootnoteReference"/>
          <w:rFonts w:cs="Times New Roman"/>
        </w:rPr>
        <w:footnoteRef/>
      </w:r>
      <w:r>
        <w:t xml:space="preserve"> </w:t>
      </w:r>
      <w:r>
        <w:tab/>
        <w:t>Underlag från Cypern till 2021 års rapport om rättsstatsprincipen, s. 9.</w:t>
      </w:r>
    </w:p>
  </w:footnote>
  <w:footnote w:id="39">
    <w:p>
      <w:pPr>
        <w:pStyle w:val="FootnoteText"/>
        <w:rPr>
          <w:rFonts w:cs="Times New Roman"/>
        </w:rPr>
      </w:pPr>
      <w:r>
        <w:rPr>
          <w:rStyle w:val="FootnoteReference"/>
          <w:rFonts w:cs="Times New Roman"/>
        </w:rPr>
        <w:footnoteRef/>
      </w:r>
      <w:r>
        <w:t xml:space="preserve"> </w:t>
      </w:r>
      <w:r>
        <w:tab/>
        <w:t>Ibidem.</w:t>
      </w:r>
    </w:p>
  </w:footnote>
  <w:footnote w:id="40">
    <w:p>
      <w:pPr>
        <w:pStyle w:val="FootnoteText"/>
        <w:rPr>
          <w:rFonts w:cs="Times New Roman"/>
        </w:rPr>
      </w:pPr>
      <w:r>
        <w:rPr>
          <w:rStyle w:val="FootnoteReference"/>
          <w:rFonts w:cs="Times New Roman"/>
        </w:rPr>
        <w:footnoteRef/>
      </w:r>
      <w:r>
        <w:t xml:space="preserve"> </w:t>
      </w:r>
      <w:r>
        <w:tab/>
        <w:t>De nya civilrättsliga reglerna godkändes den 19 maj 2021.</w:t>
      </w:r>
    </w:p>
  </w:footnote>
  <w:footnote w:id="41">
    <w:p>
      <w:pPr>
        <w:pStyle w:val="FootnoteText"/>
        <w:rPr>
          <w:rFonts w:cs="Times New Roman"/>
          <w:bCs/>
        </w:rPr>
      </w:pPr>
      <w:r>
        <w:rPr>
          <w:rStyle w:val="FootnoteReference"/>
          <w:rFonts w:cs="Times New Roman"/>
        </w:rPr>
        <w:footnoteRef/>
      </w:r>
      <w:r>
        <w:t xml:space="preserve"> </w:t>
      </w:r>
      <w:r>
        <w:tab/>
        <w:t xml:space="preserve">Inga ytterligare lagstiftningsåtgärder behövs för att anta de nya reglerna för civilrättsliga förfaranden. Reformen har genomförts med tekniskt stöd från Europeiska kommissionen till Cypern. </w:t>
      </w:r>
    </w:p>
  </w:footnote>
  <w:footnote w:id="42">
    <w:p>
      <w:pPr>
        <w:pStyle w:val="FootnoteText"/>
        <w:rPr>
          <w:rFonts w:cs="Times New Roman"/>
        </w:rPr>
      </w:pPr>
      <w:r>
        <w:rPr>
          <w:rStyle w:val="FootnoteReference"/>
        </w:rPr>
        <w:footnoteRef/>
      </w:r>
      <w:r>
        <w:t xml:space="preserve"> </w:t>
      </w:r>
      <w:r>
        <w:tab/>
        <w:t>Transparency International, korruptionsindex (2020), s. 2-3. Nivån för den upplevda korruptionen kategoriseras enligt följande: låg (uppfattningen bland experter och företagsledare i den offentliga sektorn, över 79 poäng ), relativt låg (79–60 poäng ), relativt hög (59–50 poäng ), hög (under 50 poäng).</w:t>
      </w:r>
    </w:p>
  </w:footnote>
  <w:footnote w:id="43">
    <w:p>
      <w:pPr>
        <w:pStyle w:val="FootnoteText"/>
      </w:pPr>
      <w:r>
        <w:rPr>
          <w:rStyle w:val="FootnoteReference"/>
        </w:rPr>
        <w:footnoteRef/>
      </w:r>
      <w:r>
        <w:tab/>
        <w:t>2015 var resultatet 61 poäng medan det 2020 var 57 poäng. Resultatet är en signifikant förbättring eller försämring (vid förändringar med mer än fem poäng); en förbättring eller försämring (vid förändringar med mellan fyra och fem poäng) eller ett relativt stabilt läge (vid förändringar med mellan en och tre poäng) under de senaste fem åren.</w:t>
      </w:r>
    </w:p>
  </w:footnote>
  <w:footnote w:id="44">
    <w:p>
      <w:pPr>
        <w:pStyle w:val="FootnoteText"/>
      </w:pPr>
      <w:r>
        <w:rPr>
          <w:rStyle w:val="FootnoteReference"/>
        </w:rPr>
        <w:footnoteRef/>
      </w:r>
      <w:r>
        <w:t xml:space="preserve"> </w:t>
      </w:r>
      <w:r>
        <w:tab/>
        <w:t>De Eurobarometeruppgifter om medborgares och företags uppfattning om och erfarenheter av korruption som rapporterades förra året uppdateras vartannat år. De senaste datasamlingarna är Särskild Eurobarometer 502 (2020) och Flash Eurobarometer 482 (2019).</w:t>
      </w:r>
    </w:p>
  </w:footnote>
  <w:footnote w:id="45">
    <w:p>
      <w:pPr>
        <w:pStyle w:val="FootnoteText"/>
        <w:rPr>
          <w:rFonts w:cs="Times New Roman"/>
        </w:rPr>
      </w:pPr>
      <w:r>
        <w:rPr>
          <w:rStyle w:val="FootnoteReference"/>
          <w:rFonts w:cs="Times New Roman"/>
        </w:rPr>
        <w:footnoteRef/>
      </w:r>
      <w:r>
        <w:t xml:space="preserve"> </w:t>
      </w:r>
      <w:r>
        <w:tab/>
        <w:t>Underlag från Cypern till 2021 års rapport om rättsstatsprincipen., s. 10.</w:t>
      </w:r>
    </w:p>
  </w:footnote>
  <w:footnote w:id="46">
    <w:p>
      <w:pPr>
        <w:pStyle w:val="FootnoteText"/>
        <w:rPr>
          <w:rFonts w:cs="Times New Roman"/>
        </w:rPr>
      </w:pPr>
      <w:r>
        <w:rPr>
          <w:rStyle w:val="FootnoteReference"/>
          <w:rFonts w:cs="Times New Roman"/>
        </w:rPr>
        <w:footnoteRef/>
      </w:r>
      <w:r>
        <w:t xml:space="preserve"> </w:t>
      </w:r>
      <w:r>
        <w:tab/>
        <w:t>I synnerhet 1) förebyggande, utbildning och medvetenhet, 2) rättsliga åtgärder och 3) riskövervakning och utvärdering.</w:t>
      </w:r>
    </w:p>
  </w:footnote>
  <w:footnote w:id="47">
    <w:p>
      <w:pPr>
        <w:pStyle w:val="FootnoteText"/>
        <w:rPr>
          <w:rFonts w:cs="Times New Roman"/>
        </w:rPr>
      </w:pPr>
      <w:r>
        <w:rPr>
          <w:rStyle w:val="FootnoteReference"/>
          <w:rFonts w:cs="Times New Roman"/>
        </w:rPr>
        <w:footnoteRef/>
      </w:r>
      <w:r>
        <w:tab/>
        <w:t>Bland annat samförståndsavtal mellan staten och universiteten, inrättande av en enhet för bekämpning av korruption under överinseende av statsåklagaren, bildande av en oberoende kommission för förvaltning av mänskliga resurser och inrättande av den oberoende myndigheten mot korruption. Information som mottagits i samband med landsbesöket i Cypern.</w:t>
      </w:r>
    </w:p>
  </w:footnote>
  <w:footnote w:id="48">
    <w:p>
      <w:pPr>
        <w:pStyle w:val="FootnoteText"/>
        <w:rPr>
          <w:rFonts w:cs="Times New Roman"/>
        </w:rPr>
      </w:pPr>
      <w:r>
        <w:rPr>
          <w:rStyle w:val="FootnoteReference"/>
          <w:rFonts w:cs="Times New Roman"/>
        </w:rPr>
        <w:footnoteRef/>
      </w:r>
      <w:r>
        <w:t xml:space="preserve"> </w:t>
      </w:r>
      <w:r>
        <w:tab/>
        <w:t>Exandas webbplats för kommunikation och information</w:t>
      </w:r>
      <w:r>
        <w:rPr>
          <w:rStyle w:val="Hyperlink"/>
          <w:color w:val="auto"/>
          <w:u w:val="none"/>
        </w:rPr>
        <w:t>.</w:t>
      </w:r>
    </w:p>
  </w:footnote>
  <w:footnote w:id="49">
    <w:p>
      <w:pPr>
        <w:pStyle w:val="FootnoteText"/>
        <w:rPr>
          <w:rFonts w:cs="Times New Roman"/>
        </w:rPr>
      </w:pPr>
      <w:r>
        <w:rPr>
          <w:rStyle w:val="FootnoteReference"/>
          <w:rFonts w:cs="Times New Roman"/>
        </w:rPr>
        <w:footnoteRef/>
      </w:r>
      <w:r>
        <w:t xml:space="preserve"> </w:t>
      </w:r>
      <w:r>
        <w:tab/>
        <w:t>Information från justitieministern i samband med landsbesöket i Cypern.</w:t>
      </w:r>
    </w:p>
  </w:footnote>
  <w:footnote w:id="50">
    <w:p>
      <w:pPr>
        <w:pStyle w:val="FootnoteText"/>
        <w:rPr>
          <w:rFonts w:cs="Times New Roman"/>
        </w:rPr>
      </w:pPr>
      <w:r>
        <w:rPr>
          <w:rStyle w:val="FootnoteReference"/>
          <w:rFonts w:cs="Times New Roman"/>
        </w:rPr>
        <w:footnoteRef/>
      </w:r>
      <w:r>
        <w:t xml:space="preserve"> </w:t>
      </w:r>
      <w:r>
        <w:tab/>
        <w:t xml:space="preserve">Rätt till åtkomst till lagen om information från den offentliga sektorn från 2017 (184 (I) /2017). </w:t>
      </w:r>
    </w:p>
  </w:footnote>
  <w:footnote w:id="51">
    <w:p>
      <w:pPr>
        <w:pStyle w:val="FootnoteText"/>
        <w:rPr>
          <w:rFonts w:cs="Times New Roman"/>
        </w:rPr>
      </w:pPr>
      <w:r>
        <w:rPr>
          <w:rStyle w:val="FootnoteReference"/>
          <w:rFonts w:cs="Times New Roman"/>
        </w:rPr>
        <w:footnoteRef/>
      </w:r>
      <w:r>
        <w:t xml:space="preserve"> </w:t>
      </w:r>
      <w:r>
        <w:tab/>
        <w:t>Underlag från Cypern till 2021 års rapport om rättsstatsprincipen, s. 11.</w:t>
      </w:r>
    </w:p>
  </w:footnote>
  <w:footnote w:id="52">
    <w:p>
      <w:pPr>
        <w:pStyle w:val="FootnoteText"/>
        <w:rPr>
          <w:rFonts w:cs="Times New Roman"/>
        </w:rPr>
      </w:pPr>
      <w:r>
        <w:rPr>
          <w:rStyle w:val="FootnoteReference"/>
          <w:rFonts w:cs="Times New Roman"/>
        </w:rPr>
        <w:footnoteRef/>
      </w:r>
      <w:r>
        <w:t xml:space="preserve"> </w:t>
      </w:r>
      <w:r>
        <w:tab/>
        <w:t>Strafflagen, artikel 105</w:t>
      </w:r>
      <w:r>
        <w:rPr>
          <w:color w:val="000000"/>
        </w:rPr>
        <w:t>.</w:t>
      </w:r>
    </w:p>
  </w:footnote>
  <w:footnote w:id="53">
    <w:p>
      <w:pPr>
        <w:pStyle w:val="FootnoteText"/>
        <w:rPr>
          <w:rFonts w:cs="Times New Roman"/>
        </w:rPr>
      </w:pPr>
      <w:r>
        <w:rPr>
          <w:rStyle w:val="FootnoteReference"/>
          <w:rFonts w:cs="Times New Roman"/>
        </w:rPr>
        <w:footnoteRef/>
      </w:r>
      <w:r>
        <w:t xml:space="preserve"> </w:t>
      </w:r>
      <w:r>
        <w:tab/>
        <w:t xml:space="preserve">Underlag från Cypern till 2021 års rapport om rättsstatsprincipen, s. 17. </w:t>
      </w:r>
    </w:p>
  </w:footnote>
  <w:footnote w:id="54">
    <w:p>
      <w:pPr>
        <w:pStyle w:val="FootnoteText"/>
        <w:rPr>
          <w:rFonts w:cs="Times New Roman"/>
        </w:rPr>
      </w:pPr>
      <w:r>
        <w:rPr>
          <w:rStyle w:val="FootnoteReference"/>
          <w:rFonts w:cs="Times New Roman"/>
        </w:rPr>
        <w:footnoteRef/>
      </w:r>
      <w:r>
        <w:t xml:space="preserve"> </w:t>
      </w:r>
      <w:r>
        <w:tab/>
        <w:t>Information från statsåklagarens kontor i samband med landsbesöket i Cypern. Som jämförelse angavs i kapitlet om Cypern i 2020 års rapport om rättsstatsprincipen att totalt 120 korruptionsfall hade utretts eller höll på att utredas mellan 2013 och 2018, varav 98 var avslutade och 22 fall fortfarande håller på att utredas. Rättegång ska inledas eller har inletts i 47 fall. I 26 fall har 37 personer dömts för korruption, varav 12 domar avsåg storskalig korruption som inbegrep den biträdande statsåklagaren, parlamentsledamöter och före detta ministrar.</w:t>
      </w:r>
    </w:p>
  </w:footnote>
  <w:footnote w:id="55">
    <w:p>
      <w:pPr>
        <w:pStyle w:val="FootnoteText"/>
        <w:rPr>
          <w:rFonts w:cs="Times New Roman"/>
        </w:rPr>
      </w:pPr>
      <w:r>
        <w:rPr>
          <w:rStyle w:val="FootnoteReference"/>
          <w:rFonts w:cs="Times New Roman"/>
        </w:rPr>
        <w:footnoteRef/>
      </w:r>
      <w:r>
        <w:t xml:space="preserve"> </w:t>
      </w:r>
      <w:r>
        <w:tab/>
        <w:t>Lag 180(I) från 2017.</w:t>
      </w:r>
    </w:p>
  </w:footnote>
  <w:footnote w:id="56">
    <w:p>
      <w:pPr>
        <w:pStyle w:val="FootnoteText"/>
        <w:rPr>
          <w:rFonts w:cs="Times New Roman"/>
        </w:rPr>
      </w:pPr>
      <w:r>
        <w:rPr>
          <w:rStyle w:val="FootnoteReference"/>
          <w:rFonts w:cs="Times New Roman"/>
        </w:rPr>
        <w:footnoteRef/>
      </w:r>
      <w:r>
        <w:t xml:space="preserve"> </w:t>
      </w:r>
      <w:r>
        <w:tab/>
        <w:t>Information från statsåklagarens kontor i samband med landsbesöket i Cypern.</w:t>
      </w:r>
    </w:p>
  </w:footnote>
  <w:footnote w:id="57">
    <w:p>
      <w:pPr>
        <w:pStyle w:val="FootnoteText"/>
        <w:rPr>
          <w:rFonts w:cs="Times New Roman"/>
        </w:rPr>
      </w:pPr>
      <w:r>
        <w:rPr>
          <w:rStyle w:val="FootnoteReference"/>
          <w:rFonts w:cs="Times New Roman"/>
        </w:rPr>
        <w:footnoteRef/>
      </w:r>
      <w:r>
        <w:t xml:space="preserve"> </w:t>
      </w:r>
      <w:r>
        <w:tab/>
        <w:t>Ibidem.</w:t>
      </w:r>
    </w:p>
  </w:footnote>
  <w:footnote w:id="58">
    <w:p>
      <w:pPr>
        <w:pStyle w:val="FootnoteText"/>
      </w:pPr>
      <w:r>
        <w:rPr>
          <w:rStyle w:val="FootnoteReference"/>
        </w:rPr>
        <w:footnoteRef/>
      </w:r>
      <w:r>
        <w:t xml:space="preserve"> </w:t>
      </w:r>
      <w:r>
        <w:tab/>
        <w:t xml:space="preserve">Se Sigma Live, 7.6.2021, </w:t>
      </w:r>
      <w:r>
        <w:rPr>
          <w:i/>
        </w:rPr>
        <w:t>Report on citizenship</w:t>
      </w:r>
      <w:r>
        <w:t>.</w:t>
      </w:r>
    </w:p>
  </w:footnote>
  <w:footnote w:id="59">
    <w:p>
      <w:pPr>
        <w:pStyle w:val="FootnoteText"/>
        <w:rPr>
          <w:rFonts w:cs="Times New Roman"/>
          <w:color w:val="0563C1" w:themeColor="hyperlink"/>
          <w:u w:val="single"/>
        </w:rPr>
      </w:pPr>
      <w:r>
        <w:rPr>
          <w:rStyle w:val="FootnoteReference"/>
          <w:rFonts w:cs="Times New Roman"/>
        </w:rPr>
        <w:footnoteRef/>
      </w:r>
      <w:r>
        <w:t xml:space="preserve"> </w:t>
      </w:r>
      <w:r>
        <w:tab/>
        <w:t>Information som mottagits i samband med landsbesöket till Cypern och Kathimerini,</w:t>
      </w:r>
      <w:r>
        <w:rPr>
          <w:i/>
        </w:rPr>
        <w:t xml:space="preserve"> Interim report on golden passports delivered</w:t>
      </w:r>
      <w:r>
        <w:t>, 10 juni 2021;</w:t>
      </w:r>
      <w:r>
        <w:rPr>
          <w:rStyle w:val="Hyperlink"/>
          <w:color w:val="auto"/>
          <w:u w:val="none"/>
        </w:rPr>
        <w:t xml:space="preserve"> utredningskommissionen,</w:t>
      </w:r>
      <w:r>
        <w:rPr>
          <w:rStyle w:val="Hyperlink"/>
          <w:i/>
          <w:color w:val="auto"/>
          <w:u w:val="none"/>
        </w:rPr>
        <w:t xml:space="preserve"> Interim Report on the procedure of granting citizenship to foreign investors and businessmen</w:t>
      </w:r>
      <w:r>
        <w:rPr>
          <w:rStyle w:val="Hyperlink"/>
          <w:color w:val="auto"/>
          <w:u w:val="none"/>
        </w:rPr>
        <w:t xml:space="preserve">, 16 april 2021. </w:t>
      </w:r>
    </w:p>
  </w:footnote>
  <w:footnote w:id="60">
    <w:p>
      <w:pPr>
        <w:pStyle w:val="FootnoteText"/>
      </w:pPr>
      <w:r>
        <w:rPr>
          <w:rStyle w:val="FootnoteReference"/>
        </w:rPr>
        <w:footnoteRef/>
      </w:r>
      <w:r>
        <w:t xml:space="preserve"> </w:t>
      </w:r>
      <w:r>
        <w:tab/>
        <w:t xml:space="preserve">Europeiska kommissionen, </w:t>
      </w:r>
      <w:r>
        <w:rPr>
          <w:i/>
          <w:iCs/>
        </w:rPr>
        <w:t>Investor citizenship schemes:</w:t>
      </w:r>
      <w:r>
        <w:t xml:space="preserve"> </w:t>
      </w:r>
      <w:r>
        <w:rPr>
          <w:i/>
          <w:iCs/>
        </w:rPr>
        <w:t>European Commission opens infringements against Cyprus and Malta for ”selling” EU citizenship</w:t>
      </w:r>
      <w:r>
        <w:t xml:space="preserve">, 20 oktober 2020, </w:t>
      </w:r>
      <w:r>
        <w:rPr>
          <w:bCs/>
          <w:bdr w:val="none" w:sz="0" w:space="0" w:color="auto" w:frame="1"/>
        </w:rPr>
        <w:t xml:space="preserve">INFR(2020)2300; </w:t>
      </w:r>
      <w:r>
        <w:t>Europeiska kommissionen, Överträdelser i juni:</w:t>
      </w:r>
      <w:r>
        <w:rPr>
          <w:i/>
        </w:rPr>
        <w:t xml:space="preserve"> </w:t>
      </w:r>
      <w:r>
        <w:t>de viktigaste besluten, 9 juni 2021.</w:t>
      </w:r>
      <w:r>
        <w:rPr>
          <w:bCs/>
          <w:bdr w:val="none" w:sz="0" w:space="0" w:color="auto" w:frame="1"/>
        </w:rPr>
        <w:t xml:space="preserve"> Överträdelsen gäller Cyperns underlåtenhet att uppfylla sina skyldigheter enligt principen om lojalt samarbete och unionsmedborgarskap genom att erbjuda medborgarskap i utbyte mot förutbestämda betalningar och investeringar.</w:t>
      </w:r>
    </w:p>
  </w:footnote>
  <w:footnote w:id="61">
    <w:p>
      <w:pPr>
        <w:pStyle w:val="FootnoteText"/>
        <w:rPr>
          <w:rFonts w:cs="Times New Roman"/>
        </w:rPr>
      </w:pPr>
      <w:r>
        <w:rPr>
          <w:rStyle w:val="FootnoteReference"/>
          <w:rFonts w:cs="Times New Roman"/>
        </w:rPr>
        <w:footnoteRef/>
      </w:r>
      <w:r>
        <w:t xml:space="preserve"> </w:t>
      </w:r>
      <w:r>
        <w:tab/>
        <w:t>Information från poliskontoret för utredning av ekonomisk brottslighet i samband med landsbesöket i Cypern.</w:t>
      </w:r>
    </w:p>
  </w:footnote>
  <w:footnote w:id="62">
    <w:p>
      <w:pPr>
        <w:pStyle w:val="FootnoteText"/>
        <w:rPr>
          <w:rFonts w:cs="Times New Roman"/>
        </w:rPr>
      </w:pPr>
      <w:r>
        <w:rPr>
          <w:rStyle w:val="FootnoteReference"/>
          <w:rFonts w:cs="Times New Roman"/>
        </w:rPr>
        <w:footnoteRef/>
      </w:r>
      <w:r>
        <w:t xml:space="preserve"> </w:t>
      </w:r>
      <w:r>
        <w:tab/>
        <w:t>Ibidem.</w:t>
      </w:r>
    </w:p>
  </w:footnote>
  <w:footnote w:id="63">
    <w:p>
      <w:pPr>
        <w:pStyle w:val="FootnoteText"/>
        <w:rPr>
          <w:rFonts w:cs="Times New Roman"/>
        </w:rPr>
      </w:pPr>
      <w:r>
        <w:rPr>
          <w:rStyle w:val="FootnoteReference"/>
          <w:rFonts w:cs="Times New Roman"/>
        </w:rPr>
        <w:footnoteRef/>
      </w:r>
      <w:r>
        <w:t xml:space="preserve"> </w:t>
      </w:r>
      <w:r>
        <w:tab/>
        <w:t>Underlag från Cypern till 2021 års rapport om rättsstatsprincipen, s. 25.</w:t>
      </w:r>
    </w:p>
  </w:footnote>
  <w:footnote w:id="64">
    <w:p>
      <w:pPr>
        <w:pStyle w:val="FootnoteText"/>
        <w:rPr>
          <w:rFonts w:cs="Times New Roman"/>
        </w:rPr>
      </w:pPr>
      <w:r>
        <w:rPr>
          <w:rStyle w:val="FootnoteReference"/>
          <w:rFonts w:cs="Times New Roman"/>
        </w:rPr>
        <w:footnoteRef/>
      </w:r>
      <w:r>
        <w:t xml:space="preserve"> </w:t>
      </w:r>
      <w:r>
        <w:tab/>
        <w:t>Underlag från Cypern till 2021 års rapport om rättsstatsprincipen, s. 16.</w:t>
      </w:r>
    </w:p>
  </w:footnote>
  <w:footnote w:id="65">
    <w:p>
      <w:pPr>
        <w:pStyle w:val="FootnoteText"/>
        <w:rPr>
          <w:rFonts w:cs="Times New Roman"/>
        </w:rPr>
      </w:pPr>
      <w:r>
        <w:rPr>
          <w:rStyle w:val="FootnoteReference"/>
          <w:rFonts w:cs="Times New Roman"/>
        </w:rPr>
        <w:footnoteRef/>
      </w:r>
      <w:r>
        <w:t xml:space="preserve"> </w:t>
      </w:r>
      <w:r>
        <w:tab/>
        <w:t>Underlag från Cypern till 2021 års rapport om rättsstatsprincipen.</w:t>
      </w:r>
    </w:p>
  </w:footnote>
  <w:footnote w:id="66">
    <w:p>
      <w:pPr>
        <w:pStyle w:val="FootnoteText"/>
        <w:rPr>
          <w:rFonts w:cs="Times New Roman"/>
        </w:rPr>
      </w:pPr>
      <w:r>
        <w:rPr>
          <w:rStyle w:val="FootnoteReference"/>
          <w:rFonts w:cs="Times New Roman"/>
        </w:rPr>
        <w:footnoteRef/>
      </w:r>
      <w:r>
        <w:t xml:space="preserve"> </w:t>
      </w:r>
      <w:r>
        <w:tab/>
        <w:t xml:space="preserve">Cyperns polis, yrkesetisk kod för polisen. </w:t>
      </w:r>
    </w:p>
  </w:footnote>
  <w:footnote w:id="67">
    <w:p>
      <w:pPr>
        <w:pStyle w:val="FootnoteText"/>
        <w:rPr>
          <w:rFonts w:cs="Times New Roman"/>
        </w:rPr>
      </w:pPr>
      <w:r>
        <w:rPr>
          <w:rStyle w:val="FootnoteReference"/>
          <w:rFonts w:cs="Times New Roman"/>
        </w:rPr>
        <w:footnoteRef/>
      </w:r>
      <w:r>
        <w:t xml:space="preserve"> </w:t>
      </w:r>
      <w:r>
        <w:tab/>
        <w:t>Information som mottagits i samband med landsbesöket i Cypern.</w:t>
      </w:r>
    </w:p>
  </w:footnote>
  <w:footnote w:id="68">
    <w:p>
      <w:pPr>
        <w:autoSpaceDE w:val="0"/>
        <w:autoSpaceDN w:val="0"/>
        <w:spacing w:after="0"/>
        <w:ind w:left="284" w:hanging="284"/>
        <w:rPr>
          <w:rFonts w:eastAsia="Times New Roman" w:cs="Times New Roman"/>
          <w:sz w:val="20"/>
          <w:szCs w:val="20"/>
        </w:rPr>
      </w:pPr>
      <w:r>
        <w:rPr>
          <w:rStyle w:val="FootnoteReference"/>
          <w:rFonts w:cs="Times New Roman"/>
          <w:sz w:val="20"/>
          <w:szCs w:val="20"/>
        </w:rPr>
        <w:footnoteRef/>
      </w:r>
      <w:r>
        <w:rPr>
          <w:sz w:val="20"/>
          <w:szCs w:val="20"/>
        </w:rPr>
        <w:t xml:space="preserve"> </w:t>
      </w:r>
      <w:r>
        <w:tab/>
      </w:r>
      <w:r>
        <w:rPr>
          <w:sz w:val="20"/>
          <w:szCs w:val="20"/>
        </w:rPr>
        <w:t>Underlag från Cypern till 2021 års rapport om rättsstatsprincipen. Det är värt att notera att i 2020 års rapport om rättsstatsprincipen, landskapitlet om rättssituationen i Cypern, s. 8 angavs att medan uppförandekoder finns för medlemmar av regeringen, offentliga tjänstemän och åklagare, finns det inga liknande bestämmelser för medlemmarna i representanthuset. Koden skulle innehålla vägledning för att förhindra och hantera intressekonflikter hos parlamentsledamöter.</w:t>
      </w:r>
    </w:p>
  </w:footnote>
  <w:footnote w:id="69">
    <w:p>
      <w:pPr>
        <w:pStyle w:val="FootnoteText"/>
        <w:rPr>
          <w:rFonts w:cs="Times New Roman"/>
        </w:rPr>
      </w:pPr>
      <w:r>
        <w:rPr>
          <w:rStyle w:val="FootnoteReference"/>
          <w:rFonts w:cs="Times New Roman"/>
        </w:rPr>
        <w:footnoteRef/>
      </w:r>
      <w:r>
        <w:t xml:space="preserve"> </w:t>
      </w:r>
      <w:r>
        <w:tab/>
      </w:r>
      <w:r>
        <w:rPr>
          <w:shd w:val="clear" w:color="auto" w:fill="FFFFFF"/>
        </w:rPr>
        <w:t xml:space="preserve">Lag nr 1 från 1990 om offentlig förvaltning och lag nr 100(I) från 2015 om ändring av lagen om offentlig förvaltning. </w:t>
      </w:r>
    </w:p>
  </w:footnote>
  <w:footnote w:id="70">
    <w:p>
      <w:pPr>
        <w:pStyle w:val="FootnoteText"/>
        <w:rPr>
          <w:rFonts w:cs="Times New Roman"/>
        </w:rPr>
      </w:pPr>
      <w:r>
        <w:rPr>
          <w:rStyle w:val="FootnoteReference"/>
          <w:rFonts w:cs="Times New Roman"/>
        </w:rPr>
        <w:footnoteRef/>
      </w:r>
      <w:r>
        <w:t xml:space="preserve"> </w:t>
      </w:r>
      <w:r>
        <w:tab/>
        <w:t>Underlag från Cypern till 2021 års rapport om rättsstatsprincipen, s. 12.</w:t>
      </w:r>
    </w:p>
  </w:footnote>
  <w:footnote w:id="71">
    <w:p>
      <w:pPr>
        <w:pStyle w:val="FootnoteText"/>
        <w:rPr>
          <w:rFonts w:cs="Times New Roman"/>
        </w:rPr>
      </w:pPr>
      <w:r>
        <w:rPr>
          <w:rStyle w:val="FootnoteReference"/>
          <w:rFonts w:cs="Times New Roman"/>
        </w:rPr>
        <w:footnoteRef/>
      </w:r>
      <w:r>
        <w:t xml:space="preserve"> </w:t>
      </w:r>
      <w:r>
        <w:tab/>
        <w:t>2020 års rapport om rättsstatsprincipen, landskapitel om rättssituationen i Cypern, s. 8.</w:t>
      </w:r>
    </w:p>
  </w:footnote>
  <w:footnote w:id="72">
    <w:p>
      <w:pPr>
        <w:pStyle w:val="FootnoteText"/>
        <w:rPr>
          <w:rFonts w:cs="Times New Roman"/>
        </w:rPr>
      </w:pPr>
      <w:r>
        <w:rPr>
          <w:rStyle w:val="FootnoteReference"/>
          <w:rFonts w:cs="Times New Roman"/>
        </w:rPr>
        <w:footnoteRef/>
      </w:r>
      <w:r>
        <w:t xml:space="preserve"> </w:t>
      </w:r>
      <w:r>
        <w:tab/>
        <w:t>Underlag från Cypern till 2021 års rapport om rättsstatsprincipen, s. 12.</w:t>
      </w:r>
    </w:p>
  </w:footnote>
  <w:footnote w:id="73">
    <w:p>
      <w:pPr>
        <w:pStyle w:val="FootnoteText"/>
        <w:rPr>
          <w:rFonts w:cs="Times New Roman"/>
        </w:rPr>
      </w:pPr>
      <w:r>
        <w:rPr>
          <w:rStyle w:val="FootnoteReference"/>
          <w:rFonts w:cs="Times New Roman"/>
        </w:rPr>
        <w:footnoteRef/>
      </w:r>
      <w:r>
        <w:t xml:space="preserve"> </w:t>
      </w:r>
      <w:r>
        <w:tab/>
        <w:t>Enligt den föreslagna lagen kan personer som är direkt inblandade i en korruptionshandling men som frivilligt rapporterar till polisen och/eller erbjuder sig att samarbeta med myndigheterna på ett sätt som resulterar i en fullständig utredning och lagföring av fallet gynnas av en nedsättning av det straff som förutses för det brottet (upp till hälften av det högsta straffet).</w:t>
      </w:r>
    </w:p>
  </w:footnote>
  <w:footnote w:id="74">
    <w:p>
      <w:pPr>
        <w:pStyle w:val="FootnoteText"/>
        <w:rPr>
          <w:rFonts w:cs="Times New Roman"/>
        </w:rPr>
      </w:pPr>
      <w:r>
        <w:rPr>
          <w:rStyle w:val="FootnoteReference"/>
          <w:rFonts w:cs="Times New Roman"/>
        </w:rPr>
        <w:footnoteRef/>
      </w:r>
      <w:r>
        <w:t xml:space="preserve"> </w:t>
      </w:r>
      <w:r>
        <w:tab/>
        <w:t>Underlag från Cypern till 2021 års rapport om rättsstatsprincipen, s. 13-14.</w:t>
      </w:r>
    </w:p>
  </w:footnote>
  <w:footnote w:id="75">
    <w:p>
      <w:pPr>
        <w:pStyle w:val="FootnoteText"/>
        <w:rPr>
          <w:rFonts w:cs="Times New Roman"/>
        </w:rPr>
      </w:pPr>
      <w:r>
        <w:rPr>
          <w:rStyle w:val="FootnoteReference"/>
          <w:rFonts w:cs="Times New Roman"/>
        </w:rPr>
        <w:footnoteRef/>
      </w:r>
      <w:r>
        <w:t xml:space="preserve"> </w:t>
      </w:r>
      <w:r>
        <w:tab/>
        <w:t xml:space="preserve">Lag 184(I) / 2017 om rätten att få tillgång till information från den offentliga sektorn. </w:t>
      </w:r>
    </w:p>
  </w:footnote>
  <w:footnote w:id="76">
    <w:p>
      <w:pPr>
        <w:pStyle w:val="FootnoteText"/>
        <w:rPr>
          <w:rFonts w:cs="Times New Roman"/>
        </w:rPr>
      </w:pPr>
      <w:r>
        <w:rPr>
          <w:rStyle w:val="FootnoteReference"/>
          <w:rFonts w:cs="Times New Roman"/>
        </w:rPr>
        <w:footnoteRef/>
      </w:r>
      <w:r>
        <w:t xml:space="preserve"> </w:t>
      </w:r>
      <w:r>
        <w:tab/>
        <w:t>Sedan 2020 har Cypern klättrat ytterligare en plats i Reportrar utan gränsers internationella pressfrihetsindex och ligger nu på plats 26 i världen och plats 13 i EU. Reportrar utan gränser – Cypern</w:t>
      </w:r>
      <w:r>
        <w:rPr>
          <w:rStyle w:val="Hyperlink"/>
        </w:rPr>
        <w:t>.</w:t>
      </w:r>
      <w:r>
        <w:t xml:space="preserve"> Sedan 2020 har Cypern klättrat ytterligare en plats i Reportrar utan gränsers internationella pressfrihetsindex och ligger nu på plats 26 i världen och plats 13 i EU.</w:t>
      </w:r>
    </w:p>
  </w:footnote>
  <w:footnote w:id="77">
    <w:p>
      <w:pPr>
        <w:pStyle w:val="FootnoteText"/>
        <w:rPr>
          <w:rFonts w:cs="Times New Roman"/>
        </w:rPr>
      </w:pPr>
      <w:r>
        <w:rPr>
          <w:rStyle w:val="FootnoteReference"/>
          <w:rFonts w:cs="Times New Roman"/>
        </w:rPr>
        <w:footnoteRef/>
      </w:r>
      <w:r>
        <w:t xml:space="preserve"> </w:t>
      </w:r>
      <w:r>
        <w:tab/>
        <w:t>Den 4 mars 2021.</w:t>
      </w:r>
    </w:p>
  </w:footnote>
  <w:footnote w:id="78">
    <w:p>
      <w:pPr>
        <w:pStyle w:val="FootnoteText"/>
        <w:rPr>
          <w:rFonts w:cs="Times New Roman"/>
        </w:rPr>
      </w:pPr>
      <w:r>
        <w:rPr>
          <w:rStyle w:val="FootnoteReference"/>
          <w:rFonts w:cs="Times New Roman"/>
        </w:rPr>
        <w:footnoteRef/>
      </w:r>
      <w:r>
        <w:t xml:space="preserve"> </w:t>
      </w:r>
      <w:r>
        <w:tab/>
        <w:t>Underlag från Cypern till 2021 års rapport om rättsstatsprincipen, s. 20.</w:t>
      </w:r>
    </w:p>
  </w:footnote>
  <w:footnote w:id="79">
    <w:p>
      <w:pPr>
        <w:pStyle w:val="FootnoteText"/>
        <w:rPr>
          <w:rFonts w:cs="Times New Roman"/>
        </w:rPr>
      </w:pPr>
      <w:r>
        <w:rPr>
          <w:rStyle w:val="FootnoteReference"/>
          <w:rFonts w:cs="Times New Roman"/>
        </w:rPr>
        <w:footnoteRef/>
      </w:r>
      <w:r>
        <w:t xml:space="preserve"> </w:t>
      </w:r>
      <w:r>
        <w:tab/>
        <w:t>Underlag från Cypern till 2021 års rapport om rättsstatsprincipen, s. 19.</w:t>
      </w:r>
    </w:p>
  </w:footnote>
  <w:footnote w:id="80">
    <w:p>
      <w:pPr>
        <w:pStyle w:val="FootnoteText"/>
        <w:rPr>
          <w:rFonts w:cs="Times New Roman"/>
        </w:rPr>
      </w:pPr>
      <w:r>
        <w:rPr>
          <w:rStyle w:val="FootnoteReference"/>
          <w:rFonts w:cs="Times New Roman"/>
        </w:rPr>
        <w:footnoteRef/>
      </w:r>
      <w:r>
        <w:t xml:space="preserve"> </w:t>
      </w:r>
      <w:r>
        <w:tab/>
        <w:t>2021 års lagförslag om att skydda pressfriheten och driften av medier i Republiken Cypern.</w:t>
      </w:r>
    </w:p>
  </w:footnote>
  <w:footnote w:id="81">
    <w:p>
      <w:pPr>
        <w:pStyle w:val="FootnoteText"/>
        <w:rPr>
          <w:rFonts w:cs="Times New Roman"/>
        </w:rPr>
      </w:pPr>
      <w:r>
        <w:rPr>
          <w:rStyle w:val="FootnoteReference"/>
          <w:rFonts w:cs="Times New Roman"/>
        </w:rPr>
        <w:footnoteRef/>
      </w:r>
      <w:r>
        <w:t xml:space="preserve"> Kommissionen för klagomål mot medier grundades 1997 av föreningen för utgivare av tidningar och tidskrifter, ägare av privata elektroniska medier och Cyperns journalistförbund.</w:t>
      </w:r>
    </w:p>
  </w:footnote>
  <w:footnote w:id="82">
    <w:p>
      <w:pPr>
        <w:pStyle w:val="FootnoteText"/>
        <w:rPr>
          <w:rFonts w:cs="Times New Roman"/>
        </w:rPr>
      </w:pPr>
      <w:r>
        <w:rPr>
          <w:rStyle w:val="FootnoteReference"/>
          <w:rFonts w:cs="Times New Roman"/>
        </w:rPr>
        <w:footnoteRef/>
      </w:r>
      <w:r>
        <w:t xml:space="preserve"> </w:t>
      </w:r>
      <w:r>
        <w:tab/>
        <w:t>Övervakningsverktyget för mediepluralism 2021, s. 10.</w:t>
      </w:r>
    </w:p>
  </w:footnote>
  <w:footnote w:id="83">
    <w:p>
      <w:pPr>
        <w:pStyle w:val="FootnoteText"/>
        <w:rPr>
          <w:rFonts w:cs="Times New Roman"/>
        </w:rPr>
      </w:pPr>
      <w:r>
        <w:rPr>
          <w:rStyle w:val="FootnoteReference"/>
          <w:rFonts w:cs="Times New Roman"/>
        </w:rPr>
        <w:footnoteRef/>
      </w:r>
      <w:r>
        <w:t xml:space="preserve"> </w:t>
      </w:r>
      <w:r>
        <w:tab/>
        <w:t>2021 års lagförslag om skydd av pressfrihet och mediers verksamhet i Republiken Cypern.</w:t>
      </w:r>
    </w:p>
  </w:footnote>
  <w:footnote w:id="84">
    <w:p>
      <w:pPr>
        <w:pStyle w:val="FootnoteText"/>
        <w:rPr>
          <w:rFonts w:cs="Times New Roman"/>
        </w:rPr>
      </w:pPr>
      <w:r>
        <w:rPr>
          <w:rStyle w:val="FootnoteReference"/>
          <w:rFonts w:cs="Times New Roman"/>
        </w:rPr>
        <w:footnoteRef/>
      </w:r>
      <w:r>
        <w:t xml:space="preserve"> </w:t>
      </w:r>
      <w:r>
        <w:tab/>
        <w:t>Underlag från Cypern till 2021 års rapport om rättsstatsprincipen, s. 19–20.</w:t>
      </w:r>
    </w:p>
  </w:footnote>
  <w:footnote w:id="85">
    <w:p>
      <w:pPr>
        <w:pStyle w:val="FootnoteText"/>
      </w:pPr>
      <w:r>
        <w:rPr>
          <w:rStyle w:val="FootnoteReference"/>
        </w:rPr>
        <w:footnoteRef/>
      </w:r>
      <w:r>
        <w:tab/>
        <w:t>Övervakningsverktyget för mediepluralism 2021, s. 14.</w:t>
      </w:r>
    </w:p>
  </w:footnote>
  <w:footnote w:id="86">
    <w:p>
      <w:pPr>
        <w:pStyle w:val="FootnoteText"/>
        <w:rPr>
          <w:rFonts w:cs="Times New Roman"/>
        </w:rPr>
      </w:pPr>
      <w:r>
        <w:rPr>
          <w:rStyle w:val="FootnoteReference"/>
          <w:rFonts w:cs="Times New Roman"/>
        </w:rPr>
        <w:footnoteRef/>
      </w:r>
      <w:r>
        <w:t xml:space="preserve"> </w:t>
      </w:r>
      <w:r>
        <w:tab/>
        <w:t>Ibidem.</w:t>
      </w:r>
    </w:p>
  </w:footnote>
  <w:footnote w:id="87">
    <w:p>
      <w:pPr>
        <w:pStyle w:val="FootnoteText"/>
        <w:rPr>
          <w:rFonts w:cs="Times New Roman"/>
        </w:rPr>
      </w:pPr>
      <w:r>
        <w:rPr>
          <w:rStyle w:val="FootnoteReference"/>
          <w:rFonts w:cs="Times New Roman"/>
        </w:rPr>
        <w:footnoteRef/>
      </w:r>
      <w:r>
        <w:t xml:space="preserve"> </w:t>
      </w:r>
      <w:r>
        <w:tab/>
        <w:t>Underlag från Cypern till 2021 års rapport om rättsstatsprincipen, s. 20–21, samt information som mottagits i samband med landsbesöket i Cypern.</w:t>
      </w:r>
    </w:p>
  </w:footnote>
  <w:footnote w:id="88">
    <w:p>
      <w:pPr>
        <w:pStyle w:val="FootnoteText"/>
        <w:rPr>
          <w:rFonts w:cs="Times New Roman"/>
        </w:rPr>
      </w:pPr>
      <w:r>
        <w:rPr>
          <w:rStyle w:val="FootnoteReference"/>
          <w:rFonts w:cs="Times New Roman"/>
        </w:rPr>
        <w:footnoteRef/>
      </w:r>
      <w:r>
        <w:t xml:space="preserve"> </w:t>
      </w:r>
      <w:r>
        <w:tab/>
        <w:t>Underlag från Cypern till 2021 års rapport om rättsstatsprincipen, s.  20-21, samt information från press- och informationskontoret i samband med landsbesöket i Cypern.</w:t>
      </w:r>
    </w:p>
  </w:footnote>
  <w:footnote w:id="89">
    <w:p>
      <w:pPr>
        <w:pStyle w:val="FootnoteText"/>
        <w:rPr>
          <w:rFonts w:cs="Times New Roman"/>
        </w:rPr>
      </w:pPr>
      <w:r>
        <w:rPr>
          <w:rStyle w:val="FootnoteReference"/>
          <w:rFonts w:cs="Times New Roman"/>
        </w:rPr>
        <w:footnoteRef/>
      </w:r>
      <w:r>
        <w:t xml:space="preserve"> </w:t>
      </w:r>
      <w:r>
        <w:tab/>
        <w:t xml:space="preserve">Rapporteringsprojektet om organiserad brottslighet och korruption, </w:t>
      </w:r>
      <w:r>
        <w:rPr>
          <w:i/>
        </w:rPr>
        <w:t>Cypriot Journalist Says He is Being Spied on and Fears for His Life</w:t>
      </w:r>
      <w:r>
        <w:t>.</w:t>
      </w:r>
    </w:p>
  </w:footnote>
  <w:footnote w:id="90">
    <w:p>
      <w:pPr>
        <w:pStyle w:val="FootnoteText"/>
        <w:rPr>
          <w:rFonts w:cs="Times New Roman"/>
        </w:rPr>
      </w:pPr>
      <w:r>
        <w:rPr>
          <w:rStyle w:val="FootnoteReference"/>
          <w:rFonts w:cs="Times New Roman"/>
        </w:rPr>
        <w:footnoteRef/>
      </w:r>
      <w:r>
        <w:t xml:space="preserve"> </w:t>
      </w:r>
      <w:r>
        <w:tab/>
        <w:t xml:space="preserve">Reportrar utan gränser – Cypern. </w:t>
      </w:r>
    </w:p>
  </w:footnote>
  <w:footnote w:id="91">
    <w:p>
      <w:pPr>
        <w:pStyle w:val="FootnoteText"/>
        <w:rPr>
          <w:rFonts w:cs="Times New Roman"/>
        </w:rPr>
      </w:pPr>
      <w:r>
        <w:rPr>
          <w:rStyle w:val="FootnoteReference"/>
          <w:rFonts w:cs="Times New Roman"/>
        </w:rPr>
        <w:footnoteRef/>
      </w:r>
      <w:r>
        <w:t xml:space="preserve"> </w:t>
      </w:r>
      <w:r>
        <w:tab/>
        <w:t>Inrättandet av en författningsdomstol som ska ta över bedömningen av lagars författningsenlighet från högsta domstolen planeras (se avsnitt I). Underlag från Cypern till 2021 års rapport om rättsstatsprincipen.</w:t>
      </w:r>
    </w:p>
  </w:footnote>
  <w:footnote w:id="92">
    <w:p>
      <w:pPr>
        <w:pStyle w:val="FootnoteText"/>
        <w:rPr>
          <w:rFonts w:cs="Times New Roman"/>
        </w:rPr>
      </w:pPr>
      <w:r>
        <w:rPr>
          <w:rStyle w:val="FootnoteReference"/>
          <w:rFonts w:cs="Times New Roman"/>
        </w:rPr>
        <w:footnoteRef/>
      </w:r>
      <w:r>
        <w:t xml:space="preserve"> </w:t>
      </w:r>
      <w:r>
        <w:tab/>
        <w:t>Bidrag från byrån för grundläggande rättigheter till 2021 års rapport om rättsstatsprincipen i Cypern, s. 5.</w:t>
      </w:r>
    </w:p>
  </w:footnote>
  <w:footnote w:id="93">
    <w:p>
      <w:pPr>
        <w:pStyle w:val="FootnoteText"/>
        <w:rPr>
          <w:rFonts w:cs="Times New Roman"/>
        </w:rPr>
      </w:pPr>
      <w:r>
        <w:rPr>
          <w:rStyle w:val="FootnoteReference"/>
          <w:rFonts w:cs="Times New Roman"/>
        </w:rPr>
        <w:footnoteRef/>
      </w:r>
      <w:r>
        <w:t xml:space="preserve"> </w:t>
      </w:r>
      <w:r>
        <w:tab/>
        <w:t xml:space="preserve">2020 års rapport om rättsstatsprincipen, landskapitel om situationen för rättsstatsprincipen i Cypern, s. 10; OECD (2019), </w:t>
      </w:r>
      <w:r>
        <w:rPr>
          <w:i/>
        </w:rPr>
        <w:t>Indikatorer för regleringspolitik och styrning – Cypern</w:t>
      </w:r>
      <w:r>
        <w:t>.</w:t>
      </w:r>
    </w:p>
  </w:footnote>
  <w:footnote w:id="94">
    <w:p>
      <w:pPr>
        <w:pStyle w:val="FootnoteText"/>
        <w:rPr>
          <w:rFonts w:cs="Times New Roman"/>
        </w:rPr>
      </w:pPr>
      <w:r>
        <w:rPr>
          <w:rStyle w:val="FootnoteReference"/>
          <w:rFonts w:cs="Times New Roman"/>
        </w:rPr>
        <w:footnoteRef/>
      </w:r>
      <w:r>
        <w:t xml:space="preserve"> </w:t>
      </w:r>
      <w:r>
        <w:tab/>
        <w:t>T.ex. advokatsamfundet, det civila samhällets organisationer. Information som mottagits i samband med landsbesöket i Cypern.</w:t>
      </w:r>
    </w:p>
  </w:footnote>
  <w:footnote w:id="95">
    <w:p>
      <w:pPr>
        <w:pStyle w:val="FootnoteText"/>
        <w:rPr>
          <w:rFonts w:cs="Times New Roman"/>
        </w:rPr>
      </w:pPr>
      <w:r>
        <w:rPr>
          <w:rStyle w:val="FootnoteReference"/>
          <w:rFonts w:cs="Times New Roman"/>
        </w:rPr>
        <w:footnoteRef/>
      </w:r>
      <w:r>
        <w:t xml:space="preserve"> </w:t>
      </w:r>
      <w:r>
        <w:tab/>
        <w:t xml:space="preserve">Information som mottagits i samband med landsbesöket i Cypern. </w:t>
      </w:r>
    </w:p>
  </w:footnote>
  <w:footnote w:id="96">
    <w:p>
      <w:pPr>
        <w:pStyle w:val="FootnoteText"/>
        <w:rPr>
          <w:rFonts w:cs="Times New Roman"/>
        </w:rPr>
      </w:pPr>
      <w:r>
        <w:rPr>
          <w:rStyle w:val="FootnoteReference"/>
          <w:rFonts w:cs="Times New Roman"/>
        </w:rPr>
        <w:footnoteRef/>
      </w:r>
      <w:r>
        <w:t xml:space="preserve"> </w:t>
      </w:r>
      <w:r>
        <w:tab/>
        <w:t>Information från statsåklagarens kontor i samband med landsbesöket i Cypern.</w:t>
      </w:r>
    </w:p>
  </w:footnote>
  <w:footnote w:id="97">
    <w:p>
      <w:pPr>
        <w:pStyle w:val="FootnoteText"/>
        <w:rPr>
          <w:rFonts w:cs="Times New Roman"/>
        </w:rPr>
      </w:pPr>
      <w:r>
        <w:rPr>
          <w:rStyle w:val="FootnoteReference"/>
          <w:rFonts w:cs="Times New Roman"/>
        </w:rPr>
        <w:footnoteRef/>
      </w:r>
      <w:r>
        <w:t xml:space="preserve"> </w:t>
      </w:r>
      <w:r>
        <w:tab/>
        <w:t>Befogenheten delegerades till hälsoministern.</w:t>
      </w:r>
    </w:p>
  </w:footnote>
  <w:footnote w:id="98">
    <w:p>
      <w:pPr>
        <w:pStyle w:val="FootnoteText"/>
        <w:rPr>
          <w:rFonts w:cs="Times New Roman"/>
        </w:rPr>
      </w:pPr>
      <w:r>
        <w:rPr>
          <w:rStyle w:val="FootnoteReference"/>
          <w:rFonts w:cs="Times New Roman"/>
        </w:rPr>
        <w:footnoteRef/>
      </w:r>
      <w:r>
        <w:t xml:space="preserve"> </w:t>
      </w:r>
      <w:r>
        <w:tab/>
        <w:t xml:space="preserve">Lagstiftningen om covid-19-relaterade brott och straff debatterades och beslutades i Cyperns parlament 2020. Information som mottagits i samband med landsbesöket i Cypern. </w:t>
      </w:r>
    </w:p>
  </w:footnote>
  <w:footnote w:id="99">
    <w:p>
      <w:pPr>
        <w:pStyle w:val="FootnoteText"/>
        <w:rPr>
          <w:rFonts w:cs="Times New Roman"/>
        </w:rPr>
      </w:pPr>
      <w:r>
        <w:rPr>
          <w:rStyle w:val="FootnoteReference"/>
          <w:rFonts w:cs="Times New Roman"/>
        </w:rPr>
        <w:footnoteRef/>
      </w:r>
      <w:r>
        <w:t xml:space="preserve"> </w:t>
      </w:r>
      <w:r>
        <w:tab/>
        <w:t>Information från justitieministern i samband med landsbesöket i Cypern.</w:t>
      </w:r>
    </w:p>
  </w:footnote>
  <w:footnote w:id="100">
    <w:p>
      <w:pPr>
        <w:pStyle w:val="FootnoteText"/>
        <w:rPr>
          <w:rFonts w:cs="Times New Roman"/>
        </w:rPr>
      </w:pPr>
      <w:r>
        <w:rPr>
          <w:rStyle w:val="FootnoteReference"/>
          <w:rFonts w:cs="Times New Roman"/>
        </w:rPr>
        <w:footnoteRef/>
      </w:r>
      <w:r>
        <w:t xml:space="preserve"> </w:t>
      </w:r>
      <w:r>
        <w:tab/>
        <w:t>Underlag från Cypern till 2021 års rapport om rättsstatsprincipen, s. 22-24.</w:t>
      </w:r>
    </w:p>
  </w:footnote>
  <w:footnote w:id="101">
    <w:p>
      <w:pPr>
        <w:pStyle w:val="FootnoteText"/>
        <w:rPr>
          <w:rFonts w:cs="Times New Roman"/>
        </w:rPr>
      </w:pPr>
      <w:r>
        <w:rPr>
          <w:rStyle w:val="FootnoteReference"/>
          <w:rFonts w:cs="Times New Roman"/>
        </w:rPr>
        <w:footnoteRef/>
      </w:r>
      <w:r>
        <w:t xml:space="preserve"> </w:t>
      </w:r>
      <w:r>
        <w:tab/>
        <w:t>Bidrag från det europeiska nätverket för nationella institutioner för mänskliga rättigheter (ENNHRI) till 2021 års rapport om rättsstatsprincipen.</w:t>
      </w:r>
    </w:p>
  </w:footnote>
  <w:footnote w:id="102">
    <w:p>
      <w:pPr>
        <w:pStyle w:val="FootnoteText"/>
        <w:rPr>
          <w:rFonts w:cs="Times New Roman"/>
        </w:rPr>
      </w:pPr>
      <w:r>
        <w:rPr>
          <w:rStyle w:val="FootnoteReference"/>
          <w:rFonts w:cs="Times New Roman"/>
        </w:rPr>
        <w:footnoteRef/>
      </w:r>
      <w:r>
        <w:t xml:space="preserve"> </w:t>
      </w:r>
      <w:r>
        <w:tab/>
        <w:t>2020 års rapport om rättsstatsprincipen, landskapitel om rättssituationen i Cypern, s. 11.</w:t>
      </w:r>
    </w:p>
  </w:footnote>
  <w:footnote w:id="103">
    <w:p>
      <w:pPr>
        <w:pStyle w:val="FootnoteText"/>
        <w:rPr>
          <w:rFonts w:cs="Times New Roman"/>
        </w:rPr>
      </w:pPr>
      <w:r>
        <w:rPr>
          <w:rStyle w:val="FootnoteReference"/>
          <w:rFonts w:cs="Times New Roman"/>
        </w:rPr>
        <w:footnoteRef/>
      </w:r>
      <w:r>
        <w:t xml:space="preserve"> </w:t>
      </w:r>
      <w:r>
        <w:tab/>
        <w:t>Förenta nationernas allmänna återkommande utvärdering (2019) – Cypern godtog sju mottagna rekommendationer för att säkerställa att deras nationella institution för mänskliga rättigheter är förenlig med Parisprinciperna.</w:t>
      </w:r>
    </w:p>
  </w:footnote>
  <w:footnote w:id="104">
    <w:p>
      <w:pPr>
        <w:pStyle w:val="FootnoteText"/>
        <w:rPr>
          <w:rFonts w:cs="Times New Roman"/>
        </w:rPr>
      </w:pPr>
      <w:r>
        <w:rPr>
          <w:rStyle w:val="FootnoteReference"/>
          <w:rFonts w:cs="Times New Roman"/>
        </w:rPr>
        <w:footnoteRef/>
      </w:r>
      <w:r>
        <w:t xml:space="preserve"> </w:t>
      </w:r>
      <w:r>
        <w:tab/>
        <w:t>2020 års rapport om rättsstatsprincipen, landskapitel om situationen i fråga om rättsstatsprincipen i Cypern, s. 12.</w:t>
      </w:r>
    </w:p>
  </w:footnote>
  <w:footnote w:id="105">
    <w:p>
      <w:pPr>
        <w:pStyle w:val="FootnoteText"/>
        <w:rPr>
          <w:rFonts w:cs="Times New Roman"/>
        </w:rPr>
      </w:pPr>
      <w:r>
        <w:rPr>
          <w:rStyle w:val="FootnoteReference"/>
          <w:rFonts w:cs="Times New Roman"/>
        </w:rPr>
        <w:footnoteRef/>
      </w:r>
      <w:r>
        <w:tab/>
        <w:t>Brev från Dunja Mijatović, kommissionär för mänskliga rättigheter till Nicos Nouris, Cyperns inrikesminister, 18 mars 2021.</w:t>
      </w:r>
    </w:p>
  </w:footnote>
  <w:footnote w:id="106">
    <w:p>
      <w:pPr>
        <w:pStyle w:val="FootnoteText"/>
        <w:rPr>
          <w:rFonts w:cs="Times New Roman"/>
        </w:rPr>
      </w:pPr>
      <w:r>
        <w:rPr>
          <w:rStyle w:val="FootnoteReference"/>
          <w:rFonts w:cs="Times New Roman"/>
        </w:rPr>
        <w:footnoteRef/>
      </w:r>
      <w:r>
        <w:tab/>
        <w:t>Svar från Nicos Nouris, Cyperns inrikesminister, till Dunja Mijatović, kommissionär för mänskliga rättigheter (2021).</w:t>
      </w:r>
    </w:p>
  </w:footnote>
  <w:footnote w:id="107">
    <w:p>
      <w:pPr>
        <w:pStyle w:val="FootnoteText"/>
        <w:rPr>
          <w:rFonts w:cs="Times New Roman"/>
        </w:rPr>
      </w:pPr>
      <w:r>
        <w:rPr>
          <w:rStyle w:val="FootnoteReference"/>
          <w:rFonts w:cs="Times New Roman"/>
        </w:rPr>
        <w:footnoteRef/>
      </w:r>
      <w:r>
        <w:t xml:space="preserve"> </w:t>
      </w:r>
      <w:r>
        <w:tab/>
        <w:t>Lagen om föreningar och stiftelser och övriga tillhörande frågor. Underlag från Cypern till 2020 års rapport om rättsstatsprincipen, s. 47.</w:t>
      </w:r>
    </w:p>
  </w:footnote>
  <w:footnote w:id="108">
    <w:p>
      <w:pPr>
        <w:pStyle w:val="FootnoteText"/>
        <w:rPr>
          <w:rFonts w:cs="Times New Roman"/>
        </w:rPr>
      </w:pPr>
      <w:r>
        <w:rPr>
          <w:rStyle w:val="FootnoteReference"/>
          <w:rFonts w:cs="Times New Roman"/>
        </w:rPr>
        <w:footnoteRef/>
      </w:r>
      <w:r>
        <w:t xml:space="preserve"> </w:t>
      </w:r>
      <w:r>
        <w:tab/>
        <w:t>Arbetsgruppen för finansiella åtgärder (2015),</w:t>
      </w:r>
      <w:r>
        <w:rPr>
          <w:i/>
        </w:rPr>
        <w:t xml:space="preserve"> Combating the abuse of non-profit organisations (recommendation 8)</w:t>
      </w:r>
      <w:r>
        <w:t>, s. 22–23.</w:t>
      </w:r>
    </w:p>
  </w:footnote>
  <w:footnote w:id="109">
    <w:p>
      <w:pPr>
        <w:pStyle w:val="FootnoteText"/>
        <w:rPr>
          <w:rFonts w:cs="Times New Roman"/>
        </w:rPr>
      </w:pPr>
      <w:r>
        <w:rPr>
          <w:rStyle w:val="FootnoteReference"/>
          <w:rFonts w:cs="Times New Roman"/>
        </w:rPr>
        <w:footnoteRef/>
      </w:r>
      <w:r>
        <w:t xml:space="preserve"> Dessutom förklarade regeringen att alla befintliga icke-statliga organisationer skulle ändra sin status och vidta andra åtgärder, såsom att utarbeta räkenskaper och informera justitiesekreteraren om medlemmarna i styrelsen senast den 31 december 2019. Av ca 6 500 icke-statliga organisationer uppfyllde 3 500 kraven inom den angivna tidsfristen. De som inte hade uppfyllt kraven i slutet av 2019 fick en ny möjlighet att uppfylla dem fram till oktober 2020. Den stora majoriteten av de berörda icke-statliga organisationerna tog inga initiativ för att efterleva den nya tidsfristen. Av de 2020 fall där icke-statliga organisationer vägrades registrering inlämnades 60 överklaganden för administrativ granskning, och av dessa ogiltigförklarade granskningsmyndigheten (generaladvokaten) justitiesekreterarens beslut att inte inkludera dem i 23 fall. Endast en icke-statlig organisation överklagade det administrativa beslutet att inte registreras i högsta domstolen i slutet av 2020, och fallet är ännu inte avgjort.</w:t>
      </w:r>
    </w:p>
  </w:footnote>
  <w:footnote w:id="110">
    <w:p>
      <w:pPr>
        <w:pStyle w:val="FootnoteText"/>
        <w:rPr>
          <w:rFonts w:cs="Times New Roman"/>
          <w:i/>
        </w:rPr>
      </w:pPr>
      <w:r>
        <w:rPr>
          <w:rStyle w:val="FootnoteReference"/>
          <w:rFonts w:cs="Times New Roman"/>
        </w:rPr>
        <w:footnoteRef/>
      </w:r>
      <w:r>
        <w:t xml:space="preserve"> </w:t>
      </w:r>
      <w:r>
        <w:tab/>
        <w:t>Bidrag från byrån för grundläggande rättigheter till 2021 års rapport om rättsstatsprincipen, artikel 44(I) i lag 104(I)2017 om ändring av lag 118(I</w:t>
      </w:r>
      <w:r>
        <w:rPr>
          <w:shd w:val="clear" w:color="auto" w:fill="FAFAFA"/>
        </w:rPr>
        <w:t>)/2020</w:t>
      </w:r>
      <w:r>
        <w:t>: ”Fem (5) eller flera föreningar, stiftelser, ideella organisationer eller andra liknande icke-vinstdrivande juridiska personer, oavsett om de är utländska eller inhemska, som delar ett gemensamt syfte, med förbehåll för bestämmelserna i den lag som reglerar dem, kan inrätta förbund och/eller föreningar och vara registrerade som sådan i ett register som förs av justitiesekreteraren, under förutsättning att det i deras stadgar anges att den lag som gäller för deras verksamhet ska vara tillämplig lag i republiken.</w:t>
      </w:r>
    </w:p>
    <w:p>
      <w:pPr>
        <w:pStyle w:val="FootnoteText"/>
        <w:ind w:firstLine="0"/>
        <w:rPr>
          <w:rFonts w:cs="Times New Roman"/>
        </w:rPr>
      </w:pPr>
      <w:r>
        <w:t>Det är underförstått att, med förbehåll för bestämmelserna i den europeiska konventionen om erkännande av rättspersonal i internationella icke-statliga organisationer (ratificering), 2003 års lag, kan sådana förbund och/eller sammanslutningar också upprättas med motsvarande organisationer i utlandet, under förutsättning att det anges i deras stadgar att tillämplig lag för deras insatser i Cypern är tillämplig lag i republiken.”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5B252BA"/>
    <w:multiLevelType w:val="hybridMultilevel"/>
    <w:tmpl w:val="1B7CA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9747AE"/>
    <w:multiLevelType w:val="multilevel"/>
    <w:tmpl w:val="47BAF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5">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7460101"/>
    <w:multiLevelType w:val="hybridMultilevel"/>
    <w:tmpl w:val="5A166F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nsid w:val="5A7C089B"/>
    <w:multiLevelType w:val="hybridMultilevel"/>
    <w:tmpl w:val="65E0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6042CE"/>
    <w:multiLevelType w:val="hybridMultilevel"/>
    <w:tmpl w:val="75FCDF28"/>
    <w:lvl w:ilvl="0" w:tplc="94A0441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nsid w:val="6AC01326"/>
    <w:multiLevelType w:val="hybridMultilevel"/>
    <w:tmpl w:val="79D0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477421"/>
    <w:multiLevelType w:val="hybridMultilevel"/>
    <w:tmpl w:val="D2746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7"/>
  </w:num>
  <w:num w:numId="5">
    <w:abstractNumId w:val="2"/>
  </w:num>
  <w:num w:numId="6">
    <w:abstractNumId w:val="11"/>
  </w:num>
  <w:num w:numId="7">
    <w:abstractNumId w:val="8"/>
  </w:num>
  <w:num w:numId="8">
    <w:abstractNumId w:val="9"/>
  </w:num>
  <w:num w:numId="9">
    <w:abstractNumId w:val="12"/>
  </w:num>
  <w:num w:numId="10">
    <w:abstractNumId w:val="6"/>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s-ES" w:vendorID="64" w:dllVersion="131078" w:nlCheck="1" w:checkStyle="0"/>
  <w:defaultTabStop w:val="720"/>
  <w:hyphenationZone w:val="425"/>
  <w:characterSpacingControl w:val="doNotCompress"/>
  <w:hdrShapeDefaults>
    <o:shapedefaults v:ext="edit" spidmax="1617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Följedokument till"/>
    <w:docVar w:name="LW_CORRIGENDUM" w:val="&lt;UNUSED&gt;"/>
    <w:docVar w:name="LW_COVERPAGE_EXISTS" w:val="True"/>
    <w:docVar w:name="LW_COVERPAGE_GUID" w:val="12A0BB7D-5888-49F9-B52B-FA7F0181A4CA"/>
    <w:docVar w:name="LW_COVERPAGE_TYPE" w:val="1"/>
    <w:docVar w:name="LW_CROSSREFERENCE" w:val="{COM(2021) 700 final} - {SWD(2021) 701 final} - {SWD(2021) 702 final} - {SWD(2021) 703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yssel den "/>
    <w:docVar w:name="LW_EMISSION_SUFFIX" w:val=" "/>
    <w:docVar w:name="LW_ID_DOCTYPE_NONLW" w:val="CP-025"/>
    <w:docVar w:name="LW_LANGUE" w:val="SV"/>
    <w:docVar w:name="LW_LEVEL_OF_SENSITIVITY" w:val="Standard treatment"/>
    <w:docVar w:name="LW_NOM.INST" w:val="EUROPEISKA KOMMISSIONEN"/>
    <w:docVar w:name="LW_NOM.INST_JOINTDOC" w:val="&lt;EMPTY&gt;"/>
    <w:docVar w:name="LW_OBJETACTEPRINCIPAL.CP" w:val="2021 års rapport om rättsstatsprincipen_x000b_Rättsstatssituationen i EU"/>
    <w:docVar w:name="LW_PART_NBR" w:val="1"/>
    <w:docVar w:name="LW_PART_NBR_TOTAL" w:val="1"/>
    <w:docVar w:name="LW_REF.INST.NEW" w:val="SWD"/>
    <w:docVar w:name="LW_REF.INST.NEW_ADOPTED" w:val="final"/>
    <w:docVar w:name="LW_REF.INST.NEW_TEXT" w:val="(2021)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1 års rapport om rättsstatsprincipen_x000b_Landskapitel om situationen i fråga om rättsstatsprincipen i Cypern"/>
    <w:docVar w:name="LW_TYPE.DOC.CP" w:val="ARBETSDOKUMENT FRÅN KOMMISSIONENS AVDELNINGAR"/>
    <w:docVar w:name="LW_TYPEACTEPRINCIPAL.CP" w:val="MEDDELANDE FRÅN KOMMISSIONEN TILL EUROPAPARLAMENTET, RÅDET, EUROPEISKA EKONOMISKA OCH SOCIALA KOMMITTÉN OCH REGIONKOMMITTÉN"/>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BVI fnr,Ref,de nota al pie,ftref, BVI fnr,Footnote Reference Superscript,Appel note de bas de page,Footnotes refss,註腳內容,de nota al pie + (Asian) MS Mincho,11 pt,Referencia nota al pie,Fago Fußnotenzeichen,Footnote Ref,16 Point,FR,Fn R"/>
    <w:basedOn w:val="DefaultParagraphFont"/>
    <w:link w:val="FootnotesymbolCarZchn"/>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sv-SE"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sv-SE"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2,Bullet St,L"/>
    <w:basedOn w:val="Normal"/>
    <w:link w:val="ListParagraphChar"/>
    <w:uiPriority w:val="34"/>
    <w:qFormat/>
    <w:pPr>
      <w:spacing w:after="160" w:line="259" w:lineRule="auto"/>
      <w:ind w:left="720"/>
      <w:contextualSpacing/>
      <w:jc w:val="left"/>
    </w:pPr>
    <w:rPr>
      <w:rFonts w:asciiTheme="minorHAnsi" w:hAnsiTheme="minorHAnsi"/>
      <w:sz w:val="22"/>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2 Char"/>
    <w:link w:val="ListParagraph"/>
    <w:uiPriority w:val="34"/>
    <w:qFormat/>
    <w:locked/>
  </w:style>
  <w:style w:type="paragraph" w:customStyle="1" w:styleId="ManualConsidrant">
    <w:name w:val="Manual Considérant"/>
    <w:basedOn w:val="Normal"/>
    <w:pPr>
      <w:spacing w:before="120" w:after="120"/>
      <w:ind w:left="709" w:hanging="709"/>
    </w:pPr>
    <w:rPr>
      <w:rFonts w:eastAsia="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spacing w:after="160" w:line="240" w:lineRule="exact"/>
    </w:pPr>
    <w:rPr>
      <w:rFonts w:asciiTheme="minorHAnsi" w:hAnsiTheme="minorHAnsi"/>
      <w:sz w:val="22"/>
      <w:vertAlign w:val="superscript"/>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IE"/>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ention">
    <w:name w:val="Mention"/>
    <w:basedOn w:val="DefaultParagraphFont"/>
    <w:uiPriority w:val="99"/>
    <w:unhideWhenUsed/>
    <w:rPr>
      <w:color w:val="2B579A"/>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BVI fnr,Ref,de nota al pie,ftref, BVI fnr,Footnote Reference Superscript,Appel note de bas de page,Footnotes refss,註腳內容,de nota al pie + (Asian) MS Mincho,11 pt,Referencia nota al pie,Fago Fußnotenzeichen,Footnote Ref,16 Point,FR,Fn R"/>
    <w:basedOn w:val="DefaultParagraphFont"/>
    <w:link w:val="FootnotesymbolCarZchn"/>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sv-SE"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sv-SE"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2,Bullet St,L"/>
    <w:basedOn w:val="Normal"/>
    <w:link w:val="ListParagraphChar"/>
    <w:uiPriority w:val="34"/>
    <w:qFormat/>
    <w:pPr>
      <w:spacing w:after="160" w:line="259" w:lineRule="auto"/>
      <w:ind w:left="720"/>
      <w:contextualSpacing/>
      <w:jc w:val="left"/>
    </w:pPr>
    <w:rPr>
      <w:rFonts w:asciiTheme="minorHAnsi" w:hAnsiTheme="minorHAnsi"/>
      <w:sz w:val="22"/>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2 Char"/>
    <w:link w:val="ListParagraph"/>
    <w:uiPriority w:val="34"/>
    <w:qFormat/>
    <w:locked/>
  </w:style>
  <w:style w:type="paragraph" w:customStyle="1" w:styleId="ManualConsidrant">
    <w:name w:val="Manual Considérant"/>
    <w:basedOn w:val="Normal"/>
    <w:pPr>
      <w:spacing w:before="120" w:after="120"/>
      <w:ind w:left="709" w:hanging="709"/>
    </w:pPr>
    <w:rPr>
      <w:rFonts w:eastAsia="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spacing w:after="160" w:line="240" w:lineRule="exact"/>
    </w:pPr>
    <w:rPr>
      <w:rFonts w:asciiTheme="minorHAnsi" w:hAnsiTheme="minorHAnsi"/>
      <w:sz w:val="22"/>
      <w:vertAlign w:val="superscript"/>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IE"/>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ention">
    <w:name w:val="Mention"/>
    <w:basedOn w:val="DefaultParagraphFont"/>
    <w:uiPriority w:val="99"/>
    <w:unhideWhenUsed/>
    <w:rPr>
      <w:color w:val="2B579A"/>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82973">
      <w:bodyDiv w:val="1"/>
      <w:marLeft w:val="0"/>
      <w:marRight w:val="0"/>
      <w:marTop w:val="0"/>
      <w:marBottom w:val="0"/>
      <w:divBdr>
        <w:top w:val="none" w:sz="0" w:space="0" w:color="auto"/>
        <w:left w:val="none" w:sz="0" w:space="0" w:color="auto"/>
        <w:bottom w:val="none" w:sz="0" w:space="0" w:color="auto"/>
        <w:right w:val="none" w:sz="0" w:space="0" w:color="auto"/>
      </w:divBdr>
    </w:div>
    <w:div w:id="265429198">
      <w:bodyDiv w:val="1"/>
      <w:marLeft w:val="0"/>
      <w:marRight w:val="0"/>
      <w:marTop w:val="0"/>
      <w:marBottom w:val="0"/>
      <w:divBdr>
        <w:top w:val="none" w:sz="0" w:space="0" w:color="auto"/>
        <w:left w:val="none" w:sz="0" w:space="0" w:color="auto"/>
        <w:bottom w:val="none" w:sz="0" w:space="0" w:color="auto"/>
        <w:right w:val="none" w:sz="0" w:space="0" w:color="auto"/>
      </w:divBdr>
    </w:div>
    <w:div w:id="432287455">
      <w:bodyDiv w:val="1"/>
      <w:marLeft w:val="0"/>
      <w:marRight w:val="0"/>
      <w:marTop w:val="0"/>
      <w:marBottom w:val="0"/>
      <w:divBdr>
        <w:top w:val="none" w:sz="0" w:space="0" w:color="auto"/>
        <w:left w:val="none" w:sz="0" w:space="0" w:color="auto"/>
        <w:bottom w:val="none" w:sz="0" w:space="0" w:color="auto"/>
        <w:right w:val="none" w:sz="0" w:space="0" w:color="auto"/>
      </w:divBdr>
    </w:div>
    <w:div w:id="763839180">
      <w:bodyDiv w:val="1"/>
      <w:marLeft w:val="0"/>
      <w:marRight w:val="0"/>
      <w:marTop w:val="0"/>
      <w:marBottom w:val="0"/>
      <w:divBdr>
        <w:top w:val="none" w:sz="0" w:space="0" w:color="auto"/>
        <w:left w:val="none" w:sz="0" w:space="0" w:color="auto"/>
        <w:bottom w:val="none" w:sz="0" w:space="0" w:color="auto"/>
        <w:right w:val="none" w:sz="0" w:space="0" w:color="auto"/>
      </w:divBdr>
    </w:div>
    <w:div w:id="823592761">
      <w:bodyDiv w:val="1"/>
      <w:marLeft w:val="0"/>
      <w:marRight w:val="0"/>
      <w:marTop w:val="0"/>
      <w:marBottom w:val="0"/>
      <w:divBdr>
        <w:top w:val="none" w:sz="0" w:space="0" w:color="auto"/>
        <w:left w:val="none" w:sz="0" w:space="0" w:color="auto"/>
        <w:bottom w:val="none" w:sz="0" w:space="0" w:color="auto"/>
        <w:right w:val="none" w:sz="0" w:space="0" w:color="auto"/>
      </w:divBdr>
    </w:div>
    <w:div w:id="914582998">
      <w:bodyDiv w:val="1"/>
      <w:marLeft w:val="0"/>
      <w:marRight w:val="0"/>
      <w:marTop w:val="0"/>
      <w:marBottom w:val="0"/>
      <w:divBdr>
        <w:top w:val="none" w:sz="0" w:space="0" w:color="auto"/>
        <w:left w:val="none" w:sz="0" w:space="0" w:color="auto"/>
        <w:bottom w:val="none" w:sz="0" w:space="0" w:color="auto"/>
        <w:right w:val="none" w:sz="0" w:space="0" w:color="auto"/>
      </w:divBdr>
    </w:div>
    <w:div w:id="992683935">
      <w:bodyDiv w:val="1"/>
      <w:marLeft w:val="0"/>
      <w:marRight w:val="0"/>
      <w:marTop w:val="0"/>
      <w:marBottom w:val="0"/>
      <w:divBdr>
        <w:top w:val="none" w:sz="0" w:space="0" w:color="auto"/>
        <w:left w:val="none" w:sz="0" w:space="0" w:color="auto"/>
        <w:bottom w:val="none" w:sz="0" w:space="0" w:color="auto"/>
        <w:right w:val="none" w:sz="0" w:space="0" w:color="auto"/>
      </w:divBdr>
    </w:div>
    <w:div w:id="1057359516">
      <w:bodyDiv w:val="1"/>
      <w:marLeft w:val="0"/>
      <w:marRight w:val="0"/>
      <w:marTop w:val="0"/>
      <w:marBottom w:val="0"/>
      <w:divBdr>
        <w:top w:val="none" w:sz="0" w:space="0" w:color="auto"/>
        <w:left w:val="none" w:sz="0" w:space="0" w:color="auto"/>
        <w:bottom w:val="none" w:sz="0" w:space="0" w:color="auto"/>
        <w:right w:val="none" w:sz="0" w:space="0" w:color="auto"/>
      </w:divBdr>
    </w:div>
    <w:div w:id="1293252106">
      <w:bodyDiv w:val="1"/>
      <w:marLeft w:val="0"/>
      <w:marRight w:val="0"/>
      <w:marTop w:val="0"/>
      <w:marBottom w:val="0"/>
      <w:divBdr>
        <w:top w:val="none" w:sz="0" w:space="0" w:color="auto"/>
        <w:left w:val="none" w:sz="0" w:space="0" w:color="auto"/>
        <w:bottom w:val="none" w:sz="0" w:space="0" w:color="auto"/>
        <w:right w:val="none" w:sz="0" w:space="0" w:color="auto"/>
      </w:divBdr>
    </w:div>
    <w:div w:id="1351101209">
      <w:bodyDiv w:val="1"/>
      <w:marLeft w:val="0"/>
      <w:marRight w:val="0"/>
      <w:marTop w:val="0"/>
      <w:marBottom w:val="0"/>
      <w:divBdr>
        <w:top w:val="none" w:sz="0" w:space="0" w:color="auto"/>
        <w:left w:val="none" w:sz="0" w:space="0" w:color="auto"/>
        <w:bottom w:val="none" w:sz="0" w:space="0" w:color="auto"/>
        <w:right w:val="none" w:sz="0" w:space="0" w:color="auto"/>
      </w:divBdr>
    </w:div>
    <w:div w:id="1505166267">
      <w:bodyDiv w:val="1"/>
      <w:marLeft w:val="0"/>
      <w:marRight w:val="0"/>
      <w:marTop w:val="0"/>
      <w:marBottom w:val="0"/>
      <w:divBdr>
        <w:top w:val="none" w:sz="0" w:space="0" w:color="auto"/>
        <w:left w:val="none" w:sz="0" w:space="0" w:color="auto"/>
        <w:bottom w:val="none" w:sz="0" w:space="0" w:color="auto"/>
        <w:right w:val="none" w:sz="0" w:space="0" w:color="auto"/>
      </w:divBdr>
    </w:div>
    <w:div w:id="1699895586">
      <w:bodyDiv w:val="1"/>
      <w:marLeft w:val="0"/>
      <w:marRight w:val="0"/>
      <w:marTop w:val="0"/>
      <w:marBottom w:val="0"/>
      <w:divBdr>
        <w:top w:val="none" w:sz="0" w:space="0" w:color="auto"/>
        <w:left w:val="none" w:sz="0" w:space="0" w:color="auto"/>
        <w:bottom w:val="none" w:sz="0" w:space="0" w:color="auto"/>
        <w:right w:val="none" w:sz="0" w:space="0" w:color="auto"/>
      </w:divBdr>
    </w:div>
    <w:div w:id="1766345313">
      <w:bodyDiv w:val="1"/>
      <w:marLeft w:val="0"/>
      <w:marRight w:val="0"/>
      <w:marTop w:val="0"/>
      <w:marBottom w:val="0"/>
      <w:divBdr>
        <w:top w:val="none" w:sz="0" w:space="0" w:color="auto"/>
        <w:left w:val="none" w:sz="0" w:space="0" w:color="auto"/>
        <w:bottom w:val="none" w:sz="0" w:space="0" w:color="auto"/>
        <w:right w:val="none" w:sz="0" w:space="0" w:color="auto"/>
      </w:divBdr>
    </w:div>
    <w:div w:id="1848444504">
      <w:bodyDiv w:val="1"/>
      <w:marLeft w:val="0"/>
      <w:marRight w:val="0"/>
      <w:marTop w:val="0"/>
      <w:marBottom w:val="0"/>
      <w:divBdr>
        <w:top w:val="none" w:sz="0" w:space="0" w:color="auto"/>
        <w:left w:val="none" w:sz="0" w:space="0" w:color="auto"/>
        <w:bottom w:val="none" w:sz="0" w:space="0" w:color="auto"/>
        <w:right w:val="none" w:sz="0" w:space="0" w:color="auto"/>
      </w:divBdr>
    </w:div>
    <w:div w:id="1905799649">
      <w:bodyDiv w:val="1"/>
      <w:marLeft w:val="0"/>
      <w:marRight w:val="0"/>
      <w:marTop w:val="0"/>
      <w:marBottom w:val="0"/>
      <w:divBdr>
        <w:top w:val="none" w:sz="0" w:space="0" w:color="auto"/>
        <w:left w:val="none" w:sz="0" w:space="0" w:color="auto"/>
        <w:bottom w:val="none" w:sz="0" w:space="0" w:color="auto"/>
        <w:right w:val="none" w:sz="0" w:space="0" w:color="auto"/>
      </w:divBdr>
    </w:div>
    <w:div w:id="1958831906">
      <w:bodyDiv w:val="1"/>
      <w:marLeft w:val="0"/>
      <w:marRight w:val="0"/>
      <w:marTop w:val="0"/>
      <w:marBottom w:val="0"/>
      <w:divBdr>
        <w:top w:val="none" w:sz="0" w:space="0" w:color="auto"/>
        <w:left w:val="none" w:sz="0" w:space="0" w:color="auto"/>
        <w:bottom w:val="none" w:sz="0" w:space="0" w:color="auto"/>
        <w:right w:val="none" w:sz="0" w:space="0" w:color="auto"/>
      </w:divBdr>
    </w:div>
    <w:div w:id="21359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rm.coe.int/letter-to-mr-nicos-nouris-minister-of-interior-of-cyprus-by-ms-dunja-m/1680a1c09b" TargetMode="External"/><Relationship Id="rId26" Type="http://schemas.openxmlformats.org/officeDocument/2006/relationships/hyperlink" Target="https://exandas.presidency.gov.cy/" TargetMode="External"/><Relationship Id="rId3" Type="http://schemas.openxmlformats.org/officeDocument/2006/relationships/styles" Target="styles.xml"/><Relationship Id="rId21" Type="http://schemas.openxmlformats.org/officeDocument/2006/relationships/hyperlink" Target="https://ec.europa.eu/commission/presscorner/detail/sv/inf_21_2743" TargetMode="Externa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atf-gafi.org/media/fatf/documents/reports/BPP-combating-abuse-non-profit-organisations.pdf" TargetMode="External"/><Relationship Id="rId25" Type="http://schemas.openxmlformats.org/officeDocument/2006/relationships/hyperlink" Target="https://rsf.org/en/cyprus"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ec.europa.eu/commission/presscorner/detail/en/ip_20_1925"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occrp.org/en/daily/12631-cypriot-journalist-says-he-is-being-spied-on-and-fears-for-his-life"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knews.kathimerini.com.cy/en/news/interim-report-on-golden-passports-delivered" TargetMode="External"/><Relationship Id="rId28" Type="http://schemas.openxmlformats.org/officeDocument/2006/relationships/hyperlink" Target="https://rm.coe.int/reply-of-mr-nicos-nouris-minister-of-the-interiorof-cyprus-to-the-lett/1680a1cb15" TargetMode="External"/><Relationship Id="rId36" Type="http://schemas.openxmlformats.org/officeDocument/2006/relationships/theme" Target="theme/theme1.xml"/><Relationship Id="Rf9fc4da9052744be"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hyperlink" Target="https://www.pio.gov.cy/assets/pdf/newsroom/2021/04/Interim%20Report%2027%2004%202021(pdf).pdf"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rm.coe.int/fourth-evaluation-round-corruption-prevention-in-respect-of-members-of/1680a06389" TargetMode="External"/><Relationship Id="rId27" Type="http://schemas.openxmlformats.org/officeDocument/2006/relationships/hyperlink" Target="https://www.sigmalive.com/news/politics/795517/ekthesi-politografiseonto-53-ektos-nomikou-plaisioupeitharxikes-efthynes" TargetMode="External"/><Relationship Id="rId30" Type="http://schemas.openxmlformats.org/officeDocument/2006/relationships/header" Target="header5.xml"/><Relationship Id="rId35" Type="http://schemas.openxmlformats.org/officeDocument/2006/relationships/fontTable" Target="fontTable.xml"/><Relationship Id="R3d73e612b8cf4a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C2A2B-0124-4C2B-8A0C-6D1083C1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4826</Words>
  <Characters>33065</Characters>
  <Application>Microsoft Office Word</Application>
  <DocSecurity>0</DocSecurity>
  <Lines>508</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2021-07-19T11:30:00Z</dcterms:created>
  <dcterms:modified xsi:type="dcterms:W3CDTF">2021-09-13T17:43:00Z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