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Ce tableau contient le logo de la Commission européenne dans la colonne de gauche et des informations sur l’entité organisationnelle du signataire ou du rédacteur dans la colonne de droite."/>
      </w:tblPr>
      <w:tblGrid>
        <w:gridCol w:w="2400"/>
        <w:gridCol w:w="7080"/>
      </w:tblGrid>
      <w:sdt>
        <w:sdtPr>
          <w:rPr>
            <w:sz w:val="16"/>
          </w:rPr>
          <w:alias w:val="EC Header - Standard"/>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noProof/>
                    <w:color w:val="2B579A"/>
                    <w:shd w:val="clear" w:color="auto" w:fill="E6E6E6"/>
                  </w:rPr>
                  <w:drawing>
                    <wp:inline distT="0" distB="0" distL="0" distR="0" wp14:anchorId="528B0FAA" wp14:editId="3BE4CA6B">
                      <wp:extent cx="1371600" cy="676800"/>
                      <wp:effectExtent l="0" t="0" r="0" b="0"/>
                      <wp:docPr id="1" name="Picture 1" descr="Logo de la Commission européenne, 12 étoiles jaunes sur fond bleu formant un cercle bordé de deux éléments graphiques gris clair représentant le Berlaymont, siège de la Commission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794188">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rsidR="00954723">
                      <w:t>COMMISSION EUROPÉENNE</w:t>
                    </w:r>
                  </w:sdtContent>
                </w:sdt>
              </w:p>
              <w:p w14:paraId="2074A464" w14:textId="39B41681" w:rsidR="00FE373C" w:rsidRPr="007F14FC" w:rsidRDefault="00794188">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sidR="00954723">
                      <w:rPr>
                        <w:caps/>
                      </w:rPr>
                      <w:t>DIRECTION GÉNÉRALE de l’emploi, des affaires sociales et de l’inclusion</w:t>
                    </w:r>
                  </w:sdtContent>
                </w:sdt>
              </w:p>
              <w:p w14:paraId="35D34AB3" w14:textId="77777777" w:rsidR="00FE373C" w:rsidRPr="007F14FC" w:rsidRDefault="00FE373C">
                <w:pPr>
                  <w:pStyle w:val="ZDGName"/>
                </w:pPr>
              </w:p>
              <w:p w14:paraId="05E57B9D" w14:textId="4CD0133A" w:rsidR="00FE373C" w:rsidRPr="007F14FC" w:rsidRDefault="00794188">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rsidR="00954723">
                      <w:t>Direction E – Mobilité des travailleurs et affaires internationales</w:t>
                    </w:r>
                  </w:sdtContent>
                </w:sdt>
              </w:p>
              <w:p w14:paraId="4FC3ED8E" w14:textId="657E7308" w:rsidR="00FE373C" w:rsidRPr="007F14FC" w:rsidRDefault="00794188"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sidR="00954723">
                      <w:rPr>
                        <w:b/>
                      </w:rPr>
                      <w:t>Unité E.1 – Mobilité des travailleurs, services publics de l’emploi et AET</w:t>
                    </w:r>
                  </w:sdtContent>
                </w:sdt>
              </w:p>
            </w:tc>
          </w:tr>
        </w:sdtContent>
      </w:sdt>
    </w:tbl>
    <w:p w14:paraId="40810E1C" w14:textId="615BFA28" w:rsidR="007F14FC" w:rsidRPr="00B95F32" w:rsidRDefault="007F14FC" w:rsidP="001F4C2B">
      <w:pPr>
        <w:pStyle w:val="Heading2"/>
      </w:pPr>
      <w:r>
        <w:t>Déclaration relative à l’accessibilité d’Europass</w:t>
      </w:r>
    </w:p>
    <w:p w14:paraId="4078DA32" w14:textId="740123A6" w:rsidR="007F14FC" w:rsidRPr="007F14FC" w:rsidRDefault="35E89FFF" w:rsidP="007F14FC">
      <w:pPr>
        <w:pStyle w:val="Text1"/>
        <w:ind w:left="0"/>
      </w:pPr>
      <w:r>
        <w:t xml:space="preserve">Cette déclaration s’applique aux contenus publiés dans le domaine </w:t>
      </w:r>
      <w:proofErr w:type="gramStart"/>
      <w:r>
        <w:t>suivant:</w:t>
      </w:r>
      <w:proofErr w:type="gramEnd"/>
      <w:r>
        <w:t xml:space="preserve"> </w:t>
      </w:r>
      <w:hyperlink r:id="rId12">
        <w:r>
          <w:rPr>
            <w:rStyle w:val="Hyperlink"/>
          </w:rPr>
          <w:t>https://europa.eu/europass</w:t>
        </w:r>
      </w:hyperlink>
      <w:r>
        <w:t xml:space="preserve">, ainsi que tous ses sous-domaines. </w:t>
      </w:r>
    </w:p>
    <w:p w14:paraId="54D3743B" w14:textId="6748B4D5" w:rsidR="007F14FC" w:rsidRPr="007F14FC" w:rsidRDefault="35E89FFF" w:rsidP="007F14FC">
      <w:pPr>
        <w:pStyle w:val="Text1"/>
        <w:ind w:left="0"/>
      </w:pPr>
      <w:r>
        <w:t>Ce site web est géré par l’unité E1 de la DG EMPL. Il est conçu pour être utilisé par le plus grand nombre possible de personnes, y compris des personnes handicapées.</w:t>
      </w:r>
    </w:p>
    <w:p w14:paraId="4F1ECE61" w14:textId="77777777" w:rsidR="00E35A7A" w:rsidRPr="007F14FC" w:rsidRDefault="00E35A7A" w:rsidP="00E35A7A">
      <w:r>
        <w:t xml:space="preserve">Vous devriez être en mesure d'effectuer les actions </w:t>
      </w:r>
      <w:proofErr w:type="gramStart"/>
      <w:r>
        <w:t>suivantes:</w:t>
      </w:r>
      <w:proofErr w:type="gramEnd"/>
    </w:p>
    <w:p w14:paraId="1F89F2F7" w14:textId="14FAC846" w:rsidR="00225512" w:rsidRPr="00AF1993" w:rsidRDefault="00AC4598" w:rsidP="009D007D">
      <w:pPr>
        <w:pStyle w:val="ListParagraph"/>
        <w:numPr>
          <w:ilvl w:val="0"/>
          <w:numId w:val="38"/>
        </w:numPr>
      </w:pPr>
      <w:proofErr w:type="gramStart"/>
      <w:r>
        <w:t>zoomer</w:t>
      </w:r>
      <w:proofErr w:type="gramEnd"/>
      <w:r>
        <w:t xml:space="preserve"> jusqu’à 200 % sans problème;</w:t>
      </w:r>
    </w:p>
    <w:p w14:paraId="0A3AB54A" w14:textId="77777777" w:rsidR="00225512" w:rsidRPr="00AF1993" w:rsidRDefault="00225512" w:rsidP="00225512">
      <w:pPr>
        <w:pStyle w:val="ListParagraph"/>
        <w:numPr>
          <w:ilvl w:val="0"/>
          <w:numId w:val="38"/>
        </w:numPr>
      </w:pPr>
      <w:proofErr w:type="gramStart"/>
      <w:r>
        <w:t>parcourir</w:t>
      </w:r>
      <w:proofErr w:type="gramEnd"/>
      <w:r>
        <w:t xml:space="preserve"> la plus grande partie du site web uniquement à l’aide du clavier;</w:t>
      </w:r>
    </w:p>
    <w:p w14:paraId="520AE6B3" w14:textId="105D7D13" w:rsidR="000126E5" w:rsidRPr="00AF1993" w:rsidRDefault="00225512" w:rsidP="009D007D">
      <w:pPr>
        <w:pStyle w:val="ListParagraph"/>
        <w:numPr>
          <w:ilvl w:val="0"/>
          <w:numId w:val="33"/>
        </w:numPr>
      </w:pPr>
      <w:proofErr w:type="gramStart"/>
      <w:r>
        <w:t>parcourir</w:t>
      </w:r>
      <w:proofErr w:type="gramEnd"/>
      <w:r>
        <w:t xml:space="preserve"> la plus grande partie du site à l’aide d’un lecteur d’écran moderne et d’un logiciel de reconnaissance vocale (sur votre ordinateur ou votre téléphone). </w:t>
      </w:r>
    </w:p>
    <w:p w14:paraId="1A4510C6" w14:textId="3A06EEAA" w:rsidR="00E35A7A" w:rsidRPr="007F14FC" w:rsidRDefault="00E35A7A" w:rsidP="000126E5">
      <w:r>
        <w:t xml:space="preserve">Ce site web est conçu pour être conforme à la </w:t>
      </w:r>
      <w:hyperlink r:id="rId13">
        <w:r>
          <w:rPr>
            <w:color w:val="0563C1" w:themeColor="hyperlink"/>
            <w:u w:val="single"/>
          </w:rPr>
          <w:t>norme technique EN 301 549 v.3.2.1 pour les sites web et les applications mobiles</w:t>
        </w:r>
      </w:hyperlink>
      <w:r>
        <w:t>. Il respecte scrupuleusement le niveau</w:t>
      </w:r>
      <w:proofErr w:type="gramStart"/>
      <w:r>
        <w:t xml:space="preserve"> «AA</w:t>
      </w:r>
      <w:proofErr w:type="gramEnd"/>
      <w:r>
        <w:t xml:space="preserve">» de la </w:t>
      </w:r>
      <w:hyperlink r:id="rId14">
        <w:r>
          <w:rPr>
            <w:color w:val="0563C1" w:themeColor="hyperlink"/>
            <w:u w:val="single"/>
          </w:rPr>
          <w:t>version 2.1 des lignes directrices sur l’accessibilité des contenus web (WCAG)</w:t>
        </w:r>
      </w:hyperlink>
      <w:r>
        <w:t>.</w:t>
      </w:r>
    </w:p>
    <w:p w14:paraId="66A12D4E" w14:textId="77777777" w:rsidR="00E35A7A" w:rsidRPr="00E35A7A" w:rsidRDefault="00E35A7A" w:rsidP="00E35A7A">
      <w:pPr>
        <w:keepNext/>
        <w:spacing w:after="0"/>
        <w:jc w:val="left"/>
        <w:outlineLvl w:val="1"/>
        <w:rPr>
          <w:b/>
        </w:rPr>
      </w:pPr>
      <w:r>
        <w:rPr>
          <w:b/>
        </w:rPr>
        <w:t>État de conformité</w:t>
      </w:r>
      <w:r>
        <w:rPr>
          <w:b/>
        </w:rPr>
        <w:br/>
      </w:r>
    </w:p>
    <w:p w14:paraId="66C3D011" w14:textId="6AC3AC33" w:rsidR="00225512" w:rsidRPr="00E84E56" w:rsidRDefault="0AC43EA8" w:rsidP="00225512">
      <w:r>
        <w:t xml:space="preserve">Ce site web est partiellement </w:t>
      </w:r>
      <w:r>
        <w:rPr>
          <w:b/>
        </w:rPr>
        <w:t>conforme</w:t>
      </w:r>
      <w:r>
        <w:t xml:space="preserve"> à la </w:t>
      </w:r>
      <w:hyperlink r:id="rId15">
        <w:r>
          <w:rPr>
            <w:rStyle w:val="Hyperlink"/>
          </w:rPr>
          <w:t>norme technique EN 301 549 v.3.2.1</w:t>
        </w:r>
      </w:hyperlink>
      <w:r>
        <w:t xml:space="preserve"> et au </w:t>
      </w:r>
      <w:hyperlink r:id="rId16">
        <w:r>
          <w:rPr>
            <w:rStyle w:val="Hyperlink"/>
          </w:rPr>
          <w:t>niveau AA de la version 2.1 des lignes directrices sur l’accessibilité des contenus web (WCAG)</w:t>
        </w:r>
      </w:hyperlink>
      <w:r>
        <w:t>. Voir «</w:t>
      </w:r>
      <w:hyperlink w:anchor="_Non-accessible_content">
        <w:r>
          <w:rPr>
            <w:rStyle w:val="Hyperlink"/>
          </w:rPr>
          <w:t>Contenu non accessible</w:t>
        </w:r>
      </w:hyperlink>
      <w:r>
        <w:t>» pour plus de détails.</w:t>
      </w:r>
    </w:p>
    <w:p w14:paraId="4146F897" w14:textId="0C4BE212" w:rsidR="00E35A7A" w:rsidRPr="007F14FC" w:rsidRDefault="00E35A7A" w:rsidP="00E35A7A">
      <w:r>
        <w:t>Le site web a été testé pour la dernière fois en avril 2023.</w:t>
      </w:r>
    </w:p>
    <w:p w14:paraId="5ABBA2F4" w14:textId="77777777" w:rsidR="00E35A7A" w:rsidRPr="00E35A7A" w:rsidRDefault="00E35A7A" w:rsidP="00E35A7A">
      <w:pPr>
        <w:keepNext/>
        <w:spacing w:after="0"/>
        <w:jc w:val="left"/>
        <w:outlineLvl w:val="1"/>
        <w:rPr>
          <w:b/>
        </w:rPr>
      </w:pPr>
      <w:r>
        <w:rPr>
          <w:b/>
        </w:rPr>
        <w:t>Élaboration de la déclaration</w:t>
      </w:r>
    </w:p>
    <w:p w14:paraId="6B674C45" w14:textId="4612CB79" w:rsidR="00E35A7A" w:rsidRDefault="00E35A7A" w:rsidP="00E35A7A">
      <w:r>
        <w:br/>
        <w:t>La présente déclaration a été révisée le 15.12.2023.</w:t>
      </w:r>
    </w:p>
    <w:p w14:paraId="2918FEE8" w14:textId="77777777" w:rsidR="00E35A7A" w:rsidRPr="00E35A7A" w:rsidRDefault="00E35A7A" w:rsidP="00E35A7A">
      <w:pPr>
        <w:keepNext/>
        <w:spacing w:after="0"/>
        <w:jc w:val="left"/>
        <w:outlineLvl w:val="1"/>
        <w:rPr>
          <w:b/>
        </w:rPr>
      </w:pPr>
      <w:r>
        <w:rPr>
          <w:b/>
        </w:rPr>
        <w:t>Commentaires</w:t>
      </w:r>
    </w:p>
    <w:p w14:paraId="3EF7E625" w14:textId="563019B3" w:rsidR="00E35A7A" w:rsidRPr="007F14FC" w:rsidRDefault="00E35A7A" w:rsidP="00E35A7A">
      <w:r>
        <w:br/>
        <w:t xml:space="preserve">Vos commentaires sur l’accessibilité du site web Europass sont les bienvenus. Veuillez nous contacter si vous rencontrez des obstacles à </w:t>
      </w:r>
      <w:proofErr w:type="gramStart"/>
      <w:r>
        <w:t>l’accessibilité:</w:t>
      </w:r>
      <w:proofErr w:type="gramEnd"/>
    </w:p>
    <w:p w14:paraId="4744E771" w14:textId="5A871DF4" w:rsidR="00E35A7A" w:rsidRPr="00EC59D7" w:rsidRDefault="00225512" w:rsidP="009D007D">
      <w:pPr>
        <w:numPr>
          <w:ilvl w:val="0"/>
          <w:numId w:val="23"/>
        </w:numPr>
        <w:ind w:left="720"/>
      </w:pPr>
      <w:proofErr w:type="gramStart"/>
      <w:r>
        <w:t>Téléphone:</w:t>
      </w:r>
      <w:proofErr w:type="gramEnd"/>
      <w:r>
        <w:t xml:space="preserve"> </w:t>
      </w:r>
      <w:r>
        <w:rPr>
          <w:b/>
        </w:rPr>
        <w:t>00 800 6 7 8 9 10 11</w:t>
      </w:r>
      <w:r>
        <w:t xml:space="preserve">, depuis n’importe quel pays de l’UE, tous les jours de la semaine de 09h00 à 18h00 HEC, dans n’importe quelle langue de l’UE* (les appels sont gratuits). </w:t>
      </w:r>
    </w:p>
    <w:p w14:paraId="6EAA89C5" w14:textId="3B41C853" w:rsidR="00EC59D7" w:rsidRPr="00EC59D7" w:rsidRDefault="00E35A7A" w:rsidP="5AC6E6F2">
      <w:pPr>
        <w:numPr>
          <w:ilvl w:val="0"/>
          <w:numId w:val="23"/>
        </w:numPr>
        <w:ind w:left="720"/>
        <w:rPr>
          <w:rStyle w:val="Hyperlink"/>
        </w:rPr>
      </w:pPr>
      <w:r>
        <w:t xml:space="preserve">Formulaire </w:t>
      </w:r>
      <w:proofErr w:type="gramStart"/>
      <w:r>
        <w:t>d'évaluation:</w:t>
      </w:r>
      <w:proofErr w:type="gramEnd"/>
      <w:r>
        <w:t xml:space="preserve"> écrivez-nous au moyen du </w:t>
      </w:r>
      <w:hyperlink r:id="rId17">
        <w:r>
          <w:rPr>
            <w:rStyle w:val="Hyperlink"/>
          </w:rPr>
          <w:t>formulaire de contact Europass</w:t>
        </w:r>
      </w:hyperlink>
      <w:r>
        <w:t>.</w:t>
      </w:r>
    </w:p>
    <w:p w14:paraId="73D4BBF7" w14:textId="5F54F931" w:rsidR="00E35A7A" w:rsidRDefault="00E35A7A" w:rsidP="00EC59D7">
      <w:r>
        <w:t>Nous nous efforçons de répondre aux commentaires dans un délai de 15 jours ouvrables à compter de la date de réception de la demande par le service responsable de la Commission.</w:t>
      </w:r>
    </w:p>
    <w:p w14:paraId="433BF82E" w14:textId="77777777" w:rsidR="00EC7351" w:rsidRPr="00EC7351" w:rsidRDefault="00EC7351" w:rsidP="00EC7351">
      <w:pPr>
        <w:keepNext/>
        <w:spacing w:after="0"/>
        <w:jc w:val="left"/>
        <w:outlineLvl w:val="1"/>
        <w:rPr>
          <w:b/>
        </w:rPr>
      </w:pPr>
      <w:r>
        <w:rPr>
          <w:b/>
        </w:rPr>
        <w:lastRenderedPageBreak/>
        <w:t>Compatibilité avec les navigateurs et les technologies d’assistance</w:t>
      </w:r>
    </w:p>
    <w:p w14:paraId="6EACC384" w14:textId="0AEFAC39" w:rsidR="00EC7351" w:rsidRPr="007F14FC" w:rsidRDefault="00EC7351" w:rsidP="00EC7351">
      <w:pPr>
        <w:jc w:val="left"/>
      </w:pPr>
      <w:r>
        <w:br/>
        <w:t xml:space="preserve">Le site web Europass est conçu pour être compatible avec les technologies d’assistance suivantes parmi les plus </w:t>
      </w:r>
      <w:proofErr w:type="gramStart"/>
      <w:r>
        <w:t>utilisées:</w:t>
      </w:r>
      <w:proofErr w:type="gramEnd"/>
    </w:p>
    <w:p w14:paraId="1F6174D7" w14:textId="6B07A09C" w:rsidR="000338C5" w:rsidRPr="0052454F" w:rsidRDefault="5DCDB69A" w:rsidP="35D7FFF2">
      <w:pPr>
        <w:numPr>
          <w:ilvl w:val="0"/>
          <w:numId w:val="34"/>
        </w:numPr>
        <w:spacing w:after="100" w:afterAutospacing="1"/>
        <w:jc w:val="left"/>
      </w:pPr>
      <w:proofErr w:type="gramStart"/>
      <w:r>
        <w:t>la</w:t>
      </w:r>
      <w:proofErr w:type="gramEnd"/>
      <w:r>
        <w:t xml:space="preserve"> dernière version des navigateurs Google Chrome, Mozilla Firefox et Microsoft Edge,</w:t>
      </w:r>
    </w:p>
    <w:p w14:paraId="3239328D" w14:textId="709706EC" w:rsidR="00785A54" w:rsidRDefault="5DCDB69A" w:rsidP="35D7FFF2">
      <w:pPr>
        <w:numPr>
          <w:ilvl w:val="0"/>
          <w:numId w:val="34"/>
        </w:numPr>
        <w:spacing w:before="100" w:beforeAutospacing="1" w:after="100" w:afterAutospacing="1"/>
        <w:jc w:val="left"/>
      </w:pPr>
      <w:r>
        <w:t xml:space="preserve"> </w:t>
      </w:r>
      <w:proofErr w:type="gramStart"/>
      <w:r>
        <w:t>en</w:t>
      </w:r>
      <w:proofErr w:type="gramEnd"/>
      <w:r>
        <w:t xml:space="preserve"> combinaison avec les dernières versions des technologies d’assistance.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Spécifications techniques</w:t>
      </w:r>
    </w:p>
    <w:p w14:paraId="56C786BB" w14:textId="77777777" w:rsidR="005A7954" w:rsidRDefault="005A7954" w:rsidP="00EC7351"/>
    <w:p w14:paraId="424F62F5" w14:textId="42F9DF13" w:rsidR="00EC7351" w:rsidRPr="007F14FC" w:rsidRDefault="00EC7351" w:rsidP="00EC7351">
      <w:r>
        <w:t xml:space="preserve">Afin de garantir son accessibilité, ainsi que son fonctionnement dans le contexte particulier de l’utilisation combinée d’un navigateur web et de technologies ou de modules d’extension (plug-ins) d’assistance installés sur votre ordinateur, le site web Europass repose sur les technologies </w:t>
      </w:r>
      <w:proofErr w:type="gramStart"/>
      <w:r>
        <w:t>suivantes:</w:t>
      </w:r>
      <w:proofErr w:type="gramEnd"/>
    </w:p>
    <w:p w14:paraId="7A942931" w14:textId="77777777" w:rsidR="00EC7351" w:rsidRPr="007F14FC" w:rsidRDefault="00EC7351" w:rsidP="00EC7351">
      <w:pPr>
        <w:numPr>
          <w:ilvl w:val="0"/>
          <w:numId w:val="26"/>
        </w:numPr>
        <w:spacing w:after="0"/>
        <w:ind w:left="1077" w:hanging="357"/>
      </w:pPr>
      <w:r>
        <w:t>HTML,</w:t>
      </w:r>
    </w:p>
    <w:p w14:paraId="20FD34FD" w14:textId="77777777" w:rsidR="00EC7351" w:rsidRPr="007F14FC" w:rsidRDefault="00EC7351" w:rsidP="00EC7351">
      <w:pPr>
        <w:numPr>
          <w:ilvl w:val="0"/>
          <w:numId w:val="26"/>
        </w:numPr>
        <w:spacing w:after="0"/>
        <w:ind w:left="1077" w:hanging="357"/>
      </w:pPr>
      <w:r>
        <w:t>WAI-ARIA,</w:t>
      </w:r>
    </w:p>
    <w:p w14:paraId="2CE68EE0" w14:textId="77777777" w:rsidR="00EC7351" w:rsidRPr="007F14FC" w:rsidRDefault="00EC7351" w:rsidP="00EC7351">
      <w:pPr>
        <w:numPr>
          <w:ilvl w:val="0"/>
          <w:numId w:val="26"/>
        </w:numPr>
        <w:spacing w:after="0"/>
        <w:ind w:left="1077" w:hanging="357"/>
      </w:pPr>
      <w:r>
        <w:t>CSS,</w:t>
      </w:r>
    </w:p>
    <w:p w14:paraId="2403ED5C" w14:textId="77777777" w:rsidR="00EC7351" w:rsidRPr="007F14FC" w:rsidRDefault="00EC7351" w:rsidP="00EC7351">
      <w:pPr>
        <w:numPr>
          <w:ilvl w:val="0"/>
          <w:numId w:val="26"/>
        </w:numPr>
        <w:spacing w:after="0"/>
        <w:ind w:left="1077" w:hanging="357"/>
      </w:pPr>
      <w:r>
        <w:t>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Contenu non accessible</w:t>
      </w:r>
    </w:p>
    <w:p w14:paraId="65E180EF" w14:textId="5B05AFB9" w:rsidR="00EC7351" w:rsidRDefault="755E7800" w:rsidP="5AC6E6F2">
      <w:pPr>
        <w:spacing w:before="180" w:line="276" w:lineRule="auto"/>
      </w:pPr>
      <w:r>
        <w:t>Bien que nous ayons la ferme volonté d'assurer l’accessibilité du site web Europass, celle-ci est soumise à certaines limites connues auxquelles nous tâchons de trouver des solutions. Nous apprécions votre compréhension et votre patience à cet égard. Si vous rencontrez un problème d’accessibilité qui ne figure pas ci-dessous, veuillez nous contacter.</w:t>
      </w:r>
    </w:p>
    <w:p w14:paraId="7912D527" w14:textId="3097ED04" w:rsidR="697DA1A5" w:rsidRDefault="160C0568" w:rsidP="200C443E">
      <w:pPr>
        <w:widowControl w:val="0"/>
        <w:spacing w:before="180" w:after="0" w:line="276" w:lineRule="auto"/>
      </w:pPr>
      <w:r>
        <w:rPr>
          <w:b/>
        </w:rPr>
        <w:t xml:space="preserve"> </w:t>
      </w:r>
      <w:r>
        <w:rPr>
          <w:b/>
          <w:bCs/>
        </w:rPr>
        <w:t>Limites connues</w:t>
      </w:r>
      <w:r>
        <w:t xml:space="preserve"> (auxquelles une solution devrait être trouvée d’ici la fin 2024</w:t>
      </w:r>
      <w:proofErr w:type="gramStart"/>
      <w:r>
        <w:t>):</w:t>
      </w:r>
      <w:proofErr w:type="gramEnd"/>
      <w:r>
        <w:t xml:space="preserve"> </w:t>
      </w:r>
    </w:p>
    <w:p w14:paraId="7767E01C" w14:textId="485029F8" w:rsidR="697DA1A5" w:rsidRDefault="31F81F0C" w:rsidP="200C443E">
      <w:pPr>
        <w:pStyle w:val="ListParagraph"/>
        <w:widowControl w:val="0"/>
        <w:numPr>
          <w:ilvl w:val="0"/>
          <w:numId w:val="1"/>
        </w:numPr>
        <w:spacing w:before="180" w:after="0" w:line="276" w:lineRule="auto"/>
      </w:pPr>
      <w:r>
        <w:t>Certaines pages peuvent présenter un faible contraste de couleurs.</w:t>
      </w:r>
    </w:p>
    <w:p w14:paraId="02014850" w14:textId="3C6B2681" w:rsidR="00F1088A" w:rsidRPr="00AF1993" w:rsidRDefault="114595CF" w:rsidP="200C443E">
      <w:pPr>
        <w:pStyle w:val="ListParagraph"/>
        <w:widowControl w:val="0"/>
        <w:numPr>
          <w:ilvl w:val="0"/>
          <w:numId w:val="1"/>
        </w:numPr>
        <w:spacing w:after="0"/>
        <w:jc w:val="left"/>
      </w:pPr>
      <w:r>
        <w:t>Certaines fonctionnalités ne sont pas accessibles ou ont une accessibilité limitée (faible focalisation) pour les utilisateurs qui n’utilisent que le clavier.</w:t>
      </w:r>
    </w:p>
    <w:p w14:paraId="53F04822" w14:textId="5AF5DBE1" w:rsidR="00D924E7" w:rsidRDefault="114595CF" w:rsidP="200C443E">
      <w:pPr>
        <w:pStyle w:val="ListParagraph"/>
        <w:widowControl w:val="0"/>
        <w:numPr>
          <w:ilvl w:val="0"/>
          <w:numId w:val="1"/>
        </w:numPr>
        <w:spacing w:after="0"/>
        <w:jc w:val="left"/>
      </w:pPr>
      <w:r>
        <w:t>La plupart des éléments visuels n’ont pas de texte de remplacement descriptif dans la langue correspondante.</w:t>
      </w:r>
    </w:p>
    <w:p w14:paraId="35CC691A" w14:textId="24189EB3" w:rsidR="00EC59D7" w:rsidRPr="00AF1993" w:rsidRDefault="350041B7" w:rsidP="200C443E">
      <w:pPr>
        <w:pStyle w:val="ListParagraph"/>
        <w:widowControl w:val="0"/>
        <w:numPr>
          <w:ilvl w:val="0"/>
          <w:numId w:val="1"/>
        </w:numPr>
        <w:spacing w:after="0"/>
        <w:jc w:val="left"/>
      </w:pPr>
      <w:r>
        <w:t>Certains champs ne comportent pas de texte destiné aux lecteurs d’écran ou à d’autres technologies d’assistance similaires.</w:t>
      </w:r>
    </w:p>
    <w:p w14:paraId="2160CF67" w14:textId="1842C882" w:rsidR="00D924E7" w:rsidRPr="00AF1993" w:rsidRDefault="114595CF" w:rsidP="200C443E">
      <w:pPr>
        <w:pStyle w:val="ListParagraph"/>
        <w:widowControl w:val="0"/>
        <w:numPr>
          <w:ilvl w:val="0"/>
          <w:numId w:val="1"/>
        </w:numPr>
        <w:spacing w:after="0"/>
        <w:jc w:val="left"/>
      </w:pPr>
      <w:r>
        <w:t>Certains messages d’erreur ne sont pas clairement associés à des contrôles de formulaire.</w:t>
      </w:r>
    </w:p>
    <w:p w14:paraId="1A015EAA" w14:textId="34A2DFAA" w:rsidR="00D924E7" w:rsidRDefault="114595CF" w:rsidP="200C443E">
      <w:pPr>
        <w:pStyle w:val="ListParagraph"/>
        <w:widowControl w:val="0"/>
        <w:numPr>
          <w:ilvl w:val="0"/>
          <w:numId w:val="1"/>
        </w:numPr>
        <w:spacing w:after="0"/>
        <w:jc w:val="left"/>
      </w:pPr>
      <w:r>
        <w:t>Certains documents sont au format PDF et ne sont pas accessibles.</w:t>
      </w:r>
    </w:p>
    <w:p w14:paraId="080F47A3" w14:textId="035BC469" w:rsidR="00AC4598" w:rsidRDefault="114595CF" w:rsidP="200C443E">
      <w:pPr>
        <w:pStyle w:val="ListParagraph"/>
        <w:widowControl w:val="0"/>
        <w:numPr>
          <w:ilvl w:val="0"/>
          <w:numId w:val="1"/>
        </w:numPr>
        <w:spacing w:after="0"/>
        <w:jc w:val="left"/>
      </w:pPr>
      <w:r>
        <w:t>Certaines pages ne sont pas complètement adaptées aux lecteurs d’écran ou à d’autres technologies d’assistance similaires.</w:t>
      </w:r>
    </w:p>
    <w:p w14:paraId="18FF54C3" w14:textId="2C0A54B5" w:rsidR="00AC4598" w:rsidRDefault="114595CF" w:rsidP="200C443E">
      <w:pPr>
        <w:pStyle w:val="ListParagraph"/>
        <w:widowControl w:val="0"/>
        <w:numPr>
          <w:ilvl w:val="0"/>
          <w:numId w:val="1"/>
        </w:numPr>
        <w:spacing w:after="0"/>
        <w:jc w:val="left"/>
      </w:pPr>
      <w:r>
        <w:t>Certaines rubriques ne sont pas correctement structurées pour les technologies d’assistance.</w:t>
      </w:r>
    </w:p>
    <w:p w14:paraId="2AE23792" w14:textId="6B0D5125" w:rsidR="00896DC0" w:rsidRDefault="407DE4EE" w:rsidP="200C443E">
      <w:pPr>
        <w:pStyle w:val="ListParagraph"/>
        <w:widowControl w:val="0"/>
        <w:numPr>
          <w:ilvl w:val="0"/>
          <w:numId w:val="1"/>
        </w:numPr>
        <w:spacing w:after="0"/>
        <w:jc w:val="left"/>
      </w:pPr>
      <w:r>
        <w:t>Certaines pages comportent des éléments de contenu tels que des tableaux et des menus latéraux qui peuvent ne pas être accessibles.</w:t>
      </w:r>
    </w:p>
    <w:p w14:paraId="6CF69CF9" w14:textId="1E9D0B6C" w:rsidR="00896DC0" w:rsidRDefault="407DE4EE">
      <w:pPr>
        <w:pStyle w:val="ListParagraph"/>
        <w:widowControl w:val="0"/>
        <w:numPr>
          <w:ilvl w:val="0"/>
          <w:numId w:val="1"/>
        </w:numPr>
        <w:spacing w:after="0"/>
        <w:jc w:val="left"/>
      </w:pPr>
      <w:r>
        <w:lastRenderedPageBreak/>
        <w:t>Certaines URL ne comportent pas de nom de chemin compréhensible ou correct.</w:t>
      </w:r>
    </w:p>
    <w:p w14:paraId="427C5223" w14:textId="1EB5E7DE" w:rsidR="00BE0E7F" w:rsidRDefault="0803AE8C" w:rsidP="200C443E">
      <w:pPr>
        <w:pStyle w:val="ListParagraph"/>
        <w:widowControl w:val="0"/>
        <w:numPr>
          <w:ilvl w:val="0"/>
          <w:numId w:val="1"/>
        </w:numPr>
        <w:spacing w:after="0"/>
        <w:jc w:val="left"/>
      </w:pPr>
      <w:r>
        <w:t>Certains éléments ne sont pas entièrement adaptés à l’accessibilité mobile.</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Page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sur </w:t>
            </w:r>
            <w:r>
              <w:rPr>
                <w:b/>
                <w:color w:val="2B579A"/>
                <w:sz w:val="24"/>
                <w:shd w:val="clear" w:color="auto" w:fill="E6E6E6"/>
              </w:rPr>
              <w:fldChar w:fldCharType="begin"/>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EndPr/>
    <w:sdtContent>
      <w:p w14:paraId="297DBCD6" w14:textId="77777777" w:rsidR="00EC7351" w:rsidRDefault="00EC7351">
        <w:pPr>
          <w:pStyle w:val="Footer"/>
          <w:rPr>
            <w:sz w:val="24"/>
          </w:rPr>
        </w:pPr>
      </w:p>
      <w:p w14:paraId="57C21410" w14:textId="0CAFC002" w:rsidR="00EC7351" w:rsidRDefault="00794188">
        <w:pPr>
          <w:pStyle w:val="Footer"/>
        </w:pPr>
        <w:sdt>
          <w:sdtPr>
            <w:id w:val="-1245179179"/>
            <w:dataBinding w:xpath="/Author/Addresses/Address[Id = 'f03b5801-04c9-4931-aa17-c6d6c70bc579']/Footer" w:storeItemID="{EBD4A2BB-D3C2-4E81-B1F9-6FB82AC3CEB9}"/>
            <w:text w:multiLine="1"/>
          </w:sdtPr>
          <w:sdtEndPr/>
          <w:sdtContent>
            <w:r>
              <w:t>Commission européenne, 1049 Bruxelles, BELGIQUE - Tél. + 32 22991111</w:t>
            </w:r>
          </w:sdtContent>
        </w:sdt>
      </w:p>
      <w:p w14:paraId="4B889E1A" w14:textId="5AE6768E" w:rsidR="00EC7351" w:rsidRDefault="00794188">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rsidR="00954723">
              <w:t xml:space="preserve">     </w:t>
            </w:r>
          </w:sdtContent>
        </w:sdt>
      </w:p>
      <w:p w14:paraId="532621B0" w14:textId="77777777" w:rsidR="00EC7351" w:rsidRDefault="00794188">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94188"/>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en/about-europass/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DIRECTION GÉNÉRALE de l’emploi, des affaires sociales et de l’inclusion</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Direction E – Mobilité des travailleurs et affaires internationales</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Unité E.1 – Mobilité des travailleurs, services publics de l’emploi et AET</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 1049 Bruxelles, BELGIQUE - Tél. + 32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COMMISSION EUROPÉENNE</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A2BB-D3C2-4E81-B1F9-6FB82AC3CEB9}">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805</Words>
  <Characters>4219</Characters>
  <Application>Microsoft Office Word</Application>
  <DocSecurity>0</DocSecurity>
  <PresentationFormat>Microsoft Word 14.0</PresentationFormat>
  <Lines>124</Lines>
  <Paragraphs>66</Paragraphs>
  <ScaleCrop>true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HUYLENBROECK Pascale (DGT)</cp:lastModifiedBy>
  <cp:revision>3</cp:revision>
  <cp:lastPrinted>2021-10-25T20:16:00Z</cp:lastPrinted>
  <dcterms:created xsi:type="dcterms:W3CDTF">2024-01-09T14:21:00Z</dcterms:created>
  <dcterms:modified xsi:type="dcterms:W3CDTF">2024-01-17T14:57:00Z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