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Ez a táblázat a bal oldali oszlopban az Európai Bizottság logóját tartalmazza, a jobb oldali oszlopban pedig az aláíró vagy megszövegező személy szervezeti egységére vonatkozó információkat tartalmaz."/>
      </w:tblPr>
      <w:tblGrid>
        <w:gridCol w:w="2400"/>
        <w:gridCol w:w="7080"/>
      </w:tblGrid>
      <w:sdt>
        <w:sdtPr>
          <w:rPr>
            <w:sz w:val="16"/>
          </w:rPr>
          <w:alias w:val="EC Header - Standard"/>
          <w:tag w:val="A4pCgmOjXaoPaysOY21Ij7-5QkCVxYFQ4ANGFaoRKN4I2"/>
          <w:id w:val="239147838"/>
        </w:sdt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noProof/>
                    <w:color w:val="2B579A"/>
                    <w:shd w:val="clear" w:color="auto" w:fill="E6E6E6"/>
                  </w:rPr>
                  <w:drawing>
                    <wp:inline distT="0" distB="0" distL="0" distR="0" wp14:anchorId="528B0FAA" wp14:editId="3BE4CA6B">
                      <wp:extent cx="1371600" cy="676800"/>
                      <wp:effectExtent l="0" t="0" r="0" b="0"/>
                      <wp:docPr id="1" name="Picture 1" descr="Az Európai Bizottság logója: 12, kört alkotó sárga csillag kék háttér előtt, amelyet két oldalról az Európai Bizottság székházát, a Berlaymont épületet jelképező két világosszürke grafikus elem fog köz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000000">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rsidR="00954723">
                      <w:t>EURÓPAI BIZOTTSÁG</w:t>
                    </w:r>
                  </w:sdtContent>
                </w:sdt>
              </w:p>
              <w:p w14:paraId="2074A464" w14:textId="39B41681" w:rsidR="00FE373C" w:rsidRPr="007F14FC" w:rsidRDefault="00000000">
                <w:pPr>
                  <w:pStyle w:val="ZDGName"/>
                  <w:rPr>
                    <w:caps/>
                  </w:rPr>
                </w:pPr>
                <w:sdt>
                  <w:sdtPr>
                    <w:rPr>
                      <w:caps/>
                      <w:color w:val="2B579A"/>
                      <w:shd w:val="clear" w:color="auto" w:fill="E6E6E6"/>
                    </w:rPr>
                    <w:id w:val="-2119517576"/>
                    <w:dataBinding w:xpath="/Author/OrgaEntity1/HeadLine1" w:storeItemID="{EBD4A2BB-D3C2-4E81-B1F9-6FB82AC3CEB9}"/>
                    <w:text w:multiLine="1"/>
                  </w:sdtPr>
                  <w:sdtContent>
                    <w:r w:rsidR="00954723">
                      <w:rPr>
                        <w:caps/>
                      </w:rPr>
                      <w:t>A FOGLALKOZTATÁS, A SZOCIÁLIS ÜGYEK ÉS A TÁRSADALMI BEFOGADÁS FŐIGAZGATÓSÁGA</w:t>
                    </w:r>
                  </w:sdtContent>
                </w:sdt>
              </w:p>
              <w:p w14:paraId="35D34AB3" w14:textId="77777777" w:rsidR="00FE373C" w:rsidRPr="007F14FC" w:rsidRDefault="00FE373C">
                <w:pPr>
                  <w:pStyle w:val="ZDGName"/>
                </w:pPr>
              </w:p>
              <w:p w14:paraId="05E57B9D" w14:textId="4CD0133A" w:rsidR="00FE373C" w:rsidRPr="007F14FC" w:rsidRDefault="00000000">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rsidR="00954723">
                      <w:t>„E” Igazgatóság – Munkavállalói mobilitás és nemzetközi ügyek</w:t>
                    </w:r>
                  </w:sdtContent>
                </w:sdt>
              </w:p>
              <w:p w14:paraId="4FC3ED8E" w14:textId="657E7308" w:rsidR="00FE373C" w:rsidRPr="007F14FC" w:rsidRDefault="00000000" w:rsidP="00225512">
                <w:pPr>
                  <w:pStyle w:val="ZDGName"/>
                  <w:rPr>
                    <w:b/>
                  </w:rPr>
                </w:pPr>
                <w:sdt>
                  <w:sdtPr>
                    <w:rPr>
                      <w:b/>
                      <w:color w:val="2B579A"/>
                      <w:shd w:val="clear" w:color="auto" w:fill="E6E6E6"/>
                    </w:rPr>
                    <w:id w:val="-835295840"/>
                    <w:dataBinding w:xpath="/Author/OrgaEntity3/HeadLine1" w:storeItemID="{EBD4A2BB-D3C2-4E81-B1F9-6FB82AC3CEB9}"/>
                    <w:text w:multiLine="1"/>
                  </w:sdtPr>
                  <w:sdtContent>
                    <w:r w:rsidR="00954723">
                      <w:rPr>
                        <w:b/>
                      </w:rPr>
                      <w:t>„E.1” egység – Munkavállalói mobilitás, állami foglalkoztatási szolgálatok, Európai Munkaügyi Hatóság</w:t>
                    </w:r>
                  </w:sdtContent>
                </w:sdt>
              </w:p>
            </w:tc>
          </w:tr>
        </w:sdtContent>
      </w:sdt>
    </w:tbl>
    <w:p w14:paraId="40810E1C" w14:textId="615BFA28" w:rsidR="007F14FC" w:rsidRPr="00B95F32" w:rsidRDefault="007F14FC" w:rsidP="001F4C2B">
      <w:pPr>
        <w:pStyle w:val="Heading2"/>
      </w:pPr>
      <w:r>
        <w:t xml:space="preserve">Az </w:t>
      </w:r>
      <w:proofErr w:type="spellStart"/>
      <w:r>
        <w:t>Europass</w:t>
      </w:r>
      <w:proofErr w:type="spellEnd"/>
      <w:r>
        <w:t xml:space="preserve"> portál akadálymentesítési nyilatkozata</w:t>
      </w:r>
    </w:p>
    <w:p w14:paraId="4078DA32" w14:textId="2512D477" w:rsidR="007F14FC" w:rsidRPr="007F14FC" w:rsidRDefault="35E89FFF" w:rsidP="007F14FC">
      <w:pPr>
        <w:pStyle w:val="Text1"/>
        <w:ind w:left="0"/>
      </w:pPr>
      <w:r>
        <w:t xml:space="preserve">Ez a nyilatkozat a </w:t>
      </w:r>
      <w:hyperlink r:id="rId12">
        <w:r>
          <w:rPr>
            <w:rStyle w:val="Hyperlink"/>
          </w:rPr>
          <w:t>https://europa.eu/europass</w:t>
        </w:r>
      </w:hyperlink>
      <w:r>
        <w:t xml:space="preserve"> tartományon és annak altartományain közzétett tartalomra vonatkozik.</w:t>
      </w:r>
    </w:p>
    <w:p w14:paraId="54D3743B" w14:textId="6748B4D5" w:rsidR="007F14FC" w:rsidRPr="007F14FC" w:rsidRDefault="35E89FFF" w:rsidP="007F14FC">
      <w:pPr>
        <w:pStyle w:val="Text1"/>
        <w:ind w:left="0"/>
      </w:pPr>
      <w:r>
        <w:t xml:space="preserve">Ezt a honlapot a Foglalkoztatás, a Szociális Ügyek és a Társadalmi Befogadás Főigazgatóságának E.1 egysége tartja fent. A </w:t>
      </w:r>
      <w:proofErr w:type="spellStart"/>
      <w:r>
        <w:t>webhelyet</w:t>
      </w:r>
      <w:proofErr w:type="spellEnd"/>
      <w:r>
        <w:t xml:space="preserve"> úgy terveztük, hogy minél többen, köztük a fogyatékos felhasználók is hozzáférhessenek a tartalmához.</w:t>
      </w:r>
    </w:p>
    <w:p w14:paraId="4F1ECE61" w14:textId="77777777" w:rsidR="00E35A7A" w:rsidRPr="007F14FC" w:rsidRDefault="00E35A7A" w:rsidP="00E35A7A">
      <w:r>
        <w:t>A honlapon:</w:t>
      </w:r>
    </w:p>
    <w:p w14:paraId="1F89F2F7" w14:textId="14FAC846" w:rsidR="00225512" w:rsidRPr="00AF1993" w:rsidRDefault="00AC4598" w:rsidP="009D007D">
      <w:pPr>
        <w:pStyle w:val="ListParagraph"/>
        <w:numPr>
          <w:ilvl w:val="0"/>
          <w:numId w:val="38"/>
        </w:numPr>
      </w:pPr>
      <w:r>
        <w:t>probléma nélkül lehet a szöveget 200%-</w:t>
      </w:r>
      <w:proofErr w:type="spellStart"/>
      <w:r>
        <w:t>ig</w:t>
      </w:r>
      <w:proofErr w:type="spellEnd"/>
      <w:r>
        <w:t xml:space="preserve"> nagyítani;</w:t>
      </w:r>
    </w:p>
    <w:p w14:paraId="0A3AB54A" w14:textId="77777777" w:rsidR="00225512" w:rsidRPr="00AF1993" w:rsidRDefault="00225512" w:rsidP="00225512">
      <w:pPr>
        <w:pStyle w:val="ListParagraph"/>
        <w:numPr>
          <w:ilvl w:val="0"/>
          <w:numId w:val="38"/>
        </w:numPr>
      </w:pPr>
      <w:r>
        <w:t>az oldalak nagy része bejárható kizárólag a billentyűzettel;</w:t>
      </w:r>
    </w:p>
    <w:p w14:paraId="520AE6B3" w14:textId="5E6D9758" w:rsidR="000126E5" w:rsidRPr="00AF1993" w:rsidRDefault="00225512" w:rsidP="009D007D">
      <w:pPr>
        <w:pStyle w:val="ListParagraph"/>
        <w:numPr>
          <w:ilvl w:val="0"/>
          <w:numId w:val="33"/>
        </w:numPr>
      </w:pPr>
      <w:r>
        <w:t>az oldalak nagy része bejárható korszerű képernyőolvasó és beszédfelismerő szoftverrel (számítógépen és mobileszközön egyaránt).</w:t>
      </w:r>
    </w:p>
    <w:p w14:paraId="1A4510C6" w14:textId="3A06EEAA" w:rsidR="00E35A7A" w:rsidRPr="007F14FC" w:rsidRDefault="00E35A7A" w:rsidP="000126E5">
      <w:r>
        <w:t xml:space="preserve">Ezt a weboldalt úgy terveztük, hogy megfeleljen </w:t>
      </w:r>
      <w:hyperlink r:id="rId13">
        <w:r>
          <w:rPr>
            <w:color w:val="0563C1" w:themeColor="hyperlink"/>
            <w:u w:val="single"/>
          </w:rPr>
          <w:t>a honlapokra és mobilalkalmazásokra vonatkozó EN 301 549 műszaki szabvány 3.2.1-es verziójának</w:t>
        </w:r>
      </w:hyperlink>
      <w:r>
        <w:t xml:space="preserve">, amely szorosan követi a </w:t>
      </w:r>
      <w:hyperlink r:id="rId14">
        <w:r>
          <w:rPr>
            <w:color w:val="0563C1" w:themeColor="hyperlink"/>
            <w:u w:val="single"/>
          </w:rPr>
          <w:t>Web Akadálymentesítési Útmutató (WCAG) 2.1-es verziójának</w:t>
        </w:r>
      </w:hyperlink>
      <w:r>
        <w:t xml:space="preserve"> „AA” szintjét.</w:t>
      </w:r>
    </w:p>
    <w:p w14:paraId="66A12D4E" w14:textId="77777777" w:rsidR="00E35A7A" w:rsidRPr="00E35A7A" w:rsidRDefault="00E35A7A" w:rsidP="00E35A7A">
      <w:pPr>
        <w:keepNext/>
        <w:spacing w:after="0"/>
        <w:jc w:val="left"/>
        <w:outlineLvl w:val="1"/>
        <w:rPr>
          <w:b/>
        </w:rPr>
      </w:pPr>
      <w:r>
        <w:rPr>
          <w:b/>
        </w:rPr>
        <w:t>Megfelelőségi állapot</w:t>
      </w:r>
      <w:r>
        <w:rPr>
          <w:b/>
        </w:rPr>
        <w:br/>
      </w:r>
    </w:p>
    <w:p w14:paraId="66C3D011" w14:textId="6AC3AC33" w:rsidR="00225512" w:rsidRPr="00E84E56" w:rsidRDefault="0AC43EA8" w:rsidP="00225512">
      <w:r>
        <w:t xml:space="preserve">Ez a honlap részben </w:t>
      </w:r>
      <w:r>
        <w:rPr>
          <w:b/>
        </w:rPr>
        <w:t>megfelel</w:t>
      </w:r>
      <w:r>
        <w:t xml:space="preserve"> az </w:t>
      </w:r>
      <w:hyperlink r:id="rId15">
        <w:r>
          <w:rPr>
            <w:rStyle w:val="Hyperlink"/>
          </w:rPr>
          <w:t>EN 301 549 műszaki szabvány 3.2.1-es verziójának</w:t>
        </w:r>
      </w:hyperlink>
      <w:r>
        <w:t xml:space="preserve">, és a </w:t>
      </w:r>
      <w:hyperlink r:id="rId16">
        <w:r>
          <w:rPr>
            <w:rStyle w:val="Hyperlink"/>
          </w:rPr>
          <w:t>Web Akadálymentesítési Útmutató (WCAG) 2.1-es verziójában meghatározott „AA” szintnek</w:t>
        </w:r>
      </w:hyperlink>
      <w:r>
        <w:t>. A témáról bővebben a „</w:t>
      </w:r>
      <w:hyperlink w:anchor="_Non-accessible_content">
        <w:r>
          <w:rPr>
            <w:rStyle w:val="Hyperlink"/>
          </w:rPr>
          <w:t>Nem akadálymentes tartalom</w:t>
        </w:r>
      </w:hyperlink>
      <w:r>
        <w:t>” című rovatban lehet tájékozódni.</w:t>
      </w:r>
    </w:p>
    <w:p w14:paraId="4146F897" w14:textId="0C4BE212" w:rsidR="00E35A7A" w:rsidRPr="007F14FC" w:rsidRDefault="00E35A7A" w:rsidP="00E35A7A">
      <w:r>
        <w:t xml:space="preserve">A </w:t>
      </w:r>
      <w:proofErr w:type="spellStart"/>
      <w:r>
        <w:t>webhelyet</w:t>
      </w:r>
      <w:proofErr w:type="spellEnd"/>
      <w:r>
        <w:t xml:space="preserve"> legutóbb 2023 áprilisában teszteltük.</w:t>
      </w:r>
    </w:p>
    <w:p w14:paraId="5ABBA2F4" w14:textId="77777777" w:rsidR="00E35A7A" w:rsidRPr="00E35A7A" w:rsidRDefault="00E35A7A" w:rsidP="00E35A7A">
      <w:pPr>
        <w:keepNext/>
        <w:spacing w:after="0"/>
        <w:jc w:val="left"/>
        <w:outlineLvl w:val="1"/>
        <w:rPr>
          <w:b/>
        </w:rPr>
      </w:pPr>
      <w:r>
        <w:rPr>
          <w:b/>
        </w:rPr>
        <w:t>A nyilatkozat elkészítése</w:t>
      </w:r>
    </w:p>
    <w:p w14:paraId="6B674C45" w14:textId="4612CB79" w:rsidR="00E35A7A" w:rsidRDefault="00E35A7A" w:rsidP="00E35A7A">
      <w:r>
        <w:br/>
        <w:t>Ezt a nyilatkozatot 2023. december 15-én vizsgáltuk felül.</w:t>
      </w:r>
    </w:p>
    <w:p w14:paraId="2918FEE8" w14:textId="77777777" w:rsidR="00E35A7A" w:rsidRPr="00E35A7A" w:rsidRDefault="00E35A7A" w:rsidP="00E35A7A">
      <w:pPr>
        <w:keepNext/>
        <w:spacing w:after="0"/>
        <w:jc w:val="left"/>
        <w:outlineLvl w:val="1"/>
        <w:rPr>
          <w:b/>
        </w:rPr>
      </w:pPr>
      <w:r>
        <w:rPr>
          <w:b/>
        </w:rPr>
        <w:t>Visszajelzés</w:t>
      </w:r>
    </w:p>
    <w:p w14:paraId="3EF7E625" w14:textId="563019B3" w:rsidR="00E35A7A" w:rsidRPr="007F14FC" w:rsidRDefault="00E35A7A" w:rsidP="00E35A7A">
      <w:r>
        <w:br/>
        <w:t xml:space="preserve">Örömmel fogadjuk az </w:t>
      </w:r>
      <w:proofErr w:type="spellStart"/>
      <w:r>
        <w:t>Europass</w:t>
      </w:r>
      <w:proofErr w:type="spellEnd"/>
      <w:r>
        <w:t xml:space="preserve"> portál akadálymentesítésével kapcsolatos visszajelzéseket. Ha akadálymentességi problémákba ütközik, kérjük, vegye fel velünk a kapcsolatot!</w:t>
      </w:r>
    </w:p>
    <w:p w14:paraId="4744E771" w14:textId="2D53FB10" w:rsidR="00E35A7A" w:rsidRPr="00EC59D7" w:rsidRDefault="00225512" w:rsidP="009D007D">
      <w:pPr>
        <w:numPr>
          <w:ilvl w:val="0"/>
          <w:numId w:val="23"/>
        </w:numPr>
        <w:ind w:left="720"/>
      </w:pPr>
      <w:r>
        <w:t xml:space="preserve">Telefonszám: </w:t>
      </w:r>
      <w:r>
        <w:rPr>
          <w:b/>
        </w:rPr>
        <w:t>00 800 6 7 8 9 10 11</w:t>
      </w:r>
      <w:r>
        <w:t xml:space="preserve"> – hívható az EU-ból bárhonnan, közép-európai idő szerint 9:00 és 18:00 óra között az EU bármely nyelvén* (a hívások ingyenesek).</w:t>
      </w:r>
    </w:p>
    <w:p w14:paraId="6EAA89C5" w14:textId="3B41C853" w:rsidR="00EC59D7" w:rsidRPr="00EC59D7" w:rsidRDefault="00E35A7A" w:rsidP="5AC6E6F2">
      <w:pPr>
        <w:numPr>
          <w:ilvl w:val="0"/>
          <w:numId w:val="23"/>
        </w:numPr>
        <w:ind w:left="720"/>
        <w:rPr>
          <w:rStyle w:val="Hyperlink"/>
        </w:rPr>
      </w:pPr>
      <w:r>
        <w:lastRenderedPageBreak/>
        <w:t xml:space="preserve">Visszajelzésre szolgáló űrlap: Írjon nekünk az </w:t>
      </w:r>
      <w:hyperlink r:id="rId17">
        <w:proofErr w:type="spellStart"/>
        <w:r>
          <w:rPr>
            <w:rStyle w:val="Hyperlink"/>
          </w:rPr>
          <w:t>Europass</w:t>
        </w:r>
        <w:proofErr w:type="spellEnd"/>
        <w:r>
          <w:rPr>
            <w:rStyle w:val="Hyperlink"/>
          </w:rPr>
          <w:t xml:space="preserve"> kapcsolatfelvételi űrlapon</w:t>
        </w:r>
      </w:hyperlink>
      <w:r>
        <w:t>.</w:t>
      </w:r>
    </w:p>
    <w:p w14:paraId="73D4BBF7" w14:textId="5F54F931" w:rsidR="00E35A7A" w:rsidRDefault="00E35A7A" w:rsidP="00EC59D7">
      <w:r>
        <w:t>A Bizottság illetékes szervezeti egységéhez beérkezett visszajelzéseket igyekszünk 15 munkanapon belül megválaszolni.</w:t>
      </w:r>
    </w:p>
    <w:p w14:paraId="433BF82E" w14:textId="77777777" w:rsidR="00EC7351" w:rsidRPr="00EC7351" w:rsidRDefault="00EC7351" w:rsidP="00EC7351">
      <w:pPr>
        <w:keepNext/>
        <w:spacing w:after="0"/>
        <w:jc w:val="left"/>
        <w:outlineLvl w:val="1"/>
        <w:rPr>
          <w:b/>
        </w:rPr>
      </w:pPr>
      <w:r>
        <w:rPr>
          <w:b/>
        </w:rPr>
        <w:t>Kompatibilitás böngészőkkel és támogató-segítő technológiákkal</w:t>
      </w:r>
    </w:p>
    <w:p w14:paraId="6EACC384" w14:textId="0AEFAC39" w:rsidR="00EC7351" w:rsidRPr="007F14FC" w:rsidRDefault="00EC7351" w:rsidP="00EC7351">
      <w:pPr>
        <w:jc w:val="left"/>
      </w:pPr>
      <w:r>
        <w:br/>
        <w:t xml:space="preserve">Az </w:t>
      </w:r>
      <w:proofErr w:type="spellStart"/>
      <w:r>
        <w:t>Europass</w:t>
      </w:r>
      <w:proofErr w:type="spellEnd"/>
      <w:r>
        <w:t xml:space="preserve"> portált úgy terveztük meg, hogy kompatibilis legyen a leggyakoribb támogató-segítő technológiákkal, azaz:</w:t>
      </w:r>
    </w:p>
    <w:p w14:paraId="1F6174D7" w14:textId="6B07A09C" w:rsidR="000338C5" w:rsidRPr="0052454F" w:rsidRDefault="5DCDB69A" w:rsidP="35D7FFF2">
      <w:pPr>
        <w:numPr>
          <w:ilvl w:val="0"/>
          <w:numId w:val="34"/>
        </w:numPr>
        <w:spacing w:after="100" w:afterAutospacing="1"/>
        <w:jc w:val="left"/>
      </w:pPr>
      <w:r>
        <w:t>a Microsoft Edge, a Google Chrome és a Mozilla Firefox böngésző legfrissebb változatával, illetve;</w:t>
      </w:r>
    </w:p>
    <w:p w14:paraId="3239328D" w14:textId="347ADB5C" w:rsidR="00785A54" w:rsidRDefault="5DCDB69A" w:rsidP="35D7FFF2">
      <w:pPr>
        <w:numPr>
          <w:ilvl w:val="0"/>
          <w:numId w:val="34"/>
        </w:numPr>
        <w:spacing w:before="100" w:beforeAutospacing="1" w:after="100" w:afterAutospacing="1"/>
        <w:jc w:val="left"/>
      </w:pPr>
      <w:r>
        <w:t xml:space="preserve"> a támogató-segítő technológiák legújabb változataival.</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Műszaki előírások</w:t>
      </w:r>
    </w:p>
    <w:p w14:paraId="56C786BB" w14:textId="77777777" w:rsidR="005A7954" w:rsidRDefault="005A7954" w:rsidP="00EC7351"/>
    <w:p w14:paraId="424F62F5" w14:textId="42F9DF13" w:rsidR="00EC7351" w:rsidRPr="007F14FC" w:rsidRDefault="00EC7351" w:rsidP="00EC7351">
      <w:r>
        <w:t xml:space="preserve">Az </w:t>
      </w:r>
      <w:proofErr w:type="spellStart"/>
      <w:r>
        <w:t>Europass</w:t>
      </w:r>
      <w:proofErr w:type="spellEnd"/>
      <w:r>
        <w:t xml:space="preserve"> webhely akadálymentessége a következő – az Ön számítógépére telepített webböngészők és támogató technológiák vagy beépülő modulok egyedi kombinációjával együttműködő – technológiákkal valósul meg:</w:t>
      </w:r>
    </w:p>
    <w:p w14:paraId="7A942931" w14:textId="77777777" w:rsidR="00EC7351" w:rsidRPr="007F14FC" w:rsidRDefault="00EC7351" w:rsidP="00EC7351">
      <w:pPr>
        <w:numPr>
          <w:ilvl w:val="0"/>
          <w:numId w:val="26"/>
        </w:numPr>
        <w:spacing w:after="0"/>
        <w:ind w:left="1077" w:hanging="357"/>
      </w:pPr>
      <w:r>
        <w:t>HTML</w:t>
      </w:r>
    </w:p>
    <w:p w14:paraId="20FD34FD" w14:textId="77777777" w:rsidR="00EC7351" w:rsidRPr="007F14FC" w:rsidRDefault="00EC7351" w:rsidP="00EC7351">
      <w:pPr>
        <w:numPr>
          <w:ilvl w:val="0"/>
          <w:numId w:val="26"/>
        </w:numPr>
        <w:spacing w:after="0"/>
        <w:ind w:left="1077" w:hanging="357"/>
      </w:pPr>
      <w:r>
        <w:t>WAI-ARIA</w:t>
      </w:r>
    </w:p>
    <w:p w14:paraId="2CE68EE0" w14:textId="77777777" w:rsidR="00EC7351" w:rsidRPr="007F14FC" w:rsidRDefault="00EC7351" w:rsidP="00EC7351">
      <w:pPr>
        <w:numPr>
          <w:ilvl w:val="0"/>
          <w:numId w:val="26"/>
        </w:numPr>
        <w:spacing w:after="0"/>
        <w:ind w:left="1077" w:hanging="357"/>
      </w:pPr>
      <w:r>
        <w:t>CSS</w:t>
      </w:r>
    </w:p>
    <w:p w14:paraId="2403ED5C" w14:textId="77777777" w:rsidR="00EC7351" w:rsidRPr="007F14FC" w:rsidRDefault="00EC7351" w:rsidP="00EC7351">
      <w:pPr>
        <w:numPr>
          <w:ilvl w:val="0"/>
          <w:numId w:val="26"/>
        </w:numPr>
        <w:spacing w:after="0"/>
        <w:ind w:left="1077" w:hanging="357"/>
      </w:pPr>
      <w:r>
        <w:t>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Nem akadálymentes tartalom</w:t>
      </w:r>
    </w:p>
    <w:p w14:paraId="65E180EF" w14:textId="5B05AFB9" w:rsidR="00EC7351" w:rsidRDefault="755E7800" w:rsidP="5AC6E6F2">
      <w:pPr>
        <w:spacing w:before="180" w:line="276" w:lineRule="auto"/>
      </w:pPr>
      <w:r>
        <w:t>Jóllehet igyekszünk minden megtenni azért, hogy az Európai Unió webhelye akadálymentes legyen, tisztában vagyunk azzal, hogy vannak még hiányosságok. Ezek felszámolásán folyamatosan dolgozunk. Megértését és türelmét köszönjük. Ha olyan problémával szembesül, amely nem szerepel a lenti felsorolásban, kérjük, vegye fel velünk a kapcsolatot.</w:t>
      </w:r>
    </w:p>
    <w:p w14:paraId="7912D527" w14:textId="332F7C21" w:rsidR="697DA1A5" w:rsidRDefault="160C0568" w:rsidP="200C443E">
      <w:pPr>
        <w:widowControl w:val="0"/>
        <w:spacing w:before="180" w:after="0" w:line="276" w:lineRule="auto"/>
      </w:pPr>
      <w:r>
        <w:rPr>
          <w:b/>
        </w:rPr>
        <w:t>Ismert hiányosságok</w:t>
      </w:r>
      <w:r>
        <w:t xml:space="preserve"> (amelyeket a tervek szerint 2024-ben megszüntetünk):</w:t>
      </w:r>
    </w:p>
    <w:p w14:paraId="7767E01C" w14:textId="485029F8" w:rsidR="697DA1A5" w:rsidRDefault="31F81F0C" w:rsidP="200C443E">
      <w:pPr>
        <w:pStyle w:val="ListParagraph"/>
        <w:widowControl w:val="0"/>
        <w:numPr>
          <w:ilvl w:val="0"/>
          <w:numId w:val="1"/>
        </w:numPr>
        <w:spacing w:before="180" w:after="0" w:line="276" w:lineRule="auto"/>
      </w:pPr>
      <w:r>
        <w:t>Egyes oldalakon nem megfelelő a színkontraszt.</w:t>
      </w:r>
    </w:p>
    <w:p w14:paraId="02014850" w14:textId="3C6B2681" w:rsidR="00F1088A" w:rsidRPr="00AF1993" w:rsidRDefault="114595CF" w:rsidP="200C443E">
      <w:pPr>
        <w:pStyle w:val="ListParagraph"/>
        <w:widowControl w:val="0"/>
        <w:numPr>
          <w:ilvl w:val="0"/>
          <w:numId w:val="1"/>
        </w:numPr>
        <w:spacing w:after="0"/>
        <w:jc w:val="left"/>
      </w:pPr>
      <w:r>
        <w:t>A kizárólag billentyűzetet használó felhasználók nem, vagy csak korlátozottan férhetnek hozzá bizonyos funkciókhoz (alacsony fókusz).</w:t>
      </w:r>
    </w:p>
    <w:p w14:paraId="53F04822" w14:textId="5AF5DBE1" w:rsidR="00D924E7" w:rsidRDefault="114595CF" w:rsidP="200C443E">
      <w:pPr>
        <w:pStyle w:val="ListParagraph"/>
        <w:widowControl w:val="0"/>
        <w:numPr>
          <w:ilvl w:val="0"/>
          <w:numId w:val="1"/>
        </w:numPr>
        <w:spacing w:after="0"/>
        <w:jc w:val="left"/>
      </w:pPr>
      <w:r>
        <w:t>A legtöbb vizuális anyagnak nincs szöveges ismertetése az adott nyelven.</w:t>
      </w:r>
    </w:p>
    <w:p w14:paraId="35CC691A" w14:textId="24189EB3" w:rsidR="00EC59D7" w:rsidRPr="00AF1993" w:rsidRDefault="350041B7" w:rsidP="200C443E">
      <w:pPr>
        <w:pStyle w:val="ListParagraph"/>
        <w:widowControl w:val="0"/>
        <w:numPr>
          <w:ilvl w:val="0"/>
          <w:numId w:val="1"/>
        </w:numPr>
        <w:spacing w:after="0"/>
        <w:jc w:val="left"/>
      </w:pPr>
      <w:r>
        <w:t>Egyes mezőkhöz nem tartoznak képernyőolvasókkal vagy hasonló támogató-segítő technológiákkal olvasható szövegek.</w:t>
      </w:r>
    </w:p>
    <w:p w14:paraId="2160CF67" w14:textId="1842C882" w:rsidR="00D924E7" w:rsidRPr="00AF1993" w:rsidRDefault="114595CF" w:rsidP="200C443E">
      <w:pPr>
        <w:pStyle w:val="ListParagraph"/>
        <w:widowControl w:val="0"/>
        <w:numPr>
          <w:ilvl w:val="0"/>
          <w:numId w:val="1"/>
        </w:numPr>
        <w:spacing w:after="0"/>
        <w:jc w:val="left"/>
      </w:pPr>
      <w:r>
        <w:t>Egyes hibaüzenetek nincsenek egyértelműen összekapcsolva űrlap-vezérlőelemekkel.</w:t>
      </w:r>
    </w:p>
    <w:p w14:paraId="1A015EAA" w14:textId="34A2DFAA" w:rsidR="00D924E7" w:rsidRDefault="114595CF" w:rsidP="200C443E">
      <w:pPr>
        <w:pStyle w:val="ListParagraph"/>
        <w:widowControl w:val="0"/>
        <w:numPr>
          <w:ilvl w:val="0"/>
          <w:numId w:val="1"/>
        </w:numPr>
        <w:spacing w:after="0"/>
        <w:jc w:val="left"/>
      </w:pPr>
      <w:r>
        <w:t xml:space="preserve">Egyes dokumentumok PDF formátumban vannak </w:t>
      </w:r>
      <w:proofErr w:type="spellStart"/>
      <w:r>
        <w:t>közzétéve</w:t>
      </w:r>
      <w:proofErr w:type="spellEnd"/>
      <w:r>
        <w:t>, és nem érhetőek el.</w:t>
      </w:r>
    </w:p>
    <w:p w14:paraId="080F47A3" w14:textId="035BC469" w:rsidR="00AC4598" w:rsidRDefault="114595CF" w:rsidP="200C443E">
      <w:pPr>
        <w:pStyle w:val="ListParagraph"/>
        <w:widowControl w:val="0"/>
        <w:numPr>
          <w:ilvl w:val="0"/>
          <w:numId w:val="1"/>
        </w:numPr>
        <w:spacing w:after="0"/>
        <w:jc w:val="left"/>
      </w:pPr>
      <w:r>
        <w:t>Egyes oldalak nincsenek a képernyőolvasókhoz vagy hasonló támogató-segítő technológiákhoz igazítva.</w:t>
      </w:r>
    </w:p>
    <w:p w14:paraId="18FF54C3" w14:textId="2C0A54B5" w:rsidR="00AC4598" w:rsidRDefault="114595CF" w:rsidP="200C443E">
      <w:pPr>
        <w:pStyle w:val="ListParagraph"/>
        <w:widowControl w:val="0"/>
        <w:numPr>
          <w:ilvl w:val="0"/>
          <w:numId w:val="1"/>
        </w:numPr>
        <w:spacing w:after="0"/>
        <w:jc w:val="left"/>
      </w:pPr>
      <w:r>
        <w:lastRenderedPageBreak/>
        <w:t>Egyes címsorok felépítése nem felel meg a támogató-segítő technológiáknak.</w:t>
      </w:r>
    </w:p>
    <w:p w14:paraId="2AE23792" w14:textId="6B0D5125" w:rsidR="00896DC0" w:rsidRDefault="407DE4EE" w:rsidP="200C443E">
      <w:pPr>
        <w:pStyle w:val="ListParagraph"/>
        <w:widowControl w:val="0"/>
        <w:numPr>
          <w:ilvl w:val="0"/>
          <w:numId w:val="1"/>
        </w:numPr>
        <w:spacing w:after="0"/>
        <w:jc w:val="left"/>
      </w:pPr>
      <w:r>
        <w:t>Egyes oldalak elemeihez (táblázatok, oldalsó menüpontok stb.) nem lehet hozzáférni.</w:t>
      </w:r>
    </w:p>
    <w:p w14:paraId="6CF69CF9" w14:textId="1E9D0B6C" w:rsidR="00896DC0" w:rsidRDefault="407DE4EE">
      <w:pPr>
        <w:pStyle w:val="ListParagraph"/>
        <w:widowControl w:val="0"/>
        <w:numPr>
          <w:ilvl w:val="0"/>
          <w:numId w:val="1"/>
        </w:numPr>
        <w:spacing w:after="0"/>
        <w:jc w:val="left"/>
      </w:pPr>
      <w:r>
        <w:t>Egyes URL-ek elérési útvonala nem érthető/helytelen.</w:t>
      </w:r>
    </w:p>
    <w:p w14:paraId="427C5223" w14:textId="1EB5E7DE" w:rsidR="00BE0E7F" w:rsidRDefault="0803AE8C" w:rsidP="200C443E">
      <w:pPr>
        <w:pStyle w:val="ListParagraph"/>
        <w:widowControl w:val="0"/>
        <w:numPr>
          <w:ilvl w:val="0"/>
          <w:numId w:val="1"/>
        </w:numPr>
        <w:spacing w:after="0"/>
        <w:jc w:val="left"/>
      </w:pPr>
      <w:r>
        <w:t>Egyes elemek nincsenek teljes mértékben a mobil akadálymentesítéshez igazítva.</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1BA2" w14:textId="77777777" w:rsidR="00F05FDF" w:rsidRDefault="00F05FDF">
      <w:pPr>
        <w:spacing w:after="0"/>
      </w:pPr>
      <w:r>
        <w:separator/>
      </w:r>
    </w:p>
  </w:endnote>
  <w:endnote w:type="continuationSeparator" w:id="0">
    <w:p w14:paraId="436FF713" w14:textId="77777777" w:rsidR="00F05FDF" w:rsidRDefault="00F05FDF">
      <w:pPr>
        <w:spacing w:after="0"/>
      </w:pPr>
      <w:r>
        <w:continuationSeparator/>
      </w:r>
    </w:p>
  </w:endnote>
  <w:endnote w:type="continuationNotice" w:id="1">
    <w:p w14:paraId="275C5CEA" w14:textId="77777777" w:rsidR="00F05FDF" w:rsidRDefault="00F05F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Content>
      <w:sdt>
        <w:sdtPr>
          <w:id w:val="1728636285"/>
          <w:docPartObj>
            <w:docPartGallery w:val="Page Numbers (Top of Page)"/>
            <w:docPartUnique/>
          </w:docPartObj>
        </w:sdtPr>
        <w:sdtContent>
          <w:p w14:paraId="2562748B" w14:textId="75C97816" w:rsidR="00EC7351" w:rsidRDefault="00EC7351">
            <w:pPr>
              <w:pStyle w:val="Footer"/>
              <w:jc w:val="center"/>
            </w:pPr>
            <w:r>
              <w:rPr>
                <w:b/>
                <w:color w:val="2B579A"/>
                <w:sz w:val="24"/>
                <w:shd w:val="clear" w:color="auto" w:fill="E6E6E6"/>
              </w:rPr>
              <w:fldChar w:fldCharType="begin"/>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r>
              <w:t>/</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oldal</w:t>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Content>
      <w:p w14:paraId="297DBCD6" w14:textId="77777777" w:rsidR="00EC7351" w:rsidRDefault="00EC7351">
        <w:pPr>
          <w:pStyle w:val="Footer"/>
          <w:rPr>
            <w:sz w:val="24"/>
          </w:rPr>
        </w:pPr>
      </w:p>
      <w:p w14:paraId="57C21410" w14:textId="77777777" w:rsidR="00EC7351" w:rsidRDefault="00000000">
        <w:pPr>
          <w:pStyle w:val="Footer"/>
        </w:pPr>
        <w:sdt>
          <w:sdtPr>
            <w:id w:val="-1245179179"/>
            <w:dataBinding w:xpath="/Author/Addresses/Address[Id = 'f03b5801-04c9-4931-aa17-c6d6c70bc579']/Footer" w:storeItemID="{EBD4A2BB-D3C2-4E81-B1F9-6FB82AC3CEB9}"/>
            <w:text w:multiLine="1"/>
          </w:sdtPr>
          <w:sdtContent>
            <w:proofErr w:type="spellStart"/>
            <w:r w:rsidR="00954723">
              <w:t>Commission</w:t>
            </w:r>
            <w:proofErr w:type="spellEnd"/>
            <w:r w:rsidR="00954723">
              <w:t xml:space="preserve"> </w:t>
            </w:r>
            <w:proofErr w:type="spellStart"/>
            <w:r w:rsidR="00954723">
              <w:t>européenne</w:t>
            </w:r>
            <w:proofErr w:type="spellEnd"/>
            <w:r w:rsidR="00954723">
              <w:t>/</w:t>
            </w:r>
            <w:proofErr w:type="spellStart"/>
            <w:r w:rsidR="00954723">
              <w:t>Europese</w:t>
            </w:r>
            <w:proofErr w:type="spellEnd"/>
            <w:r w:rsidR="00954723">
              <w:t xml:space="preserve"> </w:t>
            </w:r>
            <w:proofErr w:type="spellStart"/>
            <w:r w:rsidR="00954723">
              <w:t>Commissie</w:t>
            </w:r>
            <w:proofErr w:type="spellEnd"/>
            <w:r w:rsidR="00954723">
              <w:t xml:space="preserve">, 1049 </w:t>
            </w:r>
            <w:proofErr w:type="spellStart"/>
            <w:r w:rsidR="00954723">
              <w:t>Bruxelles</w:t>
            </w:r>
            <w:proofErr w:type="spellEnd"/>
            <w:r w:rsidR="00954723">
              <w:t>/</w:t>
            </w:r>
            <w:proofErr w:type="spellStart"/>
            <w:r w:rsidR="00954723">
              <w:t>Brussel</w:t>
            </w:r>
            <w:proofErr w:type="spellEnd"/>
            <w:r w:rsidR="00954723">
              <w:t>, BELGIQUE/BELGIË - Tel. +32 22991111</w:t>
            </w:r>
          </w:sdtContent>
        </w:sdt>
      </w:p>
      <w:p w14:paraId="4B889E1A" w14:textId="60752502" w:rsidR="00EC7351" w:rsidRDefault="00000000">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rsidR="003F4DC6">
              <w:rPr>
                <w:color w:val="2B579A"/>
                <w:shd w:val="clear" w:color="auto" w:fill="E6E6E6"/>
              </w:rPr>
              <w:t xml:space="preserve">     </w:t>
            </w:r>
          </w:sdtContent>
        </w:sdt>
      </w:p>
      <w:p w14:paraId="532621B0" w14:textId="77777777" w:rsidR="00EC7351" w:rsidRDefault="00000000">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AD0F" w14:textId="77777777" w:rsidR="00F05FDF" w:rsidRDefault="00F05FDF">
      <w:pPr>
        <w:spacing w:after="0"/>
      </w:pPr>
      <w:r>
        <w:separator/>
      </w:r>
    </w:p>
  </w:footnote>
  <w:footnote w:type="continuationSeparator" w:id="0">
    <w:p w14:paraId="08A65840" w14:textId="77777777" w:rsidR="00F05FDF" w:rsidRDefault="00F05FDF">
      <w:pPr>
        <w:spacing w:after="0"/>
      </w:pPr>
      <w:r>
        <w:continuationSeparator/>
      </w:r>
    </w:p>
  </w:footnote>
  <w:footnote w:type="continuationNotice" w:id="1">
    <w:p w14:paraId="012CFE21" w14:textId="77777777" w:rsidR="00F05FDF" w:rsidRDefault="00F05F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3FA897C6"/>
    <w:lvl w:ilvl="0" w:tplc="2F16C6A6">
      <w:start w:val="1"/>
      <w:numFmt w:val="bullet"/>
      <w:lvlText w:val=""/>
      <w:lvlJc w:val="left"/>
      <w:pPr>
        <w:ind w:left="1202" w:hanging="360"/>
      </w:pPr>
      <w:rPr>
        <w:rFonts w:ascii="Symbol" w:hAnsi="Symbol" w:hint="default"/>
        <w:color w:val="auto"/>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0" w:nlCheck="1" w:checkStyle="0"/>
  <w:activeWritingStyle w:appName="MSWord" w:lang="fr-BE" w:vendorID="64" w:dllVersion="0" w:nlCheck="1" w:checkStyle="0"/>
  <w:activeWritingStyle w:appName="MSWord" w:lang="hu-HU"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3F4DC6"/>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05FD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hu-HU"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en/about-europass/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A FOGLALKOZTATÁS, A SZOCIÁLIS ÜGYEK ÉS A TÁRSADALMI BEFOGADÁS FŐIGAZGATÓSÁGA</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„E” Igazgatóság – Munkavállalói mobilitás és nemzetközi ügyek</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„E.1” egység – Munkavállalói mobilitás, állami foglalkoztatási szolgálatok, Európai Munkaügyi Hatóság</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EURÓPAI BIZOTTSÁG</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A2BB-D3C2-4E81-B1F9-6FB82AC3CEB9}">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3</Pages>
  <Words>686</Words>
  <Characters>3911</Characters>
  <Application>Microsoft Office Word</Application>
  <DocSecurity>0</DocSecurity>
  <PresentationFormat>Microsoft Word 14.0</PresentationFormat>
  <Lines>32</Lines>
  <Paragraphs>9</Paragraphs>
  <ScaleCrop>true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VAMOSI Krisztian (DGT)</cp:lastModifiedBy>
  <cp:revision>3</cp:revision>
  <cp:lastPrinted>2021-10-25T20:16:00Z</cp:lastPrinted>
  <dcterms:created xsi:type="dcterms:W3CDTF">2024-01-09T14:21:00Z</dcterms:created>
  <dcterms:modified xsi:type="dcterms:W3CDTF">2024-01-16T14:21:00Z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