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Ta preglednica vsebuje logotip Evropske komisije v levem stolpcu in podatke o organizacijskem subjektu podpisnika ali avtorja v desnem stolpcu."/>
      </w:tblPr>
      <w:tblGrid>
        <w:gridCol w:w="2400"/>
        <w:gridCol w:w="7080"/>
      </w:tblGrid>
      <w:sdt>
        <w:sdtPr>
          <w:rPr>
            <w:sz w:val="16"/>
          </w:rPr>
          <w:alias w:val="Glava EK – standardna"/>
          <w:tag w:val="A4pCgmOjXaoPaysOY21Ij7-5QkCVxYFQ4ANGFaoRKN4I2"/>
          <w:id w:val="239147838"/>
        </w:sdtPr>
        <w:sdtEnd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color w:val="2B579A"/>
                    <w:shd w:val="clear" w:color="auto" w:fill="E6E6E6"/>
                  </w:rPr>
                  <w:drawing>
                    <wp:inline distT="0" distB="0" distL="0" distR="0" wp14:anchorId="528B0FAA" wp14:editId="3BE4CA6B">
                      <wp:extent cx="1371600" cy="676800"/>
                      <wp:effectExtent l="0" t="0" r="0" b="0"/>
                      <wp:docPr id="1" name="Picture 1" descr="Logotip Evropske komisije, 12 rumenih zvezd na modri podlagi, razporejenih v krogu, ki jih obdajata dva svetlosiva grafična elementa, ki predstavljata stavbo Berlaymont, sedež Evropske komis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954723">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t xml:space="preserve">EVROPSKA KOMISIJA</w:t>
                    </w:r>
                  </w:sdtContent>
                </w:sdt>
              </w:p>
              <w:p w14:paraId="2074A464" w14:textId="39B41681" w:rsidR="00FE373C" w:rsidRPr="007F14FC" w:rsidRDefault="00954723">
                <w:pPr>
                  <w:pStyle w:val="ZDGName"/>
                  <w:rPr>
                    <w:caps/>
                  </w:rPr>
                </w:pPr>
                <w:sdt>
                  <w:sdtPr>
                    <w:rPr>
                      <w:caps/>
                      <w:color w:val="2B579A"/>
                      <w:shd w:val="clear" w:color="auto" w:fill="E6E6E6"/>
                    </w:rPr>
                    <w:id w:val="-2119517576"/>
                    <w:dataBinding w:xpath="/Author/OrgaEntity1/HeadLine1" w:storeItemID="{EBD4A2BB-D3C2-4E81-B1F9-6FB82AC3CEB9}"/>
                    <w:text w:multiLine="1"/>
                  </w:sdtPr>
                  <w:sdtEndPr/>
                  <w:sdtContent>
                    <w:r>
                      <w:rPr>
                        <w:caps/>
                      </w:rPr>
                      <w:t xml:space="preserve">GENERALNI DIREKTORAT za zaposlovanje, socialne zadeve in vključevanje</w:t>
                    </w:r>
                  </w:sdtContent>
                </w:sdt>
              </w:p>
              <w:p w14:paraId="35D34AB3" w14:textId="77777777" w:rsidR="00FE373C" w:rsidRPr="007F14FC" w:rsidRDefault="00FE373C">
                <w:pPr>
                  <w:pStyle w:val="ZDGName"/>
                </w:pPr>
              </w:p>
              <w:p w14:paraId="05E57B9D" w14:textId="4CD0133A" w:rsidR="00FE373C" w:rsidRPr="007F14FC" w:rsidRDefault="00954723">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t xml:space="preserve">Direktorat E – Mobilnost delovne sile in mednarodne zadeve</w:t>
                    </w:r>
                  </w:sdtContent>
                </w:sdt>
              </w:p>
              <w:p w14:paraId="4FC3ED8E" w14:textId="657E7308" w:rsidR="00FE373C" w:rsidRPr="007F14FC" w:rsidRDefault="00954723" w:rsidP="00225512">
                <w:pPr>
                  <w:pStyle w:val="ZDGName"/>
                  <w:rPr>
                    <w:b/>
                  </w:rPr>
                </w:pPr>
                <w:sdt>
                  <w:sdtPr>
                    <w:rPr>
                      <w:b/>
                      <w:color w:val="2B579A"/>
                      <w:shd w:val="clear" w:color="auto" w:fill="E6E6E6"/>
                    </w:rPr>
                    <w:id w:val="-835295840"/>
                    <w:dataBinding w:xpath="/Author/OrgaEntity3/HeadLine1" w:storeItemID="{EBD4A2BB-D3C2-4E81-B1F9-6FB82AC3CEB9}"/>
                    <w:text w:multiLine="1"/>
                  </w:sdtPr>
                  <w:sdtEndPr/>
                  <w:sdtContent>
                    <w:r>
                      <w:rPr>
                        <w:b/>
                      </w:rPr>
                      <w:t xml:space="preserve">Enota E1 – Mobilnost delovne sile, javne službe za zaposlovanje, Evropski organ za delo (ELA)</w:t>
                    </w:r>
                  </w:sdtContent>
                </w:sdt>
              </w:p>
            </w:tc>
          </w:tr>
        </w:sdtContent>
      </w:sdt>
    </w:tbl>
    <w:p w14:paraId="40810E1C" w14:textId="615BFA28" w:rsidR="007F14FC" w:rsidRPr="00B95F32" w:rsidRDefault="007F14FC" w:rsidP="001F4C2B">
      <w:pPr>
        <w:pStyle w:val="Heading2"/>
      </w:pPr>
      <w:r>
        <w:t xml:space="preserve">Izjava o dostopnosti za Europass</w:t>
      </w:r>
    </w:p>
    <w:p w14:paraId="4078DA32" w14:textId="740123A6" w:rsidR="007F14FC" w:rsidRPr="007F14FC" w:rsidRDefault="35E89FFF" w:rsidP="007F14FC">
      <w:pPr>
        <w:pStyle w:val="Text1"/>
        <w:ind w:left="0"/>
      </w:pPr>
      <w:r>
        <w:t xml:space="preserve">Ta izjava se uporablja za vsebine, objavljene na domeni</w:t>
      </w:r>
      <w:r>
        <w:t xml:space="preserve"> </w:t>
      </w:r>
      <w:hyperlink r:id="rId12">
        <w:r>
          <w:rPr>
            <w:rStyle w:val="Hyperlink"/>
          </w:rPr>
          <w:t xml:space="preserve">https://europa.eu/europass</w:t>
        </w:r>
      </w:hyperlink>
      <w:r>
        <w:t xml:space="preserve"> in vseh njenih poddomenah.</w:t>
      </w:r>
      <w:r>
        <w:t xml:space="preserve"> </w:t>
      </w:r>
    </w:p>
    <w:p w14:paraId="54D3743B" w14:textId="6748B4D5" w:rsidR="007F14FC" w:rsidRPr="007F14FC" w:rsidRDefault="35E89FFF" w:rsidP="007F14FC">
      <w:pPr>
        <w:pStyle w:val="Text1"/>
        <w:ind w:left="0"/>
      </w:pPr>
      <w:r>
        <w:t xml:space="preserve">To spletišče upravlja GD EMPL, enota E1.</w:t>
      </w:r>
      <w:r>
        <w:t xml:space="preserve"> </w:t>
      </w:r>
      <w:r>
        <w:t xml:space="preserve">Zasnovano je tako, da ga lahko uporablja kar največje število ljudi, tudi invalidi.</w:t>
      </w:r>
    </w:p>
    <w:p w14:paraId="4F1ECE61" w14:textId="77777777" w:rsidR="00E35A7A" w:rsidRPr="007F14FC" w:rsidRDefault="00E35A7A" w:rsidP="00E35A7A">
      <w:r>
        <w:t xml:space="preserve">Vsem uporabnikom mora biti omogočeno:</w:t>
      </w:r>
    </w:p>
    <w:p w14:paraId="1F89F2F7" w14:textId="14FAC846" w:rsidR="00225512" w:rsidRPr="00AF1993" w:rsidRDefault="00AC4598" w:rsidP="009D007D">
      <w:pPr>
        <w:pStyle w:val="ListParagraph"/>
        <w:numPr>
          <w:ilvl w:val="0"/>
          <w:numId w:val="38"/>
        </w:numPr>
      </w:pPr>
      <w:r>
        <w:t xml:space="preserve">povečevanje do 200 % brez težav,</w:t>
      </w:r>
    </w:p>
    <w:p w14:paraId="0A3AB54A" w14:textId="77777777" w:rsidR="00225512" w:rsidRPr="00AF1993" w:rsidRDefault="00225512" w:rsidP="00225512">
      <w:pPr>
        <w:pStyle w:val="ListParagraph"/>
        <w:numPr>
          <w:ilvl w:val="0"/>
          <w:numId w:val="38"/>
        </w:numPr>
      </w:pPr>
      <w:r>
        <w:t xml:space="preserve">navigacija po večini spletišča zgolj z uporabo tipkovnice,</w:t>
      </w:r>
    </w:p>
    <w:p w14:paraId="520AE6B3" w14:textId="105D7D13" w:rsidR="000126E5" w:rsidRPr="00AF1993" w:rsidRDefault="00225512" w:rsidP="009D007D">
      <w:pPr>
        <w:pStyle w:val="ListParagraph"/>
        <w:numPr>
          <w:ilvl w:val="0"/>
          <w:numId w:val="33"/>
        </w:numPr>
      </w:pPr>
      <w:r>
        <w:t xml:space="preserve">navigacija po večini spletišča z uporabo sodobnega bralnika zaslona in programske opreme za prepoznavanje govora (na računalniku ali telefonu).</w:t>
      </w:r>
      <w:r>
        <w:t xml:space="preserve"> </w:t>
      </w:r>
    </w:p>
    <w:p w14:paraId="1A4510C6" w14:textId="3A06EEAA" w:rsidR="00E35A7A" w:rsidRPr="007F14FC" w:rsidRDefault="00E35A7A" w:rsidP="000126E5">
      <w:r>
        <w:t xml:space="preserve">To spletišče je zasnovano v skladu s </w:t>
      </w:r>
      <w:hyperlink r:id="rId13">
        <w:r>
          <w:rPr>
            <w:color w:val="0563C1" w:themeColor="hyperlink"/>
            <w:u w:val="single"/>
          </w:rPr>
          <w:t xml:space="preserve">tehničnim standardom za spletišča in mobilne aplikacije EN 301 549 v.3.2.1</w:t>
        </w:r>
      </w:hyperlink>
      <w:r>
        <w:t xml:space="preserve">.</w:t>
      </w:r>
      <w:r>
        <w:t xml:space="preserve"> </w:t>
      </w:r>
      <w:r>
        <w:t xml:space="preserve">To v veliki meri ustreza ravni „AA“ iz </w:t>
      </w:r>
      <w:hyperlink r:id="rId14">
        <w:r>
          <w:rPr>
            <w:color w:val="0563C1" w:themeColor="hyperlink"/>
            <w:u w:val="single"/>
          </w:rPr>
          <w:t xml:space="preserve">smernic za dostopnost spletnih vsebin (WCAG), različica 2.1</w:t>
        </w:r>
      </w:hyperlink>
      <w:r>
        <w:t xml:space="preserve">.</w:t>
      </w:r>
    </w:p>
    <w:p w14:paraId="66A12D4E" w14:textId="77777777" w:rsidR="00E35A7A" w:rsidRPr="00E35A7A" w:rsidRDefault="00E35A7A" w:rsidP="00E35A7A">
      <w:pPr>
        <w:keepNext/>
        <w:spacing w:after="0"/>
        <w:jc w:val="left"/>
        <w:outlineLvl w:val="1"/>
        <w:rPr>
          <w:b/>
        </w:rPr>
      </w:pPr>
      <w:r>
        <w:rPr>
          <w:b/>
        </w:rPr>
        <w:t xml:space="preserve">Skladnost s standardi</w:t>
      </w:r>
      <w:r>
        <w:rPr>
          <w:b/>
        </w:rPr>
        <w:br/>
      </w:r>
    </w:p>
    <w:p w14:paraId="66C3D011" w14:textId="6AC3AC33" w:rsidR="00225512" w:rsidRPr="00E84E56" w:rsidRDefault="0AC43EA8" w:rsidP="00225512">
      <w:r>
        <w:t xml:space="preserve">To spletišče je delno </w:t>
      </w:r>
      <w:r>
        <w:rPr>
          <w:b/>
        </w:rPr>
        <w:t xml:space="preserve">skladno</w:t>
      </w:r>
      <w:r>
        <w:t xml:space="preserve"> s </w:t>
      </w:r>
      <w:hyperlink r:id="rId15">
        <w:r>
          <w:rPr>
            <w:rStyle w:val="Hyperlink"/>
          </w:rPr>
          <w:t xml:space="preserve">tehničnim standardom EN 301 549 v.3.2.1</w:t>
        </w:r>
      </w:hyperlink>
      <w:r>
        <w:t xml:space="preserve"> in </w:t>
      </w:r>
      <w:hyperlink r:id="rId16">
        <w:r>
          <w:rPr>
            <w:rStyle w:val="Hyperlink"/>
          </w:rPr>
          <w:t xml:space="preserve">ravnjo „AA“ smernic za dostopnost spletnih vsebin (WCAG) 2.1</w:t>
        </w:r>
      </w:hyperlink>
      <w:r>
        <w:t xml:space="preserve">.</w:t>
      </w:r>
      <w:r>
        <w:t xml:space="preserve"> </w:t>
      </w:r>
      <w:r>
        <w:t xml:space="preserve">Za več podrobnosti glej razdelek „</w:t>
      </w:r>
      <w:hyperlink w:anchor="_Non-accessible_content">
        <w:r>
          <w:rPr>
            <w:rStyle w:val="Hyperlink"/>
          </w:rPr>
          <w:t xml:space="preserve">Nedostopna vsebina</w:t>
        </w:r>
      </w:hyperlink>
      <w:r>
        <w:t xml:space="preserve">“.</w:t>
      </w:r>
    </w:p>
    <w:p w14:paraId="4146F897" w14:textId="0C4BE212" w:rsidR="00E35A7A" w:rsidRPr="007F14FC" w:rsidRDefault="00E35A7A" w:rsidP="00E35A7A">
      <w:r>
        <w:t xml:space="preserve">Spletišče je bilo nazadnje preizkušeno aprila 2023.</w:t>
      </w:r>
    </w:p>
    <w:p w14:paraId="5ABBA2F4" w14:textId="77777777" w:rsidR="00E35A7A" w:rsidRPr="00E35A7A" w:rsidRDefault="00E35A7A" w:rsidP="00E35A7A">
      <w:pPr>
        <w:keepNext/>
        <w:spacing w:after="0"/>
        <w:jc w:val="left"/>
        <w:outlineLvl w:val="1"/>
        <w:rPr>
          <w:b/>
        </w:rPr>
      </w:pPr>
      <w:r>
        <w:rPr>
          <w:b/>
        </w:rPr>
        <w:t xml:space="preserve">Priprava izjave</w:t>
      </w:r>
    </w:p>
    <w:p w14:paraId="6B674C45" w14:textId="4612CB79" w:rsidR="00E35A7A" w:rsidRDefault="00E35A7A" w:rsidP="00E35A7A">
      <w:r>
        <w:br/>
      </w:r>
      <w:r>
        <w:t xml:space="preserve">Izjava je bila pregledana 15. decembra 2023.</w:t>
      </w:r>
    </w:p>
    <w:p w14:paraId="2918FEE8" w14:textId="77777777" w:rsidR="00E35A7A" w:rsidRPr="00E35A7A" w:rsidRDefault="00E35A7A" w:rsidP="00E35A7A">
      <w:pPr>
        <w:keepNext/>
        <w:spacing w:after="0"/>
        <w:jc w:val="left"/>
        <w:outlineLvl w:val="1"/>
        <w:rPr>
          <w:b/>
        </w:rPr>
      </w:pPr>
      <w:r>
        <w:rPr>
          <w:b/>
        </w:rPr>
        <w:t xml:space="preserve">Povratne informacije</w:t>
      </w:r>
    </w:p>
    <w:p w14:paraId="3EF7E625" w14:textId="563019B3" w:rsidR="00E35A7A" w:rsidRPr="007F14FC" w:rsidRDefault="00E35A7A" w:rsidP="00E35A7A">
      <w:r>
        <w:br/>
      </w:r>
      <w:r>
        <w:t xml:space="preserve">Veseli bomo vaših povratnih informacij o dostopnosti spletišča Europass.</w:t>
      </w:r>
      <w:r>
        <w:t xml:space="preserve"> </w:t>
      </w:r>
      <w:r>
        <w:t xml:space="preserve">Prosimo vas, da nam sporočite, </w:t>
      </w:r>
      <w:r>
        <w:t xml:space="preserve">če naletite na ovire za dostopnost</w:t>
      </w:r>
      <w:r>
        <w:t xml:space="preserve">:</w:t>
      </w:r>
    </w:p>
    <w:p w14:paraId="4744E771" w14:textId="5A871DF4" w:rsidR="00E35A7A" w:rsidRPr="00EC59D7" w:rsidRDefault="00225512" w:rsidP="009D007D">
      <w:pPr>
        <w:numPr>
          <w:ilvl w:val="0"/>
          <w:numId w:val="23"/>
        </w:numPr>
        <w:ind w:left="720"/>
      </w:pPr>
      <w:r>
        <w:t xml:space="preserve">Na telefonski številki</w:t>
      </w:r>
      <w:r>
        <w:t xml:space="preserve"> </w:t>
      </w:r>
      <w:r>
        <w:rPr>
          <w:b/>
        </w:rPr>
        <w:t xml:space="preserve">00 800 6 7 8 9 10 11</w:t>
      </w:r>
      <w:r>
        <w:t xml:space="preserve"> lahko med tednom od 9.00 do 18.00 po srednjeevropskem času stopite v stik z nami od koder koli v EU in v katerem koli jeziku EU* (klic je brezplačen).</w:t>
      </w:r>
      <w:r>
        <w:t xml:space="preserve"> </w:t>
      </w:r>
    </w:p>
    <w:p w14:paraId="6EAA89C5" w14:textId="3B41C853" w:rsidR="00EC59D7" w:rsidRPr="00EC59D7" w:rsidRDefault="00E35A7A" w:rsidP="5AC6E6F2">
      <w:pPr>
        <w:numPr>
          <w:ilvl w:val="0"/>
          <w:numId w:val="23"/>
        </w:numPr>
        <w:ind w:left="720"/>
        <w:rPr>
          <w:rStyle w:val="Hyperlink"/>
        </w:rPr>
      </w:pPr>
      <w:r>
        <w:t xml:space="preserve">Obrazec za povratne informacije:</w:t>
      </w:r>
      <w:r>
        <w:t xml:space="preserve"> </w:t>
      </w:r>
      <w:r>
        <w:t xml:space="preserve">pišite nam prek </w:t>
      </w:r>
      <w:hyperlink r:id="rId17">
        <w:r>
          <w:rPr>
            <w:rStyle w:val="Hyperlink"/>
          </w:rPr>
          <w:t xml:space="preserve">kontaktnega obrazca Europass</w:t>
        </w:r>
      </w:hyperlink>
      <w:r>
        <w:t xml:space="preserve">.</w:t>
      </w:r>
    </w:p>
    <w:p w14:paraId="73D4BBF7" w14:textId="5F54F931" w:rsidR="00E35A7A" w:rsidRDefault="00E35A7A" w:rsidP="00EC59D7">
      <w:r>
        <w:t xml:space="preserve">Pristojne službe Komisije si prizadevajo odgovoriti na povratne informacije v 15 delovnih dneh od datuma prejema.</w:t>
      </w:r>
    </w:p>
    <w:p w14:paraId="433BF82E" w14:textId="77777777" w:rsidR="00EC7351" w:rsidRPr="00EC7351" w:rsidRDefault="00EC7351" w:rsidP="00EC7351">
      <w:pPr>
        <w:keepNext/>
        <w:spacing w:after="0"/>
        <w:jc w:val="left"/>
        <w:outlineLvl w:val="1"/>
        <w:rPr>
          <w:b/>
        </w:rPr>
      </w:pPr>
      <w:r>
        <w:rPr>
          <w:b/>
        </w:rPr>
        <w:t xml:space="preserve">Združljivost z brskalniki in podporno tehnologijo</w:t>
      </w:r>
    </w:p>
    <w:p w14:paraId="6EACC384" w14:textId="0AEFAC39" w:rsidR="00EC7351" w:rsidRPr="007F14FC" w:rsidRDefault="00EC7351" w:rsidP="00EC7351">
      <w:pPr>
        <w:jc w:val="left"/>
      </w:pPr>
      <w:r>
        <w:br/>
      </w:r>
      <w:r>
        <w:t xml:space="preserve">Spletišče Europass je zasnovano tako, da je združljivo z naslednjimi najpogosteje uporabljenimi podpornimi tehnologijami:</w:t>
      </w:r>
    </w:p>
    <w:p w14:paraId="1F6174D7" w14:textId="6B07A09C" w:rsidR="000338C5" w:rsidRPr="0052454F" w:rsidRDefault="5DCDB69A" w:rsidP="35D7FFF2">
      <w:pPr>
        <w:numPr>
          <w:ilvl w:val="0"/>
          <w:numId w:val="34"/>
        </w:numPr>
        <w:spacing w:after="100" w:afterAutospacing="1"/>
        <w:jc w:val="left"/>
      </w:pPr>
      <w:r>
        <w:t xml:space="preserve">najnovejša različica brskalnikov Google Chrome, Mozilla Firefox in Microsoft Edge;</w:t>
      </w:r>
    </w:p>
    <w:p w14:paraId="3239328D" w14:textId="709706EC" w:rsidR="00785A54" w:rsidRDefault="5DCDB69A" w:rsidP="35D7FFF2">
      <w:pPr>
        <w:numPr>
          <w:ilvl w:val="0"/>
          <w:numId w:val="34"/>
        </w:numPr>
        <w:spacing w:before="100" w:beforeAutospacing="1" w:after="100" w:afterAutospacing="1"/>
        <w:jc w:val="left"/>
      </w:pPr>
      <w:r>
        <w:t xml:space="preserve"> </w:t>
      </w:r>
      <w:r>
        <w:t xml:space="preserve">v kombinaciji z najnovejšimi različicami podpornih tehnologij.</w:t>
      </w:r>
      <w:r>
        <w:t xml:space="preserve">  </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 xml:space="preserve">Tehnične specifikacije</w:t>
      </w:r>
    </w:p>
    <w:p w14:paraId="56C786BB" w14:textId="77777777" w:rsidR="005A7954" w:rsidRDefault="005A7954" w:rsidP="00EC7351"/>
    <w:p w14:paraId="424F62F5" w14:textId="42F9DF13" w:rsidR="00EC7351" w:rsidRPr="007F14FC" w:rsidRDefault="00EC7351" w:rsidP="00EC7351">
      <w:r>
        <w:t xml:space="preserve">Spletišče Europass temelji na naslednjih tehnologijah, ki omogočajo delovanje funkcij za dostopnost s specifično kombinacijo spletnega brskalnika in morebitnih podpornih tehnologij ali vtičnikov, nameščenih na vašem računalniku:</w:t>
      </w:r>
    </w:p>
    <w:p w14:paraId="7A942931" w14:textId="77777777" w:rsidR="00EC7351" w:rsidRPr="007F14FC" w:rsidRDefault="00EC7351" w:rsidP="00EC7351">
      <w:pPr>
        <w:numPr>
          <w:ilvl w:val="0"/>
          <w:numId w:val="26"/>
        </w:numPr>
        <w:spacing w:after="0"/>
        <w:ind w:left="1077" w:hanging="357"/>
      </w:pPr>
      <w:r>
        <w:t xml:space="preserve">HTML</w:t>
      </w:r>
    </w:p>
    <w:p w14:paraId="20FD34FD" w14:textId="77777777" w:rsidR="00EC7351" w:rsidRPr="007F14FC" w:rsidRDefault="00EC7351" w:rsidP="00EC7351">
      <w:pPr>
        <w:numPr>
          <w:ilvl w:val="0"/>
          <w:numId w:val="26"/>
        </w:numPr>
        <w:spacing w:after="0"/>
        <w:ind w:left="1077" w:hanging="357"/>
      </w:pPr>
      <w:r>
        <w:t xml:space="preserve">WAI-ARIA</w:t>
      </w:r>
    </w:p>
    <w:p w14:paraId="2CE68EE0" w14:textId="77777777" w:rsidR="00EC7351" w:rsidRPr="007F14FC" w:rsidRDefault="00EC7351" w:rsidP="00EC7351">
      <w:pPr>
        <w:numPr>
          <w:ilvl w:val="0"/>
          <w:numId w:val="26"/>
        </w:numPr>
        <w:spacing w:after="0"/>
        <w:ind w:left="1077" w:hanging="357"/>
      </w:pPr>
      <w:r>
        <w:t xml:space="preserve">CSS</w:t>
      </w:r>
    </w:p>
    <w:p w14:paraId="2403ED5C" w14:textId="77777777" w:rsidR="00EC7351" w:rsidRPr="007F14FC" w:rsidRDefault="00EC7351" w:rsidP="00EC7351">
      <w:pPr>
        <w:numPr>
          <w:ilvl w:val="0"/>
          <w:numId w:val="26"/>
        </w:numPr>
        <w:spacing w:after="0"/>
        <w:ind w:left="1077" w:hanging="357"/>
      </w:pPr>
      <w:r>
        <w:t xml:space="preserve">JavaScript</w:t>
      </w:r>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 xml:space="preserve">Nedostopna vsebina</w:t>
      </w:r>
    </w:p>
    <w:p w14:paraId="65E180EF" w14:textId="5B05AFB9" w:rsidR="00EC7351" w:rsidRDefault="755E7800" w:rsidP="5AC6E6F2">
      <w:pPr>
        <w:spacing w:before="180" w:line="276" w:lineRule="auto"/>
      </w:pPr>
      <w:r>
        <w:t xml:space="preserve">Prizadevamo si zagotoviti dostopnost spletišča Europass in znane omejitve dejavno odpravljamo.</w:t>
      </w:r>
      <w:r>
        <w:t xml:space="preserve"> </w:t>
      </w:r>
      <w:r>
        <w:t xml:space="preserve">Zahvaljujemo se vam za razumevanje in potrpežljivost, medtem ko rešujemo ta vprašanja.</w:t>
      </w:r>
      <w:r>
        <w:t xml:space="preserve"> </w:t>
      </w:r>
      <w:r>
        <w:t xml:space="preserve">Prosimo, da nam sporočite, če naletite na težavo z dostopnostjo, ki ni navedena v nadaljevanju.</w:t>
      </w:r>
    </w:p>
    <w:p w14:paraId="7912D527" w14:textId="3097ED04" w:rsidR="697DA1A5" w:rsidRDefault="160C0568" w:rsidP="200C443E">
      <w:pPr>
        <w:widowControl w:val="0"/>
        <w:spacing w:before="180" w:after="0" w:line="276" w:lineRule="auto"/>
      </w:pPr>
      <w:r>
        <w:rPr>
          <w:b/>
        </w:rPr>
        <w:t xml:space="preserve"> </w:t>
      </w:r>
      <w:r>
        <w:rPr>
          <w:b/>
        </w:rPr>
        <w:t xml:space="preserve">Znane omejitve</w:t>
      </w:r>
      <w:r>
        <w:t xml:space="preserve"> (odprava načrtovana do konca leta 2024):</w:t>
      </w:r>
      <w:r>
        <w:t xml:space="preserve"> </w:t>
      </w:r>
    </w:p>
    <w:p w14:paraId="7767E01C" w14:textId="485029F8" w:rsidR="697DA1A5" w:rsidRDefault="31F81F0C" w:rsidP="200C443E">
      <w:pPr>
        <w:pStyle w:val="ListParagraph"/>
        <w:widowControl w:val="0"/>
        <w:numPr>
          <w:ilvl w:val="0"/>
          <w:numId w:val="1"/>
        </w:numPr>
        <w:spacing w:before="180" w:after="0" w:line="276" w:lineRule="auto"/>
      </w:pPr>
      <w:r>
        <w:t xml:space="preserve">Nekatere strani imajo morda slab barvni kontrast.</w:t>
      </w:r>
    </w:p>
    <w:p w14:paraId="02014850" w14:textId="3C6B2681" w:rsidR="00F1088A" w:rsidRPr="00AF1993" w:rsidRDefault="114595CF" w:rsidP="200C443E">
      <w:pPr>
        <w:pStyle w:val="ListParagraph"/>
        <w:widowControl w:val="0"/>
        <w:numPr>
          <w:ilvl w:val="0"/>
          <w:numId w:val="1"/>
        </w:numPr>
        <w:spacing w:after="0"/>
        <w:jc w:val="left"/>
      </w:pPr>
      <w:r>
        <w:t xml:space="preserve">Za uporabnike, ki uporabljajo samo tipkovnico, nekatere funkcije niso dostopne ali imajo omejeno dostopnost (slabo viden fokus).</w:t>
      </w:r>
    </w:p>
    <w:p w14:paraId="53F04822" w14:textId="5AF5DBE1" w:rsidR="00D924E7" w:rsidRDefault="114595CF" w:rsidP="200C443E">
      <w:pPr>
        <w:pStyle w:val="ListParagraph"/>
        <w:widowControl w:val="0"/>
        <w:numPr>
          <w:ilvl w:val="0"/>
          <w:numId w:val="1"/>
        </w:numPr>
        <w:spacing w:after="0"/>
        <w:jc w:val="left"/>
      </w:pPr>
      <w:r>
        <w:t xml:space="preserve">Večina vizualnega gradiva nima besedilnih opisov v ustreznem jeziku.</w:t>
      </w:r>
    </w:p>
    <w:p w14:paraId="35CC691A" w14:textId="24189EB3" w:rsidR="00EC59D7" w:rsidRPr="00AF1993" w:rsidRDefault="350041B7" w:rsidP="200C443E">
      <w:pPr>
        <w:pStyle w:val="ListParagraph"/>
        <w:widowControl w:val="0"/>
        <w:numPr>
          <w:ilvl w:val="0"/>
          <w:numId w:val="1"/>
        </w:numPr>
        <w:spacing w:after="0"/>
        <w:jc w:val="left"/>
      </w:pPr>
      <w:r>
        <w:t xml:space="preserve">Nekatera polja nimajo oznak za bralnike zaslona ali podobne podporne tehnologije.</w:t>
      </w:r>
    </w:p>
    <w:p w14:paraId="2160CF67" w14:textId="1842C882" w:rsidR="00D924E7" w:rsidRPr="00AF1993" w:rsidRDefault="114595CF" w:rsidP="200C443E">
      <w:pPr>
        <w:pStyle w:val="ListParagraph"/>
        <w:widowControl w:val="0"/>
        <w:numPr>
          <w:ilvl w:val="0"/>
          <w:numId w:val="1"/>
        </w:numPr>
        <w:spacing w:after="0"/>
        <w:jc w:val="left"/>
      </w:pPr>
      <w:r>
        <w:t xml:space="preserve">Nekatera sporočila o napaki niso jasno povezana s kontrolnimi funkcijami obrazca.</w:t>
      </w:r>
    </w:p>
    <w:p w14:paraId="1A015EAA" w14:textId="34A2DFAA" w:rsidR="00D924E7" w:rsidRDefault="114595CF" w:rsidP="200C443E">
      <w:pPr>
        <w:pStyle w:val="ListParagraph"/>
        <w:widowControl w:val="0"/>
        <w:numPr>
          <w:ilvl w:val="0"/>
          <w:numId w:val="1"/>
        </w:numPr>
        <w:spacing w:after="0"/>
        <w:jc w:val="left"/>
      </w:pPr>
      <w:r>
        <w:t xml:space="preserve">Nekateri dokumenti so v formatu PDF in niso dostopni.</w:t>
      </w:r>
    </w:p>
    <w:p w14:paraId="080F47A3" w14:textId="035BC469" w:rsidR="00AC4598" w:rsidRDefault="114595CF" w:rsidP="200C443E">
      <w:pPr>
        <w:pStyle w:val="ListParagraph"/>
        <w:widowControl w:val="0"/>
        <w:numPr>
          <w:ilvl w:val="0"/>
          <w:numId w:val="1"/>
        </w:numPr>
        <w:spacing w:after="0"/>
        <w:jc w:val="left"/>
      </w:pPr>
      <w:r>
        <w:t xml:space="preserve">Nekatere strani niso povsem prilagojene za bralnike zaslona ali podobne podporne tehnologije.</w:t>
      </w:r>
    </w:p>
    <w:p w14:paraId="18FF54C3" w14:textId="2C0A54B5" w:rsidR="00AC4598" w:rsidRDefault="114595CF" w:rsidP="200C443E">
      <w:pPr>
        <w:pStyle w:val="ListParagraph"/>
        <w:widowControl w:val="0"/>
        <w:numPr>
          <w:ilvl w:val="0"/>
          <w:numId w:val="1"/>
        </w:numPr>
        <w:spacing w:after="0"/>
        <w:jc w:val="left"/>
      </w:pPr>
      <w:r>
        <w:t xml:space="preserve">Nekateri naslovi niso pravilno strukturirani za podporne tehnologije.</w:t>
      </w:r>
    </w:p>
    <w:p w14:paraId="2AE23792" w14:textId="6B0D5125" w:rsidR="00896DC0" w:rsidRDefault="407DE4EE" w:rsidP="200C443E">
      <w:pPr>
        <w:pStyle w:val="ListParagraph"/>
        <w:widowControl w:val="0"/>
        <w:numPr>
          <w:ilvl w:val="0"/>
          <w:numId w:val="1"/>
        </w:numPr>
        <w:spacing w:after="0"/>
        <w:jc w:val="left"/>
      </w:pPr>
      <w:r>
        <w:t xml:space="preserve">Nekatere strani vsebujejo vsebinske elemente, kot so tabele in stranski meniji, ki morda niso dostopni.</w:t>
      </w:r>
    </w:p>
    <w:p w14:paraId="6CF69CF9" w14:textId="1E9D0B6C" w:rsidR="00896DC0" w:rsidRDefault="407DE4EE">
      <w:pPr>
        <w:pStyle w:val="ListParagraph"/>
        <w:widowControl w:val="0"/>
        <w:numPr>
          <w:ilvl w:val="0"/>
          <w:numId w:val="1"/>
        </w:numPr>
        <w:spacing w:after="0"/>
        <w:jc w:val="left"/>
      </w:pPr>
      <w:r>
        <w:t xml:space="preserve">Nekateri naslovi URL nimajo razumljivega ali pravilnega imena poti.</w:t>
      </w:r>
    </w:p>
    <w:p w14:paraId="427C5223" w14:textId="1EB5E7DE" w:rsidR="00BE0E7F" w:rsidRDefault="0803AE8C" w:rsidP="200C443E">
      <w:pPr>
        <w:pStyle w:val="ListParagraph"/>
        <w:widowControl w:val="0"/>
        <w:numPr>
          <w:ilvl w:val="0"/>
          <w:numId w:val="1"/>
        </w:numPr>
        <w:spacing w:after="0"/>
        <w:jc w:val="left"/>
      </w:pPr>
      <w:r>
        <w:t xml:space="preserve">Nekateri elementi niso povsem prilagojeni za dostop z mobilnimi napravami.</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20D" w14:textId="77777777" w:rsidR="002007C3" w:rsidRDefault="002007C3">
      <w:pPr>
        <w:spacing w:after="0"/>
      </w:pPr>
      <w:r>
        <w:separator/>
      </w:r>
    </w:p>
  </w:endnote>
  <w:endnote w:type="continuationSeparator" w:id="0">
    <w:p w14:paraId="2D512FD4" w14:textId="77777777" w:rsidR="002007C3" w:rsidRDefault="002007C3">
      <w:pPr>
        <w:spacing w:after="0"/>
      </w:pPr>
      <w:r>
        <w:continuationSeparator/>
      </w:r>
    </w:p>
  </w:endnote>
  <w:endnote w:type="continuationNotice" w:id="1">
    <w:p w14:paraId="2BDB37AD" w14:textId="77777777" w:rsidR="002007C3" w:rsidRDefault="00200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t xml:space="preserve">Stran </w:t>
            </w: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 xml:space="preserve"> od </w:t>
            </w:r>
            <w:r>
              <w:rPr>
                <w:b/>
                <w:color w:val="2B579A"/>
                <w:sz w:val="24"/>
                <w:shd w:val="clear" w:color="auto" w:fill="E6E6E6"/>
              </w:rPr>
              <w:fldChar w:fldCharType="begin" w:dirty="true"/>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Noga EK – standardna "/>
      <w:tag w:val="SVoGAZ38gakDmzcHmLly90-Uz5BECj2qQF70SGAMzDdI0"/>
      <w:id w:val="2043782850"/>
    </w:sdtPr>
    <w:sdtEndPr/>
    <w:sdtContent>
      <w:p w14:paraId="297DBCD6" w14:textId="77777777" w:rsidR="00EC7351" w:rsidRDefault="00EC7351">
        <w:pPr>
          <w:pStyle w:val="Footer"/>
          <w:rPr>
            <w:sz w:val="24"/>
          </w:rPr>
        </w:pPr>
      </w:p>
      <w:p w14:paraId="57C21410" w14:textId="77777777" w:rsidR="00EC7351" w:rsidRDefault="00954723">
        <w:pPr>
          <w:pStyle w:val="Footer"/>
        </w:pPr>
        <w:sdt>
          <w:sdtPr>
            <w:id w:val="-1245179179"/>
            <w:dataBinding w:xpath="/Author/Addresses/Address[Id = 'f03b5801-04c9-4931-aa17-c6d6c70bc579']/Footer" w:storeItemID="{EBD4A2BB-D3C2-4E81-B1F9-6FB82AC3CEB9}"/>
            <w:text w:multiLine="1"/>
          </w:sdtPr>
          <w:sdtEndPr/>
          <w:sdtContent>
            <w:r>
              <w:t xml:space="preserve">Evropska komisija, 1049 Bruselj, BELGIJA. Telefon: +32 22991111.</w:t>
            </w:r>
          </w:sdtContent>
        </w:sdt>
      </w:p>
      <w:p w14:paraId="4B889E1A" w14:textId="5AE6768E" w:rsidR="00EC7351" w:rsidRDefault="00954723">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t xml:space="preserve">     </w:t>
            </w:r>
          </w:sdtContent>
        </w:sdt>
      </w:p>
      <w:p w14:paraId="532621B0" w14:textId="77777777" w:rsidR="00EC7351" w:rsidRDefault="00954723">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A7B1" w14:textId="77777777" w:rsidR="002007C3" w:rsidRDefault="002007C3">
      <w:pPr>
        <w:spacing w:after="0"/>
      </w:pPr>
      <w:r>
        <w:separator/>
      </w:r>
    </w:p>
  </w:footnote>
  <w:footnote w:type="continuationSeparator" w:id="0">
    <w:p w14:paraId="16F4DECF" w14:textId="77777777" w:rsidR="002007C3" w:rsidRDefault="002007C3">
      <w:pPr>
        <w:spacing w:after="0"/>
      </w:pPr>
      <w:r>
        <w:continuationSeparator/>
      </w:r>
    </w:p>
  </w:footnote>
  <w:footnote w:type="continuationNotice" w:id="1">
    <w:p w14:paraId="67C8C149" w14:textId="77777777" w:rsidR="002007C3" w:rsidRDefault="00200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fr-BE" w:vendorID="64" w:dllVersion="0" w:nlCheck="1" w:checkStyle="0"/>
  <w:proofState w:spelling="dirty"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D778F"/>
    <w:rsid w:val="001F2FF0"/>
    <w:rsid w:val="001F4C2B"/>
    <w:rsid w:val="002007C3"/>
    <w:rsid w:val="00225512"/>
    <w:rsid w:val="00257108"/>
    <w:rsid w:val="00274D2A"/>
    <w:rsid w:val="00285FB4"/>
    <w:rsid w:val="002A70B2"/>
    <w:rsid w:val="002D1532"/>
    <w:rsid w:val="00323137"/>
    <w:rsid w:val="00355F82"/>
    <w:rsid w:val="003704D0"/>
    <w:rsid w:val="003741FE"/>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845E4"/>
    <w:rsid w:val="00D924E7"/>
    <w:rsid w:val="00DB16F6"/>
    <w:rsid w:val="00DE7A83"/>
    <w:rsid w:val="00E04480"/>
    <w:rsid w:val="00E06895"/>
    <w:rsid w:val="00E35A7A"/>
    <w:rsid w:val="00E74695"/>
    <w:rsid w:val="00EC388F"/>
    <w:rsid w:val="00EC59D7"/>
    <w:rsid w:val="00EC7351"/>
    <w:rsid w:val="00ED0562"/>
    <w:rsid w:val="00F04C7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sl-SI"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 TargetMode="External"/><Relationship Id="rId17" Type="http://schemas.openxmlformats.org/officeDocument/2006/relationships/hyperlink" Target="https://europa.eu/europass/en/about-europass/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EVROPSKA KOMISIJA</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GENERALNI DIREKTORAT za zaposlovanje, socialne zadeve in vključevanje</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Direktorat E – Mobilnost delovne sile in mednarodne zadeve</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Enota E1 – Mobilnost delovne sile, javne službe za zaposlovanje, Evropski organ za delo (ELA)</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Evropska komisija, 1049 Bruselj, BELGIJA. Telefon: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EBD4A2BB-D3C2-4E81-B1F9-6FB82AC3CEB9}">
  <ds:schemaRefs/>
</ds:datastoreItem>
</file>

<file path=customXml/itemProps3.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2</Pages>
  <Words>599</Words>
  <Characters>3420</Characters>
  <Application>Microsoft Office Word</Application>
  <DocSecurity>0</DocSecurity>
  <PresentationFormat>Microsoft Word 14.0</PresentationFormat>
  <Lines>28</Lines>
  <Paragraphs>8</Paragraphs>
  <ScaleCrop>true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SUNDARA SEGARAN Maxine (EMPL-EXT)</cp:lastModifiedBy>
  <cp:revision>2</cp:revision>
  <cp:lastPrinted>2021-10-25T20:16:00Z</cp:lastPrinted>
  <dcterms:created xsi:type="dcterms:W3CDTF">2024-01-09T14:21:00Z</dcterms:created>
  <dcterms:modified xsi:type="dcterms:W3CDTF">2024-01-09T14:21:00Z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