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9DD" w:rsidRPr="00B10627" w:rsidRDefault="00C8483D" w:rsidP="00E55084">
      <w:pPr>
        <w:jc w:val="center"/>
      </w:pPr>
      <w:bookmarkStart w:id="0" w:name="_GoBack"/>
      <w:bookmarkEnd w:id="0"/>
      <w:r w:rsidRPr="00B10627">
        <w:rPr>
          <w:noProof/>
        </w:rPr>
        <mc:AlternateContent>
          <mc:Choice Requires="wps">
            <w:drawing>
              <wp:anchor distT="0" distB="0" distL="114300" distR="114300" simplePos="0" relativeHeight="251659264" behindDoc="1" locked="0" layoutInCell="0" allowOverlap="1" wp14:anchorId="0DC15682" wp14:editId="4D207924">
                <wp:simplePos x="0" y="0"/>
                <wp:positionH relativeFrom="page">
                  <wp:posOffset>6767830</wp:posOffset>
                </wp:positionH>
                <wp:positionV relativeFrom="page">
                  <wp:posOffset>10079990</wp:posOffset>
                </wp:positionV>
                <wp:extent cx="647700" cy="396240"/>
                <wp:effectExtent l="0" t="0" r="0"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83D" w:rsidRPr="00C8483D" w:rsidRDefault="00C8483D" w:rsidP="00C8483D">
                            <w:pPr>
                              <w:jc w:val="center"/>
                              <w:rPr>
                                <w:rFonts w:ascii="Arial" w:hAnsi="Arial" w:cs="Arial"/>
                                <w:b/>
                                <w:sz w:val="48"/>
                              </w:rPr>
                            </w:pPr>
                            <w:r>
                              <w:rPr>
                                <w:rFonts w:ascii="Arial" w:hAnsi="Arial"/>
                                <w:b/>
                                <w:sz w:val="48"/>
                              </w:rPr>
                              <w:t>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15682"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O4r5X7YC&#10;AAC5BQAADgAAAAAAAAAAAAAAAAAuAgAAZHJzL2Uyb0RvYy54bWxQSwECLQAUAAYACAAAACEAgQOp&#10;fOEAAAAPAQAADwAAAAAAAAAAAAAAAAAQBQAAZHJzL2Rvd25yZXYueG1sUEsFBgAAAAAEAAQA8wAA&#10;AB4GAAAAAA==&#10;" o:allowincell="f" filled="f" stroked="f">
                <v:textbox>
                  <w:txbxContent>
                    <w:p w:rsidR="00C8483D" w:rsidRPr="00C8483D" w:rsidRDefault="00C8483D" w:rsidP="00C8483D">
                      <w:pPr>
                        <w:jc w:val="center"/>
                        <w:rPr>
                          <w:rFonts w:ascii="Arial" w:hAnsi="Arial" w:cs="Arial"/>
                          <w:b/>
                          <w:sz w:val="48"/>
                        </w:rPr>
                      </w:pPr>
                      <w:r>
                        <w:rPr>
                          <w:rFonts w:ascii="Arial" w:hAnsi="Arial"/>
                          <w:b/>
                          <w:sz w:val="48"/>
                        </w:rPr>
                        <w:t>SV</w:t>
                      </w:r>
                    </w:p>
                  </w:txbxContent>
                </v:textbox>
                <w10:wrap anchorx="page" anchory="page"/>
              </v:shape>
            </w:pict>
          </mc:Fallback>
        </mc:AlternateContent>
      </w:r>
      <w:r w:rsidRPr="00B10627">
        <w:rPr>
          <w:noProof/>
        </w:rPr>
        <w:drawing>
          <wp:inline distT="0" distB="0" distL="0" distR="0" wp14:anchorId="71D43197" wp14:editId="747F740D">
            <wp:extent cx="889000" cy="539750"/>
            <wp:effectExtent l="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0" cy="539750"/>
                    </a:xfrm>
                    <a:prstGeom prst="rect">
                      <a:avLst/>
                    </a:prstGeom>
                    <a:noFill/>
                    <a:ln>
                      <a:noFill/>
                    </a:ln>
                  </pic:spPr>
                </pic:pic>
              </a:graphicData>
            </a:graphic>
          </wp:inline>
        </w:drawing>
      </w:r>
    </w:p>
    <w:p w:rsidR="009A49DD" w:rsidRPr="00B10627" w:rsidRDefault="009A49DD" w:rsidP="00E55084">
      <w:pPr>
        <w:jc w:val="center"/>
        <w:rPr>
          <w:b/>
          <w:i/>
        </w:rPr>
      </w:pPr>
      <w:r w:rsidRPr="00B10627">
        <w:rPr>
          <w:rFonts w:ascii="Arial" w:hAnsi="Arial"/>
          <w:b/>
          <w:i/>
          <w:sz w:val="20"/>
        </w:rPr>
        <w:t>Europeiska ekonomiska och sociala kommittén</w:t>
      </w:r>
    </w:p>
    <w:p w:rsidR="009A49DD" w:rsidRPr="00B10627" w:rsidRDefault="009A49DD" w:rsidP="00E55084"/>
    <w:p w:rsidR="00CA1BF3" w:rsidRPr="00B10627" w:rsidRDefault="00CA1BF3" w:rsidP="00CA1BF3">
      <w:pPr>
        <w:jc w:val="right"/>
        <w:rPr>
          <w:b/>
        </w:rPr>
      </w:pPr>
      <w:r w:rsidRPr="00B10627">
        <w:rPr>
          <w:b/>
        </w:rPr>
        <w:t>Tillfällig arbetsgrupp</w:t>
      </w:r>
    </w:p>
    <w:p w:rsidR="00693E9B" w:rsidRPr="00B10627" w:rsidRDefault="00CA1BF3" w:rsidP="002D7E84">
      <w:pPr>
        <w:jc w:val="right"/>
        <w:rPr>
          <w:b/>
        </w:rPr>
      </w:pPr>
      <w:r w:rsidRPr="00B10627">
        <w:rPr>
          <w:b/>
        </w:rPr>
        <w:t>Övervakningen av genomförandet av EU:s lagstiftning</w:t>
      </w:r>
    </w:p>
    <w:p w:rsidR="002D7E84" w:rsidRPr="00B10627" w:rsidRDefault="002D7E84" w:rsidP="002D7E84"/>
    <w:p w:rsidR="002D7E84" w:rsidRPr="00B10627" w:rsidRDefault="002D7E84" w:rsidP="002D7E84"/>
    <w:p w:rsidR="002D7E84" w:rsidRPr="00B10627" w:rsidRDefault="00F653FD" w:rsidP="00672380">
      <w:pPr>
        <w:jc w:val="center"/>
        <w:rPr>
          <w:b/>
        </w:rPr>
      </w:pPr>
      <w:r w:rsidRPr="00B10627">
        <w:rPr>
          <w:b/>
          <w:sz w:val="28"/>
        </w:rPr>
        <w:t>YTTRANDE</w:t>
      </w:r>
      <w:r w:rsidRPr="00B10627">
        <w:t xml:space="preserve"> </w:t>
      </w:r>
      <w:r w:rsidRPr="00B10627">
        <w:br/>
        <w:t xml:space="preserve"> </w:t>
      </w:r>
      <w:r w:rsidRPr="00B10627">
        <w:br/>
        <w:t xml:space="preserve">Europeiska ekonomiska och sociala kommittén </w:t>
      </w:r>
      <w:r w:rsidRPr="00B10627">
        <w:br/>
        <w:t xml:space="preserve"> </w:t>
      </w:r>
      <w:r w:rsidRPr="00B10627">
        <w:br/>
      </w:r>
      <w:r w:rsidRPr="00B10627">
        <w:rPr>
          <w:b/>
        </w:rPr>
        <w:t xml:space="preserve">Övervakningen av genomförandet av EU:s lagstiftning </w:t>
      </w:r>
      <w:r w:rsidRPr="00B10627">
        <w:rPr>
          <w:b/>
        </w:rPr>
        <w:br/>
        <w:t>(granskning av Europeiska revisionsrätten)</w:t>
      </w:r>
      <w:r w:rsidRPr="00B10627">
        <w:t xml:space="preserve"> </w:t>
      </w:r>
      <w:r w:rsidRPr="00B10627">
        <w:br/>
        <w:t>(yttrande på eget initiativ)</w:t>
      </w:r>
    </w:p>
    <w:p w:rsidR="002D7E84" w:rsidRPr="00B10627" w:rsidRDefault="002D7E84" w:rsidP="002D7E84">
      <w:pPr>
        <w:jc w:val="center"/>
      </w:pPr>
    </w:p>
    <w:p w:rsidR="002D7E84" w:rsidRPr="00B10627" w:rsidRDefault="006D55B0" w:rsidP="002C2C15">
      <w:pPr>
        <w:jc w:val="center"/>
      </w:pPr>
      <w:r w:rsidRPr="00B10627">
        <w:t xml:space="preserve">Föredragande: </w:t>
      </w:r>
      <w:r w:rsidRPr="00B10627">
        <w:rPr>
          <w:b/>
        </w:rPr>
        <w:t>Bernd Dittmann</w:t>
      </w:r>
      <w:r w:rsidRPr="00B10627">
        <w:t xml:space="preserve">, </w:t>
      </w:r>
      <w:r w:rsidRPr="00B10627">
        <w:rPr>
          <w:b/>
        </w:rPr>
        <w:t>Denis Meynent</w:t>
      </w:r>
      <w:r w:rsidRPr="00B10627">
        <w:t xml:space="preserve"> och </w:t>
      </w:r>
      <w:r w:rsidRPr="00B10627">
        <w:rPr>
          <w:b/>
        </w:rPr>
        <w:t>Ronny Lannoo</w:t>
      </w:r>
    </w:p>
    <w:p w:rsidR="002D7E84" w:rsidRPr="00B10627" w:rsidRDefault="002D7E84" w:rsidP="002D7E84"/>
    <w:p w:rsidR="002D7E84" w:rsidRPr="00B10627" w:rsidRDefault="002D7E84" w:rsidP="00C8483D">
      <w:pPr>
        <w:sectPr w:rsidR="002D7E84" w:rsidRPr="00B10627" w:rsidSect="009231D1">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79"/>
        <w:gridCol w:w="6164"/>
      </w:tblGrid>
      <w:tr w:rsidR="002D7E84" w:rsidRPr="00B10627" w:rsidTr="00E23117">
        <w:tc>
          <w:tcPr>
            <w:tcW w:w="3079" w:type="dxa"/>
          </w:tcPr>
          <w:p w:rsidR="002D7E84" w:rsidRPr="00B10627" w:rsidRDefault="00833AD2" w:rsidP="00C8483D">
            <w:r w:rsidRPr="00B10627">
              <w:lastRenderedPageBreak/>
              <w:t>Beslut av kommitténs presidium</w:t>
            </w:r>
          </w:p>
        </w:tc>
        <w:tc>
          <w:tcPr>
            <w:tcW w:w="6164" w:type="dxa"/>
          </w:tcPr>
          <w:p w:rsidR="002D7E84" w:rsidRPr="00B10627" w:rsidRDefault="007C2802" w:rsidP="00C8483D">
            <w:r w:rsidRPr="00B10627">
              <w:t>30/05/2017</w:t>
            </w:r>
          </w:p>
        </w:tc>
      </w:tr>
      <w:tr w:rsidR="002D7E84" w:rsidRPr="00B10627" w:rsidTr="00E23117">
        <w:trPr>
          <w:trHeight w:val="251"/>
        </w:trPr>
        <w:tc>
          <w:tcPr>
            <w:tcW w:w="3079" w:type="dxa"/>
          </w:tcPr>
          <w:p w:rsidR="002D7E84" w:rsidRPr="00B10627" w:rsidRDefault="002D7E84" w:rsidP="00C8483D">
            <w:r w:rsidRPr="00B10627">
              <w:t>Rättslig grund</w:t>
            </w:r>
          </w:p>
        </w:tc>
        <w:tc>
          <w:tcPr>
            <w:tcW w:w="6164" w:type="dxa"/>
          </w:tcPr>
          <w:p w:rsidR="002D7E84" w:rsidRPr="00B10627" w:rsidRDefault="006973FB" w:rsidP="00C8483D">
            <w:r w:rsidRPr="00B10627">
              <w:t>Artikel 29.2 i arbetsordningen</w:t>
            </w:r>
          </w:p>
        </w:tc>
      </w:tr>
      <w:tr w:rsidR="002D7E84" w:rsidRPr="00B10627" w:rsidTr="00E23117">
        <w:tc>
          <w:tcPr>
            <w:tcW w:w="3079" w:type="dxa"/>
          </w:tcPr>
          <w:p w:rsidR="002D7E84" w:rsidRPr="00B10627" w:rsidRDefault="002D7E84" w:rsidP="00C8483D">
            <w:r w:rsidRPr="00B10627">
              <w:t>Antagande vid plenarsessionen</w:t>
            </w:r>
          </w:p>
        </w:tc>
        <w:tc>
          <w:tcPr>
            <w:tcW w:w="6164" w:type="dxa"/>
          </w:tcPr>
          <w:p w:rsidR="002D7E84" w:rsidRPr="00B10627" w:rsidRDefault="000436C5" w:rsidP="009E5A3C">
            <w:r w:rsidRPr="00B10627">
              <w:t>18/10/2017</w:t>
            </w:r>
          </w:p>
        </w:tc>
      </w:tr>
      <w:tr w:rsidR="002D7E84" w:rsidRPr="00B10627" w:rsidTr="00E23117">
        <w:tc>
          <w:tcPr>
            <w:tcW w:w="3079" w:type="dxa"/>
          </w:tcPr>
          <w:p w:rsidR="002D7E84" w:rsidRPr="00B10627" w:rsidRDefault="002D7E84" w:rsidP="00C8483D">
            <w:r w:rsidRPr="00B10627">
              <w:t>Plenarsession nr</w:t>
            </w:r>
          </w:p>
        </w:tc>
        <w:tc>
          <w:tcPr>
            <w:tcW w:w="6164" w:type="dxa"/>
          </w:tcPr>
          <w:p w:rsidR="002D7E84" w:rsidRPr="00B10627" w:rsidRDefault="00920EB1" w:rsidP="00C8483D">
            <w:r w:rsidRPr="00B10627">
              <w:t>529</w:t>
            </w:r>
          </w:p>
        </w:tc>
      </w:tr>
      <w:tr w:rsidR="002D7E84" w:rsidRPr="00B10627" w:rsidTr="00E23117">
        <w:tc>
          <w:tcPr>
            <w:tcW w:w="3079" w:type="dxa"/>
          </w:tcPr>
          <w:p w:rsidR="002D7E84" w:rsidRPr="00B10627" w:rsidRDefault="002D7E84" w:rsidP="00C8483D">
            <w:r w:rsidRPr="00B10627">
              <w:t xml:space="preserve">Resultat av omröstningen </w:t>
            </w:r>
            <w:r w:rsidRPr="00B10627">
              <w:br/>
              <w:t>(för/emot/nedlagda röster)</w:t>
            </w:r>
          </w:p>
        </w:tc>
        <w:tc>
          <w:tcPr>
            <w:tcW w:w="6164" w:type="dxa"/>
            <w:vAlign w:val="bottom"/>
          </w:tcPr>
          <w:p w:rsidR="002D7E84" w:rsidRPr="00B10627" w:rsidRDefault="009E5A3C" w:rsidP="009E5A3C">
            <w:r w:rsidRPr="00B10627">
              <w:t>176/0/1</w:t>
            </w:r>
          </w:p>
        </w:tc>
      </w:tr>
    </w:tbl>
    <w:p w:rsidR="002D7E84" w:rsidRPr="00B10627" w:rsidRDefault="002D7E84" w:rsidP="00E55084"/>
    <w:p w:rsidR="00E62B6F" w:rsidRPr="00B10627" w:rsidRDefault="00E62B6F" w:rsidP="00C8483D">
      <w:pPr>
        <w:spacing w:line="240" w:lineRule="auto"/>
      </w:pPr>
      <w:r w:rsidRPr="00B10627">
        <w:br w:type="page"/>
      </w:r>
    </w:p>
    <w:p w:rsidR="00102469" w:rsidRPr="00B10627" w:rsidRDefault="00102469" w:rsidP="00A354C2">
      <w:pPr>
        <w:pStyle w:val="Heading1"/>
        <w:keepNext/>
      </w:pPr>
      <w:r w:rsidRPr="00B10627">
        <w:rPr>
          <w:b/>
        </w:rPr>
        <w:t>Slutsatser och rekommendationer</w:t>
      </w:r>
    </w:p>
    <w:p w:rsidR="00CE7591" w:rsidRPr="00B10627" w:rsidRDefault="00CE7591" w:rsidP="00C8483D"/>
    <w:p w:rsidR="004051FB" w:rsidRPr="00B10627" w:rsidRDefault="0034707C" w:rsidP="00C8483D">
      <w:pPr>
        <w:pStyle w:val="Heading2"/>
      </w:pPr>
      <w:r w:rsidRPr="00B10627">
        <w:t>För att fastställa en lämplig lagstiftning som gör att man kan uppnå målen i artikel 3 i EU-fördraget påminner EESK om betydelsen av principerna om korrekt genomförande i tid, subsidiaritet och proportionalitet, försiktighet, förutsägbarhet, "tänk småskaligt först", konkurrenskraftens externa dimension och inremarknadstest.</w:t>
      </w:r>
    </w:p>
    <w:p w:rsidR="00CE7591" w:rsidRPr="00B10627" w:rsidRDefault="00CE7591" w:rsidP="00C8483D"/>
    <w:p w:rsidR="004051FB" w:rsidRPr="00B10627" w:rsidRDefault="004051FB" w:rsidP="00CE7591">
      <w:pPr>
        <w:pStyle w:val="Heading2"/>
      </w:pPr>
      <w:r w:rsidRPr="00B10627">
        <w:t>Syftet med EU-lagstiftningen bör alltid vara att skapa en rättslig ram som gör det möjligt för företag och medborgare att dra nytta av fördelarna med den inre marknaden och undvika onödiga administrativa bördor. Därför anser EESK att det är nödvändigt att övervaka tillämpningen på fältet. Kommittén stöder också en anpassningsbar lagstiftning. Det är inte enbart lagstiftningens innehåll utan även själva lagstiftningsförfarandet som måste kunna anpassas för att svara mot företagens och medborgarnas behov.</w:t>
      </w:r>
    </w:p>
    <w:p w:rsidR="00CE7591" w:rsidRPr="00B10627" w:rsidRDefault="00CE7591" w:rsidP="00C8483D"/>
    <w:p w:rsidR="0034707C" w:rsidRPr="00B10627" w:rsidRDefault="0007670D" w:rsidP="00493D4A">
      <w:pPr>
        <w:pStyle w:val="Heading2"/>
      </w:pPr>
      <w:r w:rsidRPr="00B10627">
        <w:t>Kommittén anser därför att EU-rättens tillämplighet måste beaktas redan vid lagstiftningscykelns början, då konsekvensbedömningarna görs, och att det europeiska ekosystemet för konsekvensbedömningar måste vidareutvecklas.</w:t>
      </w:r>
    </w:p>
    <w:p w:rsidR="00CE7591" w:rsidRPr="00B10627" w:rsidRDefault="00CE7591" w:rsidP="00C8483D"/>
    <w:p w:rsidR="0034707C" w:rsidRPr="00B10627" w:rsidRDefault="0034707C" w:rsidP="00493D4A">
      <w:pPr>
        <w:pStyle w:val="Heading2"/>
      </w:pPr>
      <w:r w:rsidRPr="00B10627">
        <w:t>EESK understryker dock att bättre lagstiftning inte utgör en ersättning för politiska beslut och inte under några omständigheter får leda till avreglering eller till att nivån på det sociala skyddet, miljöskyddet och de grundläggande rättigheterna sänks.</w:t>
      </w:r>
    </w:p>
    <w:p w:rsidR="00CE7591" w:rsidRPr="00B10627" w:rsidRDefault="00CE7591" w:rsidP="00C8483D"/>
    <w:p w:rsidR="004051FB" w:rsidRPr="00B10627" w:rsidRDefault="004051FB" w:rsidP="00493D4A">
      <w:pPr>
        <w:pStyle w:val="Heading2"/>
      </w:pPr>
      <w:r w:rsidRPr="00B10627">
        <w:t>Större delen av svårigheterna med att tillämpa och genomfö</w:t>
      </w:r>
      <w:r w:rsidR="000C3DD7" w:rsidRPr="00B10627">
        <w:t>ra EU-rätten beror på brister i </w:t>
      </w:r>
      <w:r w:rsidRPr="00B10627">
        <w:t>införlivandet av direktiv. I sina yttranden rekommenderar därför EESK i allmänhet att man ska använda sig av förordningar i stället för direktiv.</w:t>
      </w:r>
    </w:p>
    <w:p w:rsidR="00CE7591" w:rsidRPr="00B10627" w:rsidRDefault="00CE7591" w:rsidP="00C8483D"/>
    <w:p w:rsidR="00051392" w:rsidRPr="00B10627" w:rsidRDefault="004051FB" w:rsidP="00493D4A">
      <w:pPr>
        <w:pStyle w:val="Heading2"/>
      </w:pPr>
      <w:r w:rsidRPr="00B10627">
        <w:t>EESK anser att en förbättring av kommissionens samråd med berörda parter är avgörande för utarbetandet av en lagstiftning som är lätt att genomföra för medlemsstaterna och de berörda parterna.</w:t>
      </w:r>
    </w:p>
    <w:p w:rsidR="00CE7591" w:rsidRPr="00B10627" w:rsidRDefault="00CE7591" w:rsidP="00C8483D"/>
    <w:p w:rsidR="007E32AC" w:rsidRPr="00B10627" w:rsidRDefault="0007670D" w:rsidP="00493D4A">
      <w:pPr>
        <w:pStyle w:val="Heading2"/>
      </w:pPr>
      <w:r w:rsidRPr="00B10627">
        <w:t>I detta sammanhang anser EESK att kommittén kan spela en viktig roll som förmedlare mellan lagstiftarna och dem som använder EU-lagstiftningen. För sin del anpassar EESK kontinuerligt sina arbetsmetoder. Således beslutade kommittén nyligen att ta aktiv del i utvärderingen av lagstiftningscykeln genom att utföra egna efterhandsutvärderingar av unionens regelverk.</w:t>
      </w:r>
    </w:p>
    <w:p w:rsidR="009730FE" w:rsidRPr="00B10627" w:rsidRDefault="009730FE" w:rsidP="00C8483D"/>
    <w:p w:rsidR="00052CAA" w:rsidRPr="00B10627" w:rsidRDefault="0025771D" w:rsidP="00A354C2">
      <w:pPr>
        <w:pStyle w:val="Heading1"/>
        <w:keepNext/>
        <w:rPr>
          <w:rFonts w:eastAsia="Arial Bold"/>
          <w:b/>
        </w:rPr>
      </w:pPr>
      <w:r w:rsidRPr="00B10627">
        <w:rPr>
          <w:b/>
        </w:rPr>
        <w:t>Inledning</w:t>
      </w:r>
    </w:p>
    <w:p w:rsidR="00334F21" w:rsidRPr="00B10627" w:rsidRDefault="00334F21" w:rsidP="00C8483D">
      <w:pPr>
        <w:rPr>
          <w:rFonts w:eastAsia="Arial Bold"/>
        </w:rPr>
      </w:pPr>
    </w:p>
    <w:p w:rsidR="00167593" w:rsidRPr="00B10627" w:rsidRDefault="00167593" w:rsidP="00493D4A">
      <w:pPr>
        <w:pStyle w:val="Heading2"/>
      </w:pPr>
      <w:r w:rsidRPr="00B10627">
        <w:t>Den 21 december 2016 informerade Pietro Russo, ledamot av Europeiska revisionsrätten, genom en skrivelse EESK:s vice ordförande Michael Smyth om att kontakter skulle tas på administrativ nivå beträffande en översiktlig analys som revisionsrätten inlett av kommissionens övervakning av tillämpningen av EU:s lagstiftning i enlighet med dess skyldigheter. Den granskning som revisionsrätten begärt grundar sig på artikel 17.1 i fördraget om Europeiska unionen (EU-fördraget) enligt vilken "kommissionen ska främja unionens allmänna intresse och ta lämpliga initiativ i detta syfte.</w:t>
      </w:r>
      <w:r w:rsidRPr="00B10627">
        <w:rPr>
          <w:i/>
        </w:rPr>
        <w:t xml:space="preserve"> </w:t>
      </w:r>
      <w:r w:rsidRPr="00B10627">
        <w:t>Den ska säkerställa tillämpningen av fördragen och av de åtgärder som institutionerna antar i enlighet med fördragen. Den ska övervaka tillämpningen av unionsrätten under kontroll av Europeiska unionens domstol. [</w:t>
      </w:r>
      <w:r w:rsidR="00B10627" w:rsidRPr="00B10627">
        <w:t>..</w:t>
      </w:r>
      <w:r w:rsidRPr="00B10627">
        <w:t>.]"</w:t>
      </w:r>
    </w:p>
    <w:p w:rsidR="00167593" w:rsidRPr="00B10627" w:rsidRDefault="00167593" w:rsidP="00493D4A">
      <w:pPr>
        <w:pStyle w:val="Heading2"/>
      </w:pPr>
      <w:r w:rsidRPr="00B10627">
        <w:t>Den 3 maj 2017 översände Leo Brincat, ledamot av revisionsrätten, ett dokument med tre uppsättningar frågor till EESK:s generalsekreterare.</w:t>
      </w:r>
    </w:p>
    <w:p w:rsidR="00167593" w:rsidRPr="00B10627" w:rsidRDefault="00167593" w:rsidP="00493D4A">
      <w:pPr>
        <w:ind w:left="567" w:hanging="567"/>
      </w:pPr>
    </w:p>
    <w:p w:rsidR="00167593" w:rsidRPr="00B10627" w:rsidRDefault="00E07844" w:rsidP="00493D4A">
      <w:pPr>
        <w:pStyle w:val="Heading2"/>
      </w:pPr>
      <w:r w:rsidRPr="00B10627">
        <w:t>Med tanke på ärendets politiska betydelse informerade EESK:s generalsekreterare presidiet, som beslutade att inrätta en tillfällig arbetsgrupp med tre ledamöter som fick till uppgift att utarbeta ett svar i form av ett yttrande på eget initiativ på grundval av artikel 29.2 i EESK:s arbetsordning. Revisionsrätten måste få EESK:s bidrag för att integrera det i sin egen rapport, som planeras till maj 2018.</w:t>
      </w:r>
    </w:p>
    <w:p w:rsidR="00167593" w:rsidRPr="00B10627" w:rsidRDefault="00167593" w:rsidP="00493D4A">
      <w:pPr>
        <w:ind w:left="567" w:hanging="567"/>
      </w:pPr>
    </w:p>
    <w:p w:rsidR="00EF1068" w:rsidRPr="00B10627" w:rsidRDefault="00167593" w:rsidP="00493D4A">
      <w:pPr>
        <w:pStyle w:val="Heading2"/>
      </w:pPr>
      <w:r w:rsidRPr="00B10627">
        <w:t>Revisionsrätten vill i huvudsak höra kommittén i frågan om huruvida kommissionens åtgärder för att se till att EU-rätten efterlevs motsvarar EU-medborgarnas förväntningar. Revisionsrätten vill få kännedom om vilka specifika aspekter av övervakningen av tillämpningen av lagstiftningen som särskilt har tilldragit sig EESK:s uppmärksamhet.</w:t>
      </w:r>
    </w:p>
    <w:p w:rsidR="009730FE" w:rsidRPr="00B10627" w:rsidRDefault="009730FE" w:rsidP="00493D4A">
      <w:pPr>
        <w:ind w:left="567" w:hanging="567"/>
      </w:pPr>
    </w:p>
    <w:p w:rsidR="00167593" w:rsidRPr="00B10627" w:rsidRDefault="00FF49AC" w:rsidP="00493D4A">
      <w:pPr>
        <w:pStyle w:val="Heading1"/>
        <w:keepNext/>
        <w:rPr>
          <w:b/>
        </w:rPr>
      </w:pPr>
      <w:r w:rsidRPr="00B10627">
        <w:tab/>
      </w:r>
      <w:r w:rsidRPr="00B10627">
        <w:rPr>
          <w:b/>
        </w:rPr>
        <w:t>Revisionsrättens frågor</w:t>
      </w:r>
    </w:p>
    <w:p w:rsidR="00167593" w:rsidRPr="00B10627" w:rsidRDefault="00167593" w:rsidP="00493D4A">
      <w:pPr>
        <w:keepNext/>
        <w:ind w:left="567" w:hanging="567"/>
      </w:pPr>
    </w:p>
    <w:p w:rsidR="00167593" w:rsidRPr="00B10627" w:rsidRDefault="00167593" w:rsidP="00493D4A">
      <w:pPr>
        <w:pStyle w:val="Heading2"/>
      </w:pPr>
      <w:r w:rsidRPr="00B10627">
        <w:t>Revisionsrätten ställer tre uppsättningar frågor för att få kännedom om EESK:s ståndpunkt när det gäller</w:t>
      </w:r>
    </w:p>
    <w:p w:rsidR="00167593" w:rsidRPr="00B10627" w:rsidRDefault="00167593" w:rsidP="00167593"/>
    <w:p w:rsidR="00167593" w:rsidRPr="00B10627" w:rsidRDefault="00C35AAB" w:rsidP="00493D4A">
      <w:pPr>
        <w:numPr>
          <w:ilvl w:val="0"/>
          <w:numId w:val="27"/>
        </w:numPr>
        <w:ind w:left="851" w:hanging="284"/>
      </w:pPr>
      <w:r w:rsidRPr="00B10627">
        <w:t xml:space="preserve">kommissionens </w:t>
      </w:r>
      <w:r w:rsidRPr="00B10627">
        <w:rPr>
          <w:b/>
        </w:rPr>
        <w:t>viktigaste initiativ</w:t>
      </w:r>
      <w:r w:rsidRPr="00B10627">
        <w:t xml:space="preserve"> för att förbättra tillämpningen av EU-rätten ("Bättre lagstiftning" och "EU-rätten: Bättre resultat genom bättre tillämpning"), särskilt initiativens relevans, det civila samhällets reaktioner och eventuella första positiva effekter av initiativen,</w:t>
      </w:r>
    </w:p>
    <w:p w:rsidR="00167593" w:rsidRPr="00B10627" w:rsidRDefault="00C35AAB" w:rsidP="00493D4A">
      <w:pPr>
        <w:numPr>
          <w:ilvl w:val="0"/>
          <w:numId w:val="27"/>
        </w:numPr>
        <w:ind w:left="851" w:hanging="284"/>
      </w:pPr>
      <w:r w:rsidRPr="00B10627">
        <w:t xml:space="preserve">de </w:t>
      </w:r>
      <w:r w:rsidRPr="00B10627">
        <w:rPr>
          <w:b/>
        </w:rPr>
        <w:t>viktigaste frågorna</w:t>
      </w:r>
      <w:r w:rsidRPr="00B10627">
        <w:t xml:space="preserve"> i samband med en bättre tillämpning av EU-rätten, särskilt om EU-rättens tillämplighet och öppenhet samt allmänhetens medvetenhet om EU-rätten,</w:t>
      </w:r>
    </w:p>
    <w:p w:rsidR="00504A7D" w:rsidRPr="00B10627" w:rsidRDefault="00C35AAB" w:rsidP="00493D4A">
      <w:pPr>
        <w:numPr>
          <w:ilvl w:val="0"/>
          <w:numId w:val="27"/>
        </w:numPr>
        <w:ind w:left="851" w:hanging="284"/>
      </w:pPr>
      <w:r w:rsidRPr="00B10627">
        <w:t xml:space="preserve">kommissionens </w:t>
      </w:r>
      <w:r w:rsidRPr="00B10627">
        <w:rPr>
          <w:b/>
        </w:rPr>
        <w:t>viktigaste ansvar</w:t>
      </w:r>
      <w:r w:rsidRPr="00B10627">
        <w:t xml:space="preserve"> när det gäller en bättre tillämpning av EU-rätten, särskilt EESK:s användning av uppgifter och rapporter från kommissionen</w:t>
      </w:r>
      <w:r w:rsidRPr="00B10627">
        <w:rPr>
          <w:rStyle w:val="FootnoteReference"/>
        </w:rPr>
        <w:footnoteReference w:id="1"/>
      </w:r>
      <w:r w:rsidRPr="00B10627">
        <w:t xml:space="preserve"> samt EESK:s synpunkter på och förslag till hur man kan förbättra upprättandet av rapporter om tillämpningen av lagstiftningen.</w:t>
      </w:r>
    </w:p>
    <w:p w:rsidR="00FF49AC" w:rsidRPr="00B10627" w:rsidRDefault="00FF49AC" w:rsidP="004F550A"/>
    <w:p w:rsidR="00830569" w:rsidRPr="00B10627" w:rsidRDefault="00D720FC" w:rsidP="00493D4A">
      <w:pPr>
        <w:pStyle w:val="Heading2"/>
      </w:pPr>
      <w:r w:rsidRPr="00B10627">
        <w:t>De svar som ges i detta yttrande, som inte gör anspråk på att vara uttömmande, bygger på ståndpunkter som EESK har framfört i flera yttranden</w:t>
      </w:r>
      <w:r w:rsidRPr="00B10627">
        <w:rPr>
          <w:rStyle w:val="FootnoteReference"/>
          <w:sz w:val="22"/>
        </w:rPr>
        <w:footnoteReference w:id="2"/>
      </w:r>
      <w:r w:rsidRPr="00B10627">
        <w:t>.</w:t>
      </w:r>
    </w:p>
    <w:p w:rsidR="009730FE" w:rsidRPr="00B10627" w:rsidRDefault="009730FE" w:rsidP="004F550A"/>
    <w:p w:rsidR="0045737E" w:rsidRPr="00B10627" w:rsidRDefault="00FF49AC">
      <w:pPr>
        <w:pStyle w:val="Heading1"/>
        <w:keepNext/>
        <w:rPr>
          <w:b/>
        </w:rPr>
      </w:pPr>
      <w:r w:rsidRPr="00B10627">
        <w:tab/>
      </w:r>
      <w:r w:rsidRPr="00B10627">
        <w:rPr>
          <w:b/>
        </w:rPr>
        <w:t>Allmänna kommentarer</w:t>
      </w:r>
    </w:p>
    <w:p w:rsidR="0045737E" w:rsidRPr="00B10627" w:rsidRDefault="0045737E" w:rsidP="00A97EC1">
      <w:pPr>
        <w:keepNext/>
      </w:pPr>
    </w:p>
    <w:p w:rsidR="00FF49AC" w:rsidRPr="00B10627" w:rsidRDefault="0073471F" w:rsidP="00493D4A">
      <w:pPr>
        <w:pStyle w:val="Heading2"/>
      </w:pPr>
      <w:r w:rsidRPr="00B10627">
        <w:t>Unionens mål fastställs i artikel 3 i EU-fördraget. I synnerhet ska unionen "verka för en hållbar utveckling i Europa som bygger på välavvägd ekonomisk tillväxt och på prisstabilitet, på en social marknadsekonomi med hög konkurrenskraft där full sysselsättning och sociala framsteg eftersträvas, samt på en hög miljöskyddsnivå och en bättre miljö. [</w:t>
      </w:r>
      <w:r w:rsidR="00B10627" w:rsidRPr="00B10627">
        <w:t>..</w:t>
      </w:r>
      <w:r w:rsidRPr="00B10627">
        <w:t>.] Den ska främja ekonomisk, social och territoriell sammanhållning samt solidaritet mellan medlemsstaterna."</w:t>
      </w:r>
    </w:p>
    <w:p w:rsidR="00FF49AC" w:rsidRPr="00B10627" w:rsidRDefault="00FF49AC" w:rsidP="004F550A"/>
    <w:p w:rsidR="00FF49AC" w:rsidRPr="00B10627" w:rsidRDefault="002A25BE" w:rsidP="00493D4A">
      <w:pPr>
        <w:pStyle w:val="Heading2"/>
      </w:pPr>
      <w:r w:rsidRPr="00B10627">
        <w:t xml:space="preserve">I detta sammanhang erinrar EESK om vikten av de principer som redan har fastställts för att införa lämplig lagstiftning i syfte att uppnå </w:t>
      </w:r>
      <w:r w:rsidR="00B10627" w:rsidRPr="00B10627">
        <w:t>ovan nämnda</w:t>
      </w:r>
      <w:r w:rsidRPr="00B10627">
        <w:t xml:space="preserve"> mål. Hit hör bland annat principerna om korrekt genomförande i tid, subsidiaritet och proportionalitet, försiktighet, förutsägbarhet, "tänk småskaligt först", konkurrenskraftens externa dimension och inremarknadstest</w:t>
      </w:r>
      <w:r w:rsidRPr="00B10627">
        <w:rPr>
          <w:rStyle w:val="FootnoteReference"/>
        </w:rPr>
        <w:footnoteReference w:id="3"/>
      </w:r>
      <w:r w:rsidRPr="00B10627">
        <w:t>.</w:t>
      </w:r>
    </w:p>
    <w:p w:rsidR="009730FE" w:rsidRPr="00B10627" w:rsidRDefault="009730FE" w:rsidP="00493D4A">
      <w:pPr>
        <w:ind w:left="567" w:hanging="567"/>
      </w:pPr>
    </w:p>
    <w:p w:rsidR="00E23117" w:rsidRPr="00B10627" w:rsidRDefault="00FF49AC" w:rsidP="00493D4A">
      <w:pPr>
        <w:pStyle w:val="Heading1"/>
        <w:keepNext/>
      </w:pPr>
      <w:r w:rsidRPr="00B10627">
        <w:tab/>
      </w:r>
      <w:r w:rsidRPr="00B10627">
        <w:rPr>
          <w:b/>
        </w:rPr>
        <w:t>Särskilda kommentarer</w:t>
      </w:r>
    </w:p>
    <w:p w:rsidR="005062D5" w:rsidRPr="00B10627" w:rsidRDefault="005062D5" w:rsidP="00493D4A">
      <w:pPr>
        <w:keepNext/>
        <w:ind w:left="567" w:hanging="567"/>
      </w:pPr>
    </w:p>
    <w:p w:rsidR="005D6306" w:rsidRPr="00B10627" w:rsidRDefault="005D6306" w:rsidP="00493D4A">
      <w:pPr>
        <w:pStyle w:val="Heading2"/>
      </w:pPr>
      <w:r w:rsidRPr="00B10627">
        <w:rPr>
          <w:b/>
        </w:rPr>
        <w:t>Om kommissionens viktigaste initiativ för att förbättra tillämpningen av EU-rätten</w:t>
      </w:r>
      <w:r w:rsidRPr="00B10627">
        <w:t xml:space="preserve"> ("Bättre lagstiftning"</w:t>
      </w:r>
      <w:r w:rsidRPr="00B10627">
        <w:rPr>
          <w:rStyle w:val="FootnoteReference"/>
        </w:rPr>
        <w:footnoteReference w:id="4"/>
      </w:r>
      <w:r w:rsidRPr="00B10627">
        <w:t xml:space="preserve"> och "EU-rätten: Bättre resultat genom bättre tillämpning"</w:t>
      </w:r>
      <w:r w:rsidRPr="00B10627">
        <w:rPr>
          <w:rStyle w:val="FootnoteReference"/>
        </w:rPr>
        <w:footnoteReference w:id="5"/>
      </w:r>
      <w:r w:rsidRPr="00B10627">
        <w:t>)</w:t>
      </w:r>
    </w:p>
    <w:p w:rsidR="002204BE" w:rsidRPr="00B10627" w:rsidRDefault="002204BE" w:rsidP="00493D4A">
      <w:pPr>
        <w:ind w:left="567" w:hanging="567"/>
      </w:pPr>
    </w:p>
    <w:p w:rsidR="00541671" w:rsidRPr="00B10627" w:rsidRDefault="00541671" w:rsidP="00493D4A">
      <w:pPr>
        <w:pStyle w:val="Heading3"/>
      </w:pPr>
      <w:r w:rsidRPr="00B10627">
        <w:t>EESK har sedan länge arbetat med frågan om "bättre lagstiftning" och har ägnat ett stort antal yttranden och informationsrapporter</w:t>
      </w:r>
      <w:r w:rsidRPr="00B10627">
        <w:rPr>
          <w:rStyle w:val="FootnoteReference"/>
        </w:rPr>
        <w:footnoteReference w:id="6"/>
      </w:r>
      <w:r w:rsidRPr="00B10627">
        <w:t xml:space="preserve"> samt många debatter, seminarier, studier och hearingar</w:t>
      </w:r>
      <w:r w:rsidRPr="00B10627">
        <w:rPr>
          <w:rStyle w:val="FootnoteReference"/>
        </w:rPr>
        <w:footnoteReference w:id="7"/>
      </w:r>
      <w:r w:rsidRPr="00B10627">
        <w:t xml:space="preserve"> åt detta.</w:t>
      </w:r>
    </w:p>
    <w:p w:rsidR="009B12D9" w:rsidRPr="00B10627" w:rsidRDefault="009B12D9" w:rsidP="00493D4A">
      <w:pPr>
        <w:ind w:left="567" w:hanging="567"/>
      </w:pPr>
    </w:p>
    <w:p w:rsidR="00B22DE1" w:rsidRPr="00B10627" w:rsidRDefault="00B22DE1" w:rsidP="00493D4A">
      <w:pPr>
        <w:pStyle w:val="Heading3"/>
      </w:pPr>
      <w:r w:rsidRPr="00B10627">
        <w:t>När det gäller tillämpningen av principerna i programmet för bättre lagstiftning anser EESK att lagstiftningen i sig inte utgör något hinder, utan att den tvärtom är en förutsättning för att målen i fördraget ska kunna uppnås. Kommittén välkomnar därför att förste vice ordförande Frans Timmermans upprepade gånger har påmint om att Refit-programmet inte ska leda till avreglering eller till att nivån på det sociala skyddet, miljöskyddet och de grundläggande rättigheterna sänks</w:t>
      </w:r>
      <w:r w:rsidRPr="00B10627">
        <w:rPr>
          <w:rStyle w:val="FootnoteReference"/>
        </w:rPr>
        <w:footnoteReference w:id="8"/>
      </w:r>
      <w:r w:rsidRPr="00B10627">
        <w:t>.</w:t>
      </w:r>
    </w:p>
    <w:p w:rsidR="00B22DE1" w:rsidRPr="00B10627" w:rsidRDefault="00B22DE1" w:rsidP="00493D4A">
      <w:pPr>
        <w:ind w:left="567" w:hanging="567"/>
      </w:pPr>
    </w:p>
    <w:p w:rsidR="009B12D9" w:rsidRPr="00B10627" w:rsidRDefault="009B12D9" w:rsidP="00493D4A">
      <w:pPr>
        <w:pStyle w:val="Heading3"/>
      </w:pPr>
      <w:r w:rsidRPr="00B10627">
        <w:t>EESK anser att bättre och smart lagstiftning är en gemensam uppgift för alla EU-institutioner och medlemsstater, till förmån för medborgarna, företagen, konsumenterna och arbetstagarna. Bättre lagstiftning ersätter dock inte politiska beslut.</w:t>
      </w:r>
    </w:p>
    <w:p w:rsidR="009B12D9" w:rsidRPr="00B10627" w:rsidRDefault="009B12D9" w:rsidP="00493D4A">
      <w:pPr>
        <w:ind w:left="567" w:hanging="567"/>
      </w:pPr>
    </w:p>
    <w:p w:rsidR="009B12D9" w:rsidRPr="00B10627" w:rsidRDefault="008D301E" w:rsidP="00493D4A">
      <w:pPr>
        <w:pStyle w:val="Heading3"/>
      </w:pPr>
      <w:r w:rsidRPr="00B10627">
        <w:t>I sitt yttrande om meddelandet om "Bättre lagstiftning" intog EESK</w:t>
      </w:r>
      <w:r w:rsidRPr="00B10627">
        <w:rPr>
          <w:rStyle w:val="FootnoteReference"/>
        </w:rPr>
        <w:footnoteReference w:id="9"/>
      </w:r>
      <w:r w:rsidRPr="00B10627">
        <w:t xml:space="preserve"> därför följande ståndpunkter:</w:t>
      </w:r>
    </w:p>
    <w:p w:rsidR="00493D4A" w:rsidRPr="00B10627" w:rsidRDefault="00493D4A" w:rsidP="00493D4A"/>
    <w:p w:rsidR="009B12D9" w:rsidRPr="00B10627" w:rsidRDefault="00E54385" w:rsidP="00493D4A">
      <w:pPr>
        <w:pStyle w:val="ListParagraph"/>
        <w:numPr>
          <w:ilvl w:val="0"/>
          <w:numId w:val="29"/>
        </w:numPr>
        <w:ind w:left="851" w:hanging="284"/>
      </w:pPr>
      <w:r w:rsidRPr="00B10627">
        <w:t>EESK välkomnade att åtgärderna för bättre lagstiftning omfattar en rättsakts hela livscykel och därmed inbegriper åtgärder såväl på ett tidigare som på ett senare stadium.</w:t>
      </w:r>
    </w:p>
    <w:p w:rsidR="009B12D9" w:rsidRPr="00B10627" w:rsidRDefault="00E54385" w:rsidP="00493D4A">
      <w:pPr>
        <w:pStyle w:val="ListParagraph"/>
        <w:numPr>
          <w:ilvl w:val="0"/>
          <w:numId w:val="29"/>
        </w:numPr>
        <w:ind w:left="851" w:hanging="284"/>
      </w:pPr>
      <w:r w:rsidRPr="00B10627">
        <w:t>EESK ansåg att EU:s rådgivande organ bör inkluderas i det interinstitutionella avtalet om bättre lagstiftning.</w:t>
      </w:r>
    </w:p>
    <w:p w:rsidR="009B12D9" w:rsidRPr="00B10627" w:rsidRDefault="0099502C" w:rsidP="00493D4A">
      <w:pPr>
        <w:pStyle w:val="ListParagraph"/>
        <w:numPr>
          <w:ilvl w:val="0"/>
          <w:numId w:val="29"/>
        </w:numPr>
        <w:ind w:left="851" w:hanging="284"/>
      </w:pPr>
      <w:r w:rsidRPr="00B10627">
        <w:t>EESK stödde deltagande av alla berörda parter genom samråd under ett politiskt initiativs hela livscykel.</w:t>
      </w:r>
    </w:p>
    <w:p w:rsidR="00D63FEF" w:rsidRPr="00B10627" w:rsidRDefault="0099502C" w:rsidP="00493D4A">
      <w:pPr>
        <w:pStyle w:val="ListParagraph"/>
        <w:numPr>
          <w:ilvl w:val="0"/>
          <w:numId w:val="29"/>
        </w:numPr>
        <w:ind w:left="851" w:hanging="284"/>
      </w:pPr>
      <w:r w:rsidRPr="00B10627">
        <w:t>EESK betonade att det är viktigt att välja lämpliga berörda parter och framhöll att man måste säkerställa största möjliga oberoende, opartiskhet och öpp</w:t>
      </w:r>
      <w:r w:rsidR="000C3DD7" w:rsidRPr="00B10627">
        <w:t>enhet vid urvalet av experter i </w:t>
      </w:r>
      <w:r w:rsidRPr="00B10627">
        <w:t>olika organ.</w:t>
      </w:r>
    </w:p>
    <w:p w:rsidR="009B12D9" w:rsidRPr="00B10627" w:rsidRDefault="0099502C" w:rsidP="00493D4A">
      <w:pPr>
        <w:pStyle w:val="ListParagraph"/>
        <w:numPr>
          <w:ilvl w:val="0"/>
          <w:numId w:val="29"/>
        </w:numPr>
        <w:ind w:left="851" w:hanging="284"/>
      </w:pPr>
      <w:r w:rsidRPr="00B10627">
        <w:t>EESK efterlyste större insyn när det gäller informella trepartsmöten och en begränsad användning av detta instrument.</w:t>
      </w:r>
    </w:p>
    <w:p w:rsidR="009B12D9" w:rsidRPr="00B10627" w:rsidRDefault="0099502C" w:rsidP="00493D4A">
      <w:pPr>
        <w:pStyle w:val="ListParagraph"/>
        <w:numPr>
          <w:ilvl w:val="0"/>
          <w:numId w:val="29"/>
        </w:numPr>
        <w:ind w:left="851" w:hanging="284"/>
      </w:pPr>
      <w:r w:rsidRPr="00B10627">
        <w:t>EESK uppmanade kommissionen att inrikta sig mer på bristerna i medlemsstaternas införlivande och genomförande av EU-lagstiftningen, och ansåg därför att man bör använda sig av förordningar i stället för direktiv.</w:t>
      </w:r>
    </w:p>
    <w:p w:rsidR="009945CE" w:rsidRPr="00B10627" w:rsidRDefault="009945CE" w:rsidP="005D6306"/>
    <w:p w:rsidR="009945CE" w:rsidRPr="00B10627" w:rsidRDefault="009945CE" w:rsidP="00493D4A">
      <w:pPr>
        <w:pStyle w:val="Heading3"/>
      </w:pPr>
      <w:r w:rsidRPr="00B10627">
        <w:t>Samtidigt har EESK genom att acceptera kommissionens inbjudan att delta i Refit-plattformen och lägga fram förslag för att förbättra denna plattforms funktionssätt</w:t>
      </w:r>
      <w:r w:rsidRPr="00B10627">
        <w:rPr>
          <w:rStyle w:val="FootnoteReference"/>
        </w:rPr>
        <w:footnoteReference w:id="10"/>
      </w:r>
      <w:r w:rsidRPr="00B10627">
        <w:t xml:space="preserve"> visat sitt engagemang för ett EU-regelverk som gör att företagen och medborgarna kan dra nytta av fördelarna med den inre marknaden och undvika onödiga administrativa bördor.</w:t>
      </w:r>
    </w:p>
    <w:p w:rsidR="009B12D9" w:rsidRPr="00B10627" w:rsidRDefault="009B12D9" w:rsidP="00493D4A">
      <w:pPr>
        <w:ind w:left="567" w:hanging="567"/>
      </w:pPr>
    </w:p>
    <w:p w:rsidR="009B12D9" w:rsidRPr="00B10627" w:rsidRDefault="00B749D1" w:rsidP="00493D4A">
      <w:pPr>
        <w:pStyle w:val="Heading3"/>
      </w:pPr>
      <w:r w:rsidRPr="00B10627">
        <w:t>Inom ramen för sitt deltagande i Refit-plattformens intressentgrupp har EESK bidragit aktivt till utarbetandet av flera yttranden från plattformen som har utgjort underlag till kommissionens årliga arbetsprogram och kommer att göra det även fortsättningsvis. EESK:s prioriteringar har fastställts på grundval av uppgifter från dess sektioner och omfattar bl.a. ett förslag till förenkling när det gäller problem med överlappning mellan och upprepade krav i olika unionsrättsakter samt behovet av tydliga och heltäckande europeiska standarder för byggprodukter (förordningen om byggprodukter). Kommittén har också bidragit till arbetet med att upprätta en fullständig förteckning över förslag till hur kommissionen skulle kunna förbättra mekanismerna för samråd med berörda parter, vilket kommer att bidra till den pågående översynen av riktlinjerna och verktygslådan för bättre lagstiftning.</w:t>
      </w:r>
    </w:p>
    <w:p w:rsidR="005D6306" w:rsidRPr="00B10627" w:rsidRDefault="005D6306" w:rsidP="00493D4A">
      <w:pPr>
        <w:ind w:left="567" w:hanging="567"/>
      </w:pPr>
    </w:p>
    <w:p w:rsidR="005D6306" w:rsidRPr="00B10627" w:rsidRDefault="005D6306" w:rsidP="00BD63DB">
      <w:pPr>
        <w:pStyle w:val="Heading2"/>
        <w:keepNext/>
        <w:keepLines/>
      </w:pPr>
      <w:r w:rsidRPr="00B10627">
        <w:rPr>
          <w:b/>
        </w:rPr>
        <w:t>Om de viktigaste frågorna i samband med en bättre tillämpning av EU-rätten</w:t>
      </w:r>
      <w:r w:rsidRPr="00B10627">
        <w:t xml:space="preserve"> (lagstiftningens tillämplighet, öppenhet och allmänhetens medvetenhet)</w:t>
      </w:r>
    </w:p>
    <w:p w:rsidR="001B0F39" w:rsidRPr="00B10627" w:rsidRDefault="001B0F39" w:rsidP="00BD63DB">
      <w:pPr>
        <w:keepNext/>
        <w:keepLines/>
        <w:ind w:left="567" w:hanging="567"/>
      </w:pPr>
    </w:p>
    <w:p w:rsidR="007A07D4" w:rsidRPr="00B10627" w:rsidRDefault="00830569" w:rsidP="00BD63DB">
      <w:pPr>
        <w:pStyle w:val="Heading3"/>
        <w:keepNext/>
        <w:keepLines/>
        <w:rPr>
          <w:b/>
        </w:rPr>
      </w:pPr>
      <w:r w:rsidRPr="00B10627">
        <w:rPr>
          <w:b/>
        </w:rPr>
        <w:t>Tillämplighet</w:t>
      </w:r>
    </w:p>
    <w:p w:rsidR="00D565A3" w:rsidRPr="00B10627" w:rsidRDefault="00D565A3" w:rsidP="00BD63DB">
      <w:pPr>
        <w:keepNext/>
        <w:keepLines/>
      </w:pPr>
    </w:p>
    <w:p w:rsidR="00D565A3" w:rsidRPr="00B10627" w:rsidRDefault="00D565A3" w:rsidP="00BD63DB">
      <w:pPr>
        <w:pStyle w:val="Heading4"/>
        <w:keepNext/>
        <w:keepLines/>
      </w:pPr>
      <w:r w:rsidRPr="00B10627">
        <w:t>EESK anpassar kontinuerligt sina arbetsmetoder för att bidra till bedömningen av kvaliteten på tillämpningen av EU-rätten. För mindre än två år sedan beslutade kommittén att ta aktiv del i</w:t>
      </w:r>
      <w:r w:rsidR="000C3DD7" w:rsidRPr="00B10627">
        <w:t> </w:t>
      </w:r>
      <w:r w:rsidRPr="00B10627">
        <w:t>utvärderingen av lagstiftningscykeln genom att utföra egna efterhandsutvärderingar av unionens regelverk.</w:t>
      </w:r>
    </w:p>
    <w:p w:rsidR="00D565A3" w:rsidRPr="00B10627" w:rsidRDefault="00D565A3" w:rsidP="00C8483D">
      <w:pPr>
        <w:ind w:left="567" w:hanging="567"/>
      </w:pPr>
    </w:p>
    <w:p w:rsidR="00E23117" w:rsidRPr="00B10627" w:rsidRDefault="008A0E7B" w:rsidP="00493D4A">
      <w:pPr>
        <w:pStyle w:val="Heading4"/>
      </w:pPr>
      <w:r w:rsidRPr="00B10627">
        <w:t>EESK</w:t>
      </w:r>
      <w:r w:rsidRPr="00B10627">
        <w:rPr>
          <w:rStyle w:val="FootnoteReference"/>
        </w:rPr>
        <w:footnoteReference w:id="11"/>
      </w:r>
      <w:r w:rsidRPr="00B10627">
        <w:t xml:space="preserve"> anser att EU-rättens tillämplighet måste beaktas redan vid lagstiftningscykelns början, då konsekvensbedömningarna görs. Trots de framsteg som redan gjorts behöver det europeiska ekosystemet för konsekvensbedömningar vidareutvecklas. EESK föreslår flera möjliga förbättringar för att höja konsekvensbedömningarnas kvalitet, bl.a. kravspecifikationer för studier inom ramen för konsekvensbedömningar som är öppna för insyn, tillgängliga och pluralistiska, en utvidgning av det europeiska registret över konsekvensbedömningar, behovet av en kvalitativ metod samt behovet av en enhetlig metod i forskningsmatrisen för konsekvensbedömningar mellan de olika EU-institutionerna. EESK bör också i framtiden analysera vissa konsekvensbedömningar (beträffande frågor där institutionen har en stark hållning), granska metodfrågor och avge ett yttrande om hur de ekonomiska, sociala, miljömässiga eller territoriella dimensionerna beaktas i det sista skedet av lagstiftningscykeln. Detta skulle också underlätta utarbetandet av eventuella rådgivande yttranden från EESK om de förslag till lagstiftning som dessa konsekvensbedömningar rörde.</w:t>
      </w:r>
    </w:p>
    <w:p w:rsidR="002204BE" w:rsidRPr="00B10627" w:rsidRDefault="002204BE" w:rsidP="00493D4A">
      <w:pPr>
        <w:ind w:left="567" w:hanging="567"/>
      </w:pPr>
    </w:p>
    <w:p w:rsidR="00884750" w:rsidRPr="00B10627" w:rsidRDefault="00884750" w:rsidP="00493D4A">
      <w:pPr>
        <w:pStyle w:val="Heading4"/>
      </w:pPr>
      <w:r w:rsidRPr="00B10627">
        <w:t>EESK</w:t>
      </w:r>
      <w:r w:rsidRPr="00B10627">
        <w:rPr>
          <w:rStyle w:val="FootnoteReference"/>
        </w:rPr>
        <w:footnoteReference w:id="12"/>
      </w:r>
      <w:r w:rsidRPr="00B10627">
        <w:t xml:space="preserve"> anser att syftet med EU-lagstiftningen alltid bör vara att skapa en rättslig ram som gör det möjligt för företag och medborgare att dra nytta av fördelarna med den inre marknaden och undvika onödiga administrativa bördor. EESK anser därför att det är nödvändigt att övervaka tillämpningen på fältet. Kommittén stöder också en anpassningsbar lagstiftning.</w:t>
      </w:r>
    </w:p>
    <w:p w:rsidR="002204BE" w:rsidRPr="00B10627" w:rsidRDefault="002204BE" w:rsidP="00493D4A">
      <w:pPr>
        <w:ind w:left="567" w:hanging="567"/>
      </w:pPr>
    </w:p>
    <w:p w:rsidR="005C110A" w:rsidRPr="00B10627" w:rsidRDefault="005C110A" w:rsidP="00493D4A">
      <w:pPr>
        <w:pStyle w:val="Heading4"/>
      </w:pPr>
      <w:r w:rsidRPr="00B10627">
        <w:t>EU-lagstiftningen måste ha ett tydligt syfte, alltid överensstämma med målen i fördraget och vara flexibel i fråga om införlivandet i nationell lagstiftning</w:t>
      </w:r>
      <w:r w:rsidRPr="00B10627">
        <w:rPr>
          <w:rStyle w:val="FootnoteReference"/>
        </w:rPr>
        <w:footnoteReference w:id="13"/>
      </w:r>
      <w:r w:rsidRPr="00B10627">
        <w:t>. I detta sammanhang förespråkar EESK ett tydliggörande av subsidiaritets- och proportionalitetsprinciperna.</w:t>
      </w:r>
    </w:p>
    <w:p w:rsidR="005C110A" w:rsidRPr="00B10627" w:rsidRDefault="005C110A" w:rsidP="00493D4A">
      <w:pPr>
        <w:ind w:left="567" w:hanging="567"/>
      </w:pPr>
    </w:p>
    <w:p w:rsidR="00597735" w:rsidRPr="00B10627" w:rsidRDefault="00597735" w:rsidP="0036071A">
      <w:pPr>
        <w:pStyle w:val="Heading4"/>
        <w:keepNext/>
      </w:pPr>
      <w:r w:rsidRPr="00B10627">
        <w:t>EESK noterar också att det inte är enbart lagstiftningens innehåll utan även själva lagstiftningsförfarandet som måste kunna anpassas för att svara mot företagens och medborgarnas behov</w:t>
      </w:r>
      <w:r w:rsidRPr="00B10627">
        <w:rPr>
          <w:rStyle w:val="FootnoteReference"/>
        </w:rPr>
        <w:footnoteReference w:id="14"/>
      </w:r>
      <w:r w:rsidRPr="00B10627">
        <w:t>. I detta sammanhang efterlyser EESK</w:t>
      </w:r>
      <w:r w:rsidRPr="00B10627">
        <w:rPr>
          <w:rStyle w:val="FootnoteReference"/>
        </w:rPr>
        <w:footnoteReference w:id="15"/>
      </w:r>
    </w:p>
    <w:p w:rsidR="00ED53BE" w:rsidRPr="00B10627" w:rsidRDefault="00ED53BE" w:rsidP="0036071A">
      <w:pPr>
        <w:keepNext/>
      </w:pPr>
    </w:p>
    <w:p w:rsidR="00363F27" w:rsidRPr="00B10627" w:rsidRDefault="00444918" w:rsidP="0036071A">
      <w:pPr>
        <w:keepNext/>
        <w:overflowPunct w:val="0"/>
        <w:autoSpaceDE w:val="0"/>
        <w:autoSpaceDN w:val="0"/>
        <w:adjustRightInd w:val="0"/>
        <w:ind w:left="851" w:hanging="284"/>
        <w:textAlignment w:val="baseline"/>
      </w:pPr>
      <w:r w:rsidRPr="00B10627">
        <w:t>a.</w:t>
      </w:r>
      <w:r w:rsidRPr="00B10627">
        <w:tab/>
        <w:t>en striktare tillämpning av principerna om "bättre lagstiftning",</w:t>
      </w:r>
    </w:p>
    <w:p w:rsidR="00597735" w:rsidRPr="00B10627" w:rsidRDefault="00444918" w:rsidP="00493D4A">
      <w:pPr>
        <w:overflowPunct w:val="0"/>
        <w:autoSpaceDE w:val="0"/>
        <w:autoSpaceDN w:val="0"/>
        <w:adjustRightInd w:val="0"/>
        <w:ind w:left="851" w:hanging="284"/>
        <w:textAlignment w:val="baseline"/>
      </w:pPr>
      <w:r w:rsidRPr="00B10627">
        <w:t>b.</w:t>
      </w:r>
      <w:r w:rsidRPr="00B10627">
        <w:tab/>
        <w:t>öppenhet på alla lagstiftningsnivåer,</w:t>
      </w:r>
    </w:p>
    <w:p w:rsidR="00597735" w:rsidRPr="00B10627" w:rsidRDefault="00444918" w:rsidP="00493D4A">
      <w:pPr>
        <w:overflowPunct w:val="0"/>
        <w:autoSpaceDE w:val="0"/>
        <w:autoSpaceDN w:val="0"/>
        <w:adjustRightInd w:val="0"/>
        <w:ind w:left="851" w:hanging="284"/>
        <w:textAlignment w:val="baseline"/>
      </w:pPr>
      <w:r w:rsidRPr="00B10627">
        <w:t>c.</w:t>
      </w:r>
      <w:r w:rsidRPr="00B10627">
        <w:tab/>
        <w:t>utformning av ett mer systematiskt kontrollsystem då direktiv införlivas på nationell nivå,</w:t>
      </w:r>
    </w:p>
    <w:p w:rsidR="00597735" w:rsidRPr="00B10627" w:rsidRDefault="00444918" w:rsidP="00493D4A">
      <w:pPr>
        <w:overflowPunct w:val="0"/>
        <w:autoSpaceDE w:val="0"/>
        <w:autoSpaceDN w:val="0"/>
        <w:adjustRightInd w:val="0"/>
        <w:ind w:left="851" w:hanging="284"/>
        <w:textAlignment w:val="baseline"/>
      </w:pPr>
      <w:r w:rsidRPr="00B10627">
        <w:t>d.</w:t>
      </w:r>
      <w:r w:rsidRPr="00B10627">
        <w:tab/>
        <w:t>beaktande av den roll och de stärkta befogenheter som fördragen gett de nationella parlamenten,</w:t>
      </w:r>
    </w:p>
    <w:p w:rsidR="00597735" w:rsidRPr="00B10627" w:rsidRDefault="00444918" w:rsidP="00493D4A">
      <w:pPr>
        <w:overflowPunct w:val="0"/>
        <w:autoSpaceDE w:val="0"/>
        <w:autoSpaceDN w:val="0"/>
        <w:adjustRightInd w:val="0"/>
        <w:ind w:left="851" w:hanging="284"/>
        <w:textAlignment w:val="baseline"/>
      </w:pPr>
      <w:r w:rsidRPr="00B10627">
        <w:t>e.</w:t>
      </w:r>
      <w:r w:rsidRPr="00B10627">
        <w:tab/>
        <w:t>att kommissionen i större utsträckning använder sig av tolkningsmeddelanden,</w:t>
      </w:r>
    </w:p>
    <w:p w:rsidR="005C110A" w:rsidRPr="00B10627" w:rsidRDefault="00444918" w:rsidP="00493D4A">
      <w:pPr>
        <w:overflowPunct w:val="0"/>
        <w:autoSpaceDE w:val="0"/>
        <w:autoSpaceDN w:val="0"/>
        <w:adjustRightInd w:val="0"/>
        <w:ind w:left="851" w:hanging="284"/>
        <w:textAlignment w:val="baseline"/>
      </w:pPr>
      <w:r w:rsidRPr="00B10627">
        <w:t>f.</w:t>
      </w:r>
      <w:r w:rsidRPr="00B10627">
        <w:tab/>
        <w:t>större ansträngningar för att förenkla och kodifiera lagar.</w:t>
      </w:r>
    </w:p>
    <w:p w:rsidR="00D565A3" w:rsidRPr="00B10627" w:rsidRDefault="00D565A3" w:rsidP="00D565A3"/>
    <w:p w:rsidR="00D565A3" w:rsidRPr="00B10627" w:rsidRDefault="00D565A3" w:rsidP="00493D4A">
      <w:pPr>
        <w:pStyle w:val="Heading4"/>
      </w:pPr>
      <w:r w:rsidRPr="00B10627">
        <w:t>Större delen av svårigheterna med att tillämpa och genomfö</w:t>
      </w:r>
      <w:r w:rsidR="000C3DD7" w:rsidRPr="00B10627">
        <w:t>ra EU-rätten beror på brister i </w:t>
      </w:r>
      <w:r w:rsidRPr="00B10627">
        <w:t>införlivandet av direktiv. I sina yttranden rekommenderar därför EESK i allmänhet att man ska använda sig av förordningar i stället för direktiv</w:t>
      </w:r>
      <w:r w:rsidRPr="00B10627">
        <w:rPr>
          <w:rStyle w:val="FootnoteReference"/>
        </w:rPr>
        <w:footnoteReference w:id="16"/>
      </w:r>
      <w:r w:rsidRPr="00B10627">
        <w:t>.</w:t>
      </w:r>
    </w:p>
    <w:p w:rsidR="000474C8" w:rsidRPr="00B10627" w:rsidRDefault="000474C8" w:rsidP="0036071A">
      <w:pPr>
        <w:overflowPunct w:val="0"/>
        <w:autoSpaceDE w:val="0"/>
        <w:autoSpaceDN w:val="0"/>
        <w:adjustRightInd w:val="0"/>
        <w:ind w:left="567" w:hanging="567"/>
        <w:textAlignment w:val="baseline"/>
      </w:pPr>
    </w:p>
    <w:p w:rsidR="00920094" w:rsidRPr="00B10627" w:rsidRDefault="000474C8" w:rsidP="00493D4A">
      <w:pPr>
        <w:pStyle w:val="Heading4"/>
      </w:pPr>
      <w:r w:rsidRPr="00B10627">
        <w:t>På samma sätt har kommissionen inom ramen för Refit me</w:t>
      </w:r>
      <w:r w:rsidR="000C3DD7" w:rsidRPr="00B10627">
        <w:t>ddelat att samråd bör äga rum i </w:t>
      </w:r>
      <w:r w:rsidRPr="00B10627">
        <w:t>samband med utvärderingar, kontroller av ändamålsenligheten och utarbetandet av delegerade akter och genomförandeakter. I detta avseende bör kommissionen också ta större hänsyn till yttrandena från sin nämnd för lagstiftningskontroll, som nu också har behörighet när det gäller efterhandsutvärderingar.</w:t>
      </w:r>
    </w:p>
    <w:p w:rsidR="00920094" w:rsidRPr="00B10627" w:rsidRDefault="00920094" w:rsidP="00493D4A">
      <w:pPr>
        <w:ind w:left="567" w:hanging="567"/>
      </w:pPr>
    </w:p>
    <w:p w:rsidR="000474C8" w:rsidRPr="00B10627" w:rsidRDefault="00920094" w:rsidP="00493D4A">
      <w:pPr>
        <w:pStyle w:val="Heading4"/>
      </w:pPr>
      <w:r w:rsidRPr="00B10627">
        <w:t>EESK anser att en förbättring av kommissionens samråd med berörda parter är avgörande för utarbetandet av en lagstiftning som är lätt att genomföra för medlemsstaterna och de berörda parterna. I detta avseende har kommittén redan lagt fram förslag för att strukturellt förbättra och övervaka samrådsprocessen</w:t>
      </w:r>
      <w:r w:rsidRPr="00B10627">
        <w:rPr>
          <w:rStyle w:val="FootnoteReference"/>
        </w:rPr>
        <w:footnoteReference w:id="17"/>
      </w:r>
      <w:r w:rsidRPr="00B10627">
        <w:t>.</w:t>
      </w:r>
    </w:p>
    <w:p w:rsidR="000474C8" w:rsidRPr="00B10627" w:rsidRDefault="000474C8" w:rsidP="00493D4A">
      <w:pPr>
        <w:ind w:left="567" w:hanging="567"/>
      </w:pPr>
    </w:p>
    <w:p w:rsidR="000474C8" w:rsidRPr="00B10627" w:rsidRDefault="000474C8" w:rsidP="00493D4A">
      <w:pPr>
        <w:pStyle w:val="Heading4"/>
      </w:pPr>
      <w:r w:rsidRPr="00B10627">
        <w:t>EESK har haft tillfälle att beklaga att man i åtgärderna i programmet för bättre lagstiftning inte i tillräcklig utsträckning tar fasta på EESK:s roll, funktion och representativitet enligt fördragen, vilket gör att man inte utnyttjar möjligheten att använda sig av kommittéledamöternas expertis och sakkunskap och inte gör EESK:s uppgifter rättvisa. Tyvärr avspeglar EESK:s deltagande i Refit-plattformen (efterhandsfasen) inte i tillräcklig utsträckning kommitténs uppgifter och ansvar för att stärka institutionernas demokratiska legitimitet och effektivitet</w:t>
      </w:r>
      <w:r w:rsidRPr="00B10627">
        <w:rPr>
          <w:rStyle w:val="FootnoteReference"/>
        </w:rPr>
        <w:footnoteReference w:id="18"/>
      </w:r>
      <w:r w:rsidRPr="00B10627">
        <w:t>.</w:t>
      </w:r>
    </w:p>
    <w:p w:rsidR="00D237A1" w:rsidRPr="00B10627" w:rsidRDefault="00D237A1" w:rsidP="00493D4A">
      <w:pPr>
        <w:ind w:left="567" w:hanging="567"/>
      </w:pPr>
    </w:p>
    <w:p w:rsidR="002204BE" w:rsidRPr="00B10627" w:rsidRDefault="00597735" w:rsidP="00BD63DB">
      <w:pPr>
        <w:pStyle w:val="Heading4"/>
        <w:keepNext/>
        <w:keepLines/>
      </w:pPr>
      <w:r w:rsidRPr="00B10627">
        <w:t>EESK anser att tillämpningen av EU:s regelverk också ofta blir lidande pga. de nationella myndigheternas bristande politiska vilja att uppfylla och genomdriva de bestämmelser som upplevs som främmande i deras rättsordning och nationella tradition samt den envisa benägenheten att lägga till nya onödiga bestämmelser till EU-bestämmelserna eller att välja ut vissa delar och välja bort andra i dessa bestämmelser</w:t>
      </w:r>
      <w:r w:rsidRPr="00B10627">
        <w:rPr>
          <w:rStyle w:val="FootnoteReference"/>
        </w:rPr>
        <w:footnoteReference w:id="19"/>
      </w:r>
      <w:r w:rsidRPr="00B10627">
        <w:t>.</w:t>
      </w:r>
    </w:p>
    <w:p w:rsidR="002B2964" w:rsidRPr="00B10627" w:rsidRDefault="002B2964" w:rsidP="00493D4A">
      <w:pPr>
        <w:ind w:left="567" w:hanging="567"/>
      </w:pPr>
    </w:p>
    <w:p w:rsidR="002B2964" w:rsidRPr="00B10627" w:rsidRDefault="002B2964" w:rsidP="0088723D">
      <w:pPr>
        <w:pStyle w:val="Heading4"/>
      </w:pPr>
      <w:r w:rsidRPr="00B10627">
        <w:t>Slutligen anser kommittén att EU Pilot-systemet (en informell dialog mellan kommissionen och medlemsstaterna om bristande efterlevnad av EU-rätten innan ett formellt överträdelse</w:t>
      </w:r>
      <w:r w:rsidR="000C3DD7" w:rsidRPr="00B10627">
        <w:softHyphen/>
      </w:r>
      <w:r w:rsidRPr="00B10627">
        <w:t>förfarande inleds) är ett annat steg i rätt riktning, men dess funktionssätt måste fortfarande utvärderas. Dessutom får detta system inte användas i stället för överträdelseförfaranden.</w:t>
      </w:r>
    </w:p>
    <w:p w:rsidR="00444918" w:rsidRPr="00B10627" w:rsidRDefault="00444918" w:rsidP="00493D4A">
      <w:pPr>
        <w:ind w:left="567" w:hanging="567"/>
      </w:pPr>
    </w:p>
    <w:p w:rsidR="00830569" w:rsidRPr="00B10627" w:rsidRDefault="00830569" w:rsidP="00A97EC1">
      <w:pPr>
        <w:pStyle w:val="Heading3"/>
        <w:keepNext/>
      </w:pPr>
      <w:r w:rsidRPr="00B10627">
        <w:rPr>
          <w:b/>
        </w:rPr>
        <w:t>Öppenhet</w:t>
      </w:r>
    </w:p>
    <w:p w:rsidR="005D6306" w:rsidRPr="00B10627" w:rsidRDefault="005D6306" w:rsidP="00A97EC1">
      <w:pPr>
        <w:keepNext/>
        <w:ind w:left="567" w:hanging="567"/>
      </w:pPr>
    </w:p>
    <w:p w:rsidR="00C53E8B" w:rsidRPr="00B10627" w:rsidRDefault="00C53E8B" w:rsidP="00493D4A">
      <w:pPr>
        <w:pStyle w:val="Heading4"/>
      </w:pPr>
      <w:r w:rsidRPr="00B10627">
        <w:t>EESK</w:t>
      </w:r>
      <w:r w:rsidRPr="00B10627">
        <w:rPr>
          <w:rStyle w:val="FootnoteReference"/>
        </w:rPr>
        <w:footnoteReference w:id="20"/>
      </w:r>
      <w:r w:rsidRPr="00B10627">
        <w:t xml:space="preserve"> anser att all lagstiftning måste vara resultatet av offentliga politiska överläggningar. Kommittén anser att EU:s lagstiftningsförfarande bör ses över inom ramen för Lissabonfördraget och vid behov inom ramen för ett nytt fördrag så att EU-politiken kan ge bättre resultat. EESK vill lyfta fram lagstiftningens kvalitet, legitimitet, öppenhet och inkluderande karaktär.</w:t>
      </w:r>
    </w:p>
    <w:p w:rsidR="00C53E8B" w:rsidRPr="00B10627" w:rsidRDefault="00C53E8B" w:rsidP="00493D4A">
      <w:pPr>
        <w:ind w:left="567" w:hanging="567"/>
      </w:pPr>
    </w:p>
    <w:p w:rsidR="002204BE" w:rsidRPr="00B10627" w:rsidRDefault="00830569" w:rsidP="00493D4A">
      <w:pPr>
        <w:pStyle w:val="Heading4"/>
      </w:pPr>
      <w:r w:rsidRPr="00B10627">
        <w:t>Mötena i de rådskonstellationer som fattar beslut med kvalificerad majoritet bör vara offentliga för öppenhetens och demokratins skull. EESK anser att det påskyndade lagstiftningsförfarandet genom trepartsmöten endast bör tillämpas i brådskande situationer, vilket för övrigt stämmer överens med vad som anges i fördraget</w:t>
      </w:r>
      <w:r w:rsidRPr="00B10627">
        <w:rPr>
          <w:rStyle w:val="FootnoteReference"/>
        </w:rPr>
        <w:footnoteReference w:id="21"/>
      </w:r>
      <w:r w:rsidRPr="00B10627">
        <w:t>.</w:t>
      </w:r>
    </w:p>
    <w:p w:rsidR="00830569" w:rsidRPr="00B10627" w:rsidRDefault="00830569" w:rsidP="004F550A"/>
    <w:p w:rsidR="00597735" w:rsidRPr="00B10627" w:rsidRDefault="00597735" w:rsidP="00493D4A">
      <w:pPr>
        <w:pStyle w:val="Heading4"/>
      </w:pPr>
      <w:r w:rsidRPr="00B10627">
        <w:t>Till skillnad från Europaparlamentets utskott är trepartsmötena varken öppna eller tillgängliga. Att begränsa lagstiftningsförfarandet till en enda behandling innebär att det civila samhällets deltagande inskränks</w:t>
      </w:r>
      <w:r w:rsidRPr="00B10627">
        <w:rPr>
          <w:rStyle w:val="FootnoteReference"/>
        </w:rPr>
        <w:footnoteReference w:id="22"/>
      </w:r>
      <w:r w:rsidRPr="00B10627">
        <w:t>.</w:t>
      </w:r>
    </w:p>
    <w:p w:rsidR="00C53E8B" w:rsidRPr="00B10627" w:rsidRDefault="00C53E8B" w:rsidP="00493D4A">
      <w:pPr>
        <w:ind w:left="567" w:hanging="567"/>
      </w:pPr>
    </w:p>
    <w:p w:rsidR="00C53E8B" w:rsidRPr="00B10627" w:rsidRDefault="00B10627" w:rsidP="00493D4A">
      <w:pPr>
        <w:pStyle w:val="Heading4"/>
      </w:pPr>
      <w:r w:rsidRPr="00B10627">
        <w:t>Europaparlamentet</w:t>
      </w:r>
      <w:r w:rsidR="00C53E8B" w:rsidRPr="00B10627">
        <w:t xml:space="preserve"> och organ såsom Europeiska regionkommittén (ReK) och EESK bör integreras bättre i den europeiska planeringsterminen</w:t>
      </w:r>
      <w:r w:rsidR="00C53E8B" w:rsidRPr="00B10627">
        <w:rPr>
          <w:rStyle w:val="FootnoteReference"/>
        </w:rPr>
        <w:footnoteReference w:id="23"/>
      </w:r>
      <w:r w:rsidR="00C53E8B" w:rsidRPr="00B10627">
        <w:t>.</w:t>
      </w:r>
    </w:p>
    <w:p w:rsidR="00C53E8B" w:rsidRPr="00B10627" w:rsidRDefault="00C53E8B" w:rsidP="00493D4A">
      <w:pPr>
        <w:ind w:left="567" w:hanging="567"/>
      </w:pPr>
    </w:p>
    <w:p w:rsidR="00597735" w:rsidRPr="00B10627" w:rsidRDefault="00C53E8B" w:rsidP="00493D4A">
      <w:pPr>
        <w:pStyle w:val="Heading4"/>
      </w:pPr>
      <w:r w:rsidRPr="00B10627">
        <w:t>När det gäller delegerade akter bör kommissionen säkerställa en större insyn i sitt beslutsfattande (se artikel 290 i EUF-fördraget), vilket kommittén har betonat vid upprepade tillfällen</w:t>
      </w:r>
      <w:r w:rsidRPr="00B10627">
        <w:rPr>
          <w:rStyle w:val="FootnoteReference"/>
        </w:rPr>
        <w:footnoteReference w:id="24"/>
      </w:r>
      <w:r w:rsidRPr="00B10627">
        <w:t>.</w:t>
      </w:r>
    </w:p>
    <w:p w:rsidR="00597735" w:rsidRPr="00B10627" w:rsidRDefault="00597735" w:rsidP="004F550A"/>
    <w:p w:rsidR="00597735" w:rsidRPr="00B10627" w:rsidRDefault="006158AC" w:rsidP="00493D4A">
      <w:pPr>
        <w:pStyle w:val="Heading4"/>
      </w:pPr>
      <w:r w:rsidRPr="00B10627">
        <w:t>Dessutom leder det ökade antalet olika namn på agendor och program ("Bättre lagstiftning", "Smart lagstiftning", "Tänk småskaligt först" osv.) till en viss förvirring. Hierarkin bland dessa program och projekt samt deras samverkan måste klargöras så att allmänheten förstår vem de riktar sig till</w:t>
      </w:r>
      <w:r w:rsidRPr="00B10627">
        <w:rPr>
          <w:rStyle w:val="FootnoteReference"/>
        </w:rPr>
        <w:footnoteReference w:id="25"/>
      </w:r>
      <w:r w:rsidRPr="00B10627">
        <w:t>.</w:t>
      </w:r>
    </w:p>
    <w:p w:rsidR="006F61FB" w:rsidRPr="00B10627" w:rsidRDefault="006F61FB" w:rsidP="004F550A"/>
    <w:p w:rsidR="006F61FB" w:rsidRPr="00B10627" w:rsidRDefault="006F61FB" w:rsidP="00493D4A">
      <w:pPr>
        <w:pStyle w:val="Heading4"/>
      </w:pPr>
      <w:r w:rsidRPr="00B10627">
        <w:t>För öppenhetens och legitimitetens skull anser EESK</w:t>
      </w:r>
      <w:r w:rsidRPr="00B10627">
        <w:rPr>
          <w:rStyle w:val="FootnoteReference"/>
        </w:rPr>
        <w:footnoteReference w:id="26"/>
      </w:r>
      <w:r w:rsidRPr="00B10627">
        <w:t xml:space="preserve"> vidare att kommissionens samråd bör genomföras utan att det påverkar den strukturerade dialogen med det civila samhället (artikel 11.2 i EU-fördraget) och de samråd som äger rum inom specifika ramar, t.ex. samråd med arbetsmarknadens parter inom ramen för den sociala dialogen (artikel 154 i EUF-fördraget) eller samråd med de rådgivande organen, såsom EESK (artikel 304 i EUF-fördraget).</w:t>
      </w:r>
    </w:p>
    <w:p w:rsidR="00597735" w:rsidRPr="00B10627" w:rsidRDefault="00597735" w:rsidP="00493D4A">
      <w:pPr>
        <w:ind w:left="567" w:hanging="567"/>
      </w:pPr>
    </w:p>
    <w:p w:rsidR="00830569" w:rsidRPr="00B10627" w:rsidRDefault="00830569" w:rsidP="00A97EC1">
      <w:pPr>
        <w:pStyle w:val="Heading3"/>
        <w:keepNext/>
        <w:rPr>
          <w:b/>
        </w:rPr>
      </w:pPr>
      <w:r w:rsidRPr="00B10627">
        <w:rPr>
          <w:b/>
        </w:rPr>
        <w:t>Allmänhetens medvetenhet</w:t>
      </w:r>
    </w:p>
    <w:p w:rsidR="00502A4E" w:rsidRPr="00B10627" w:rsidRDefault="00502A4E" w:rsidP="00A97EC1">
      <w:pPr>
        <w:keepNext/>
        <w:ind w:left="567" w:hanging="567"/>
        <w:rPr>
          <w:b/>
        </w:rPr>
      </w:pPr>
    </w:p>
    <w:p w:rsidR="00830569" w:rsidRPr="00B10627" w:rsidRDefault="00D71A02" w:rsidP="00493D4A">
      <w:pPr>
        <w:pStyle w:val="Heading4"/>
      </w:pPr>
      <w:r w:rsidRPr="00B10627">
        <w:t>Det är nödvändigt att främja och förbättra kommunikationen med allmänheten. Kommunikation skapar intresse, vilket i sin tur bidrar till förståelse. Den så kallade nya skildringen av Europa bör inledas med en kommunikations- och förenklingsstrategi som är gemensam för kommissionen och medlemsstaterna. I detta sammanhang verkar det lämpligt att upprepa det som EESK betonade i sitt yttrande om "En inremarknadsakt", nämligen att politiska partier, massmedia, utbildningsinstitut och samtliga berörda aktörer har ett historiskt ansvar för att EU framgångsrikt ska kunna klara utmaningarna från en globaliserad värld på basis av de värden som hittills har utmärkt vår sociala marknadsekonomi</w:t>
      </w:r>
      <w:r w:rsidRPr="00B10627">
        <w:rPr>
          <w:rStyle w:val="FootnoteReference"/>
        </w:rPr>
        <w:footnoteReference w:id="27"/>
      </w:r>
      <w:r w:rsidRPr="00B10627">
        <w:t>.</w:t>
      </w:r>
    </w:p>
    <w:p w:rsidR="00606010" w:rsidRPr="00B10627" w:rsidRDefault="00606010" w:rsidP="004F550A"/>
    <w:p w:rsidR="00597735" w:rsidRPr="00B10627" w:rsidRDefault="00597735" w:rsidP="00493D4A">
      <w:pPr>
        <w:pStyle w:val="Heading4"/>
      </w:pPr>
      <w:r w:rsidRPr="00B10627">
        <w:t>De stödnätverk som kommissionen inrättat är ännu alltför okända. Det gäller särskilt Solvit-nätverket, som syftar till att hjälpa EU:s medborgare och företag när de offentliga myndigheterna i en annan medlemsstat inte respekterar deras rättigheter. EESK välkomnar kommissionens initiativ för att bättre främja detta nätverk.</w:t>
      </w:r>
    </w:p>
    <w:p w:rsidR="00597735" w:rsidRPr="00B10627" w:rsidRDefault="00597735" w:rsidP="004F550A"/>
    <w:p w:rsidR="00AA2776" w:rsidRPr="00B10627" w:rsidRDefault="00AA2776" w:rsidP="00493D4A">
      <w:pPr>
        <w:pStyle w:val="Heading4"/>
      </w:pPr>
      <w:r w:rsidRPr="00B10627">
        <w:t>En möjlig lösning</w:t>
      </w:r>
      <w:r w:rsidRPr="00B10627">
        <w:rPr>
          <w:rStyle w:val="FootnoteReference"/>
        </w:rPr>
        <w:footnoteReference w:id="28"/>
      </w:r>
      <w:r w:rsidRPr="00B10627">
        <w:t xml:space="preserve"> skulle vara att kommissionen satsar mer på offentlig information om överträdelser, för i slutändan är det medlemsstaternas regeringar som införlivar lagstiftningen felaktigt, för sent eller inte alls. Det var de som antog den berörda lagstiftningen i rådet. De är ansvariga för det allmänt bristfälliga genomförande av EU:s regel</w:t>
      </w:r>
      <w:r w:rsidR="000C3DD7" w:rsidRPr="00B10627">
        <w:t>verk som konstateras varje år i </w:t>
      </w:r>
      <w:r w:rsidRPr="00B10627">
        <w:t>rapporterna om tillämpningen av EU-rätten. Kommissionen bör också systematiskt undersöka vilka åtgärder som är nödvändiga för att i grunden förändra den rådande situationen samt ta hänsyn till EESK:s tidigare förslag</w:t>
      </w:r>
      <w:r w:rsidRPr="00B10627">
        <w:rPr>
          <w:rStyle w:val="FootnoteReference"/>
        </w:rPr>
        <w:footnoteReference w:id="29"/>
      </w:r>
      <w:r w:rsidRPr="00B10627">
        <w:t xml:space="preserve"> i frågan.</w:t>
      </w:r>
    </w:p>
    <w:p w:rsidR="00AA2776" w:rsidRPr="00B10627" w:rsidRDefault="00AA2776" w:rsidP="00493D4A">
      <w:pPr>
        <w:ind w:left="567" w:hanging="567"/>
      </w:pPr>
    </w:p>
    <w:p w:rsidR="0045737E" w:rsidRPr="00B10627" w:rsidRDefault="000436DD" w:rsidP="00493D4A">
      <w:pPr>
        <w:pStyle w:val="Heading2"/>
      </w:pPr>
      <w:r w:rsidRPr="00B10627">
        <w:rPr>
          <w:b/>
        </w:rPr>
        <w:t>Om kommissionens viktigaste ansvar när det gäller en bättre tillämpning av EU-rätten</w:t>
      </w:r>
      <w:r w:rsidRPr="00B10627">
        <w:t xml:space="preserve"> (övervakning av tillämpningen av EU-rätten</w:t>
      </w:r>
      <w:r w:rsidRPr="00B10627">
        <w:rPr>
          <w:rStyle w:val="FootnoteReference"/>
        </w:rPr>
        <w:footnoteReference w:id="30"/>
      </w:r>
      <w:r w:rsidRPr="00B10627">
        <w:t xml:space="preserve"> och medlemsstaternas efterlevnad av den)</w:t>
      </w:r>
    </w:p>
    <w:p w:rsidR="0045737E" w:rsidRPr="00B10627" w:rsidRDefault="0045737E" w:rsidP="00493D4A">
      <w:pPr>
        <w:ind w:left="567" w:hanging="567"/>
      </w:pPr>
    </w:p>
    <w:p w:rsidR="00502A4E" w:rsidRPr="00B10627" w:rsidRDefault="00502A4E" w:rsidP="00493D4A">
      <w:pPr>
        <w:pStyle w:val="Heading3"/>
      </w:pPr>
      <w:r w:rsidRPr="00B10627">
        <w:t>Frågan om övervakning av tillämpningen av EU-rätten är naturligtvis viktig för EESK, som har lagt fram specifika yttranden om detta</w:t>
      </w:r>
      <w:r w:rsidRPr="00B10627">
        <w:rPr>
          <w:rStyle w:val="FootnoteReference"/>
        </w:rPr>
        <w:footnoteReference w:id="31"/>
      </w:r>
      <w:r w:rsidRPr="00B10627">
        <w:t>. Kommittén har också behandlat frågan i yttranden om andra ämnen (smart lagstiftning, bättre lagstiftning, Refit osv.) samt vid hearingar och seminarier om ämnet (särskilt inom ramen för sin observationsgrupp för inre marknaden).</w:t>
      </w:r>
    </w:p>
    <w:p w:rsidR="0019025A" w:rsidRPr="00B10627" w:rsidRDefault="0019025A" w:rsidP="004F550A"/>
    <w:p w:rsidR="004221F5" w:rsidRPr="00B10627" w:rsidRDefault="004221F5" w:rsidP="0036071A">
      <w:pPr>
        <w:pStyle w:val="Heading3"/>
        <w:rPr>
          <w:rFonts w:eastAsia="PMingLiU"/>
        </w:rPr>
      </w:pPr>
      <w:r w:rsidRPr="00B10627">
        <w:t>I detta sammanhang har EESK ofta uppmanat kommissionen att begära kommitténs yttrande om kommissionens årliga rapport för att ta hänsyn till det organiserade civila samhällets perspektiv när det gäller genomförandet av EU:s lagstiftning och på så sätt stödja tillämpningen av lagstiftningen i EU</w:t>
      </w:r>
      <w:r w:rsidRPr="00B10627">
        <w:rPr>
          <w:rStyle w:val="FootnoteReference"/>
        </w:rPr>
        <w:footnoteReference w:id="32"/>
      </w:r>
      <w:r w:rsidRPr="00B10627">
        <w:t>.</w:t>
      </w:r>
    </w:p>
    <w:p w:rsidR="004221F5" w:rsidRPr="00B10627" w:rsidRDefault="004221F5" w:rsidP="00493D4A">
      <w:pPr>
        <w:ind w:left="567" w:hanging="567"/>
      </w:pPr>
    </w:p>
    <w:p w:rsidR="004221F5" w:rsidRPr="00B10627" w:rsidRDefault="0045737E" w:rsidP="0036071A">
      <w:pPr>
        <w:pStyle w:val="Heading3"/>
      </w:pPr>
      <w:r w:rsidRPr="00B10627">
        <w:t>EESK anser nämligen att kommittén kan spela en viktig roll som förmedlare mellan lagstiftarna och dem som använder EU-lagstiftningen. Kommittén kan t.ex. ge ett särskilt bidrag till Europaparlamentets initiativbetänkande om den årliga rapporten om genomförandet av EU:s lagstiftning i medlemsstaterna med inriktning på de till</w:t>
      </w:r>
      <w:r w:rsidR="000C3DD7" w:rsidRPr="00B10627">
        <w:t>ägg som medlemsstaterna inför i </w:t>
      </w:r>
      <w:r w:rsidRPr="00B10627">
        <w:t>samband med införlivandet</w:t>
      </w:r>
      <w:r w:rsidRPr="00B10627">
        <w:rPr>
          <w:rStyle w:val="FootnoteReference"/>
        </w:rPr>
        <w:footnoteReference w:id="33"/>
      </w:r>
      <w:r w:rsidRPr="00B10627">
        <w:t>.</w:t>
      </w:r>
    </w:p>
    <w:p w:rsidR="0045737E" w:rsidRPr="00B10627" w:rsidRDefault="0045737E" w:rsidP="004F550A"/>
    <w:p w:rsidR="0076096E" w:rsidRPr="00B10627" w:rsidRDefault="004221F5" w:rsidP="0036071A">
      <w:pPr>
        <w:pStyle w:val="Heading3"/>
      </w:pPr>
      <w:r w:rsidRPr="00B10627">
        <w:t>EESK</w:t>
      </w:r>
      <w:r w:rsidRPr="00B10627">
        <w:rPr>
          <w:rStyle w:val="FootnoteReference"/>
        </w:rPr>
        <w:footnoteReference w:id="34"/>
      </w:r>
      <w:r w:rsidRPr="00B10627">
        <w:t xml:space="preserve"> har dessutom föreslagit åtgärder för att förbättra införlivandet av direktiv, särskilt</w:t>
      </w:r>
    </w:p>
    <w:p w:rsidR="00493D4A" w:rsidRPr="00B10627" w:rsidRDefault="00493D4A" w:rsidP="00493D4A"/>
    <w:p w:rsidR="0076096E" w:rsidRPr="00B10627" w:rsidRDefault="0076096E" w:rsidP="00493D4A">
      <w:pPr>
        <w:pStyle w:val="Heading3"/>
        <w:numPr>
          <w:ilvl w:val="0"/>
          <w:numId w:val="34"/>
        </w:numPr>
        <w:ind w:left="851" w:hanging="284"/>
      </w:pPr>
      <w:r w:rsidRPr="00B10627">
        <w:t>att tidigarelägga valet av lagstiftningsinstrument för införlivande,</w:t>
      </w:r>
    </w:p>
    <w:p w:rsidR="0076096E" w:rsidRPr="00B10627" w:rsidRDefault="0076096E" w:rsidP="00493D4A">
      <w:pPr>
        <w:pStyle w:val="Heading3"/>
        <w:numPr>
          <w:ilvl w:val="0"/>
          <w:numId w:val="34"/>
        </w:numPr>
        <w:ind w:left="851" w:hanging="284"/>
      </w:pPr>
      <w:r w:rsidRPr="00B10627">
        <w:t>att påskynda införlivandeprocessen så snart som direktivet har offentliggjorts i EUT genom att överlåta den interna samordningen till en intern kontaktpunkt som förvaltar en databas som inrättats i detta syfte,</w:t>
      </w:r>
    </w:p>
    <w:p w:rsidR="0076096E" w:rsidRPr="00B10627" w:rsidRDefault="0076096E" w:rsidP="00493D4A">
      <w:pPr>
        <w:pStyle w:val="Heading3"/>
        <w:numPr>
          <w:ilvl w:val="0"/>
          <w:numId w:val="34"/>
        </w:numPr>
        <w:ind w:left="851" w:hanging="284"/>
      </w:pPr>
      <w:r w:rsidRPr="00B10627">
        <w:t>att främja införlivande genom direkt återgivning när det rör sig om precisa och ovillkorliga bestämmelser eller definitioner,</w:t>
      </w:r>
    </w:p>
    <w:p w:rsidR="0076096E" w:rsidRPr="00B10627" w:rsidRDefault="0076096E" w:rsidP="00493D4A">
      <w:pPr>
        <w:pStyle w:val="Heading3"/>
        <w:numPr>
          <w:ilvl w:val="0"/>
          <w:numId w:val="34"/>
        </w:numPr>
        <w:ind w:left="851" w:hanging="284"/>
      </w:pPr>
      <w:r w:rsidRPr="00B10627">
        <w:t xml:space="preserve">att tillåta införlivande i form av specifika hänvisningar till föreskrivande/ovillkorliga bestämmelser i direktiven, t.ex. bilagor med förteckningar, tabeller över produkter, ämnen eller föremål som omfattas av direktivet, mallar för blanketter och intyg, </w:t>
      </w:r>
    </w:p>
    <w:p w:rsidR="0076096E" w:rsidRPr="00B10627" w:rsidRDefault="0076096E" w:rsidP="00493D4A">
      <w:pPr>
        <w:pStyle w:val="Heading3"/>
        <w:numPr>
          <w:ilvl w:val="0"/>
          <w:numId w:val="34"/>
        </w:numPr>
        <w:ind w:left="851" w:hanging="284"/>
      </w:pPr>
      <w:r w:rsidRPr="00B10627">
        <w:t>att anpassa de nationella förfarandena för införlivande till direktivets tillämpningsområde genom att använda påskyndade förfaranden, dock utan att försumma de obligatoriska interna samråd som krävs för antagande av normerande texter.</w:t>
      </w:r>
    </w:p>
    <w:p w:rsidR="004221F5" w:rsidRPr="00B10627" w:rsidRDefault="004221F5" w:rsidP="004F550A"/>
    <w:p w:rsidR="00B80D88" w:rsidRPr="00B10627" w:rsidRDefault="0045737E" w:rsidP="0036071A">
      <w:pPr>
        <w:pStyle w:val="Heading3"/>
        <w:keepNext/>
      </w:pPr>
      <w:r w:rsidRPr="00B10627">
        <w:t>EESK anser också att lämplig övervakning av EU-frågor i medlemsstaterna skulle vara till stor hjälp för kommissionen och främja kvaliteten på dess arbete</w:t>
      </w:r>
      <w:r w:rsidRPr="00B10627">
        <w:rPr>
          <w:rStyle w:val="FootnoteReference"/>
        </w:rPr>
        <w:footnoteReference w:id="35"/>
      </w:r>
      <w:r w:rsidRPr="00B10627">
        <w:t>.</w:t>
      </w:r>
    </w:p>
    <w:p w:rsidR="009E5A3C" w:rsidRPr="00B10627" w:rsidRDefault="009E5A3C" w:rsidP="009E5A3C"/>
    <w:p w:rsidR="009E5A3C" w:rsidRPr="00B10627" w:rsidRDefault="009E5A3C" w:rsidP="009E5A3C">
      <w:r w:rsidRPr="00B10627">
        <w:t>Bryssel den 18 oktober 2017</w:t>
      </w:r>
    </w:p>
    <w:p w:rsidR="009E5A3C" w:rsidRPr="00B10627" w:rsidRDefault="009E5A3C" w:rsidP="009E5A3C"/>
    <w:p w:rsidR="009E5A3C" w:rsidRPr="00B10627" w:rsidRDefault="009E5A3C" w:rsidP="009E5A3C"/>
    <w:p w:rsidR="009E5A3C" w:rsidRPr="00B10627" w:rsidRDefault="009E5A3C" w:rsidP="009E5A3C"/>
    <w:p w:rsidR="009E5A3C" w:rsidRPr="00B10627" w:rsidRDefault="009E5A3C" w:rsidP="009E5A3C"/>
    <w:p w:rsidR="0045737E" w:rsidRPr="00B10627" w:rsidRDefault="009E5A3C" w:rsidP="009E5A3C">
      <w:r w:rsidRPr="00B10627">
        <w:t xml:space="preserve">Georges Dassis </w:t>
      </w:r>
      <w:r w:rsidRPr="00B10627">
        <w:br/>
        <w:t>Europeiska ekonomiska och sociala kommitténs ordförande</w:t>
      </w:r>
    </w:p>
    <w:p w:rsidR="006114FB" w:rsidRPr="00B10627" w:rsidRDefault="006114FB" w:rsidP="009E5A3C"/>
    <w:p w:rsidR="00870305" w:rsidRPr="00B10627" w:rsidRDefault="00870305" w:rsidP="00A97EC1">
      <w:pPr>
        <w:jc w:val="center"/>
      </w:pPr>
      <w:r w:rsidRPr="00B10627">
        <w:t>____________</w:t>
      </w:r>
    </w:p>
    <w:sectPr w:rsidR="00870305" w:rsidRPr="00B10627" w:rsidSect="009231D1">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D32" w:rsidRDefault="00B43D32">
      <w:r>
        <w:separator/>
      </w:r>
    </w:p>
  </w:endnote>
  <w:endnote w:type="continuationSeparator" w:id="0">
    <w:p w:rsidR="00B43D32" w:rsidRDefault="00B4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D1" w:rsidRPr="009231D1" w:rsidRDefault="009231D1" w:rsidP="00923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9231D1" w:rsidP="009231D1">
    <w:pPr>
      <w:pStyle w:val="Footer"/>
    </w:pPr>
    <w:r>
      <w:t xml:space="preserve">EESC-2017-04279-00-00-AC-TRA (FR) </w:t>
    </w:r>
    <w:r>
      <w:fldChar w:fldCharType="begin"/>
    </w:r>
    <w:r>
      <w:instrText xml:space="preserve"> PAGE  \* Arabic  \* MERGEFORMAT </w:instrText>
    </w:r>
    <w:r>
      <w:fldChar w:fldCharType="separate"/>
    </w:r>
    <w:r w:rsidR="00BF26BB">
      <w:rPr>
        <w:noProof/>
      </w:rPr>
      <w:t>1</w:t>
    </w:r>
    <w:r>
      <w:fldChar w:fldCharType="end"/>
    </w:r>
    <w:r>
      <w:t>/</w:t>
    </w:r>
    <w:r>
      <w:fldChar w:fldCharType="begin"/>
    </w:r>
    <w:r>
      <w:instrText xml:space="preserve"> = </w:instrText>
    </w:r>
    <w:fldSimple w:instr=" NUMPAGES ">
      <w:r w:rsidR="00BF26BB">
        <w:rPr>
          <w:noProof/>
        </w:rPr>
        <w:instrText>1</w:instrText>
      </w:r>
    </w:fldSimple>
    <w:r>
      <w:instrText xml:space="preserve"> </w:instrText>
    </w:r>
    <w:r>
      <w:fldChar w:fldCharType="separate"/>
    </w:r>
    <w:r w:rsidR="00BF26B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D1" w:rsidRPr="009231D1" w:rsidRDefault="009231D1" w:rsidP="009231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C35AAB" w:rsidP="009231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9231D1" w:rsidP="009231D1">
    <w:pPr>
      <w:pStyle w:val="Footer"/>
    </w:pPr>
    <w:r>
      <w:t xml:space="preserve">EESC-2017-04279-00-00-AC-TRA (FR) </w:t>
    </w:r>
    <w:r>
      <w:fldChar w:fldCharType="begin"/>
    </w:r>
    <w:r>
      <w:instrText xml:space="preserve"> PAGE  \* Arabic  \* MERGEFORMAT </w:instrText>
    </w:r>
    <w:r>
      <w:fldChar w:fldCharType="separate"/>
    </w:r>
    <w:r w:rsidR="00B10627">
      <w:rPr>
        <w:noProof/>
      </w:rPr>
      <w:t>11</w:t>
    </w:r>
    <w:r>
      <w:fldChar w:fldCharType="end"/>
    </w:r>
    <w:r>
      <w:t>/</w:t>
    </w:r>
    <w:r>
      <w:fldChar w:fldCharType="begin"/>
    </w:r>
    <w:r>
      <w:instrText xml:space="preserve"> = </w:instrText>
    </w:r>
    <w:fldSimple w:instr=" NUMPAGES ">
      <w:r w:rsidR="00B10627">
        <w:rPr>
          <w:noProof/>
        </w:rPr>
        <w:instrText>11</w:instrText>
      </w:r>
    </w:fldSimple>
    <w:r>
      <w:instrText xml:space="preserve"> </w:instrText>
    </w:r>
    <w:r>
      <w:fldChar w:fldCharType="separate"/>
    </w:r>
    <w:r w:rsidR="00B10627">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C35AAB" w:rsidP="00923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D32" w:rsidRDefault="00B43D32">
      <w:r>
        <w:separator/>
      </w:r>
    </w:p>
  </w:footnote>
  <w:footnote w:type="continuationSeparator" w:id="0">
    <w:p w:rsidR="00B43D32" w:rsidRDefault="00B43D32">
      <w:r>
        <w:continuationSeparator/>
      </w:r>
    </w:p>
  </w:footnote>
  <w:footnote w:id="1">
    <w:p w:rsidR="00C35AAB" w:rsidRPr="00C8483D" w:rsidRDefault="00C35AAB" w:rsidP="009730FE">
      <w:pPr>
        <w:pStyle w:val="FootnoteText"/>
        <w:spacing w:after="0"/>
        <w:rPr>
          <w:szCs w:val="16"/>
        </w:rPr>
      </w:pPr>
      <w:r>
        <w:rPr>
          <w:rStyle w:val="FootnoteReference"/>
        </w:rPr>
        <w:footnoteRef/>
      </w:r>
      <w:r>
        <w:rPr>
          <w:sz w:val="24"/>
        </w:rPr>
        <w:t xml:space="preserve"> </w:t>
      </w:r>
      <w:r>
        <w:tab/>
        <w:t>Se rapporten från kommissionen: Kontroll av unionsrättens tillämpning – Årsrapport 2015 [COM(2016) 463 final].</w:t>
      </w:r>
    </w:p>
  </w:footnote>
  <w:footnote w:id="2">
    <w:p w:rsidR="00C35AAB" w:rsidRPr="00C8483D" w:rsidRDefault="00C35AAB" w:rsidP="009730FE">
      <w:pPr>
        <w:pStyle w:val="FootnoteText"/>
        <w:spacing w:after="0"/>
        <w:rPr>
          <w:szCs w:val="16"/>
        </w:rPr>
      </w:pPr>
      <w:r>
        <w:rPr>
          <w:rStyle w:val="FootnoteReference"/>
        </w:rPr>
        <w:footnoteRef/>
      </w:r>
      <w:r>
        <w:rPr>
          <w:sz w:val="24"/>
        </w:rPr>
        <w:t xml:space="preserve"> </w:t>
      </w:r>
      <w:r>
        <w:tab/>
      </w:r>
      <w:hyperlink r:id="rId1">
        <w:r>
          <w:rPr>
            <w:rStyle w:val="Hyperlink"/>
          </w:rPr>
          <w:t>EUT C 132, 3.</w:t>
        </w:r>
        <w:r w:rsidR="00B10627" w:rsidRPr="00B10627">
          <w:rPr>
            <w:rStyle w:val="Hyperlink"/>
          </w:rPr>
          <w:t>5.2011</w:t>
        </w:r>
        <w:r>
          <w:rPr>
            <w:rStyle w:val="Hyperlink"/>
          </w:rPr>
          <w:t>, s. 47</w:t>
        </w:r>
      </w:hyperlink>
      <w:r>
        <w:t xml:space="preserve"> (INT/548), </w:t>
      </w:r>
      <w:hyperlink r:id="rId2">
        <w:r>
          <w:rPr>
            <w:rStyle w:val="Hyperlink"/>
          </w:rPr>
          <w:t>EUT C 18, 19.</w:t>
        </w:r>
        <w:r w:rsidR="00B10627" w:rsidRPr="00B10627">
          <w:rPr>
            <w:rStyle w:val="Hyperlink"/>
          </w:rPr>
          <w:t>1.2011</w:t>
        </w:r>
        <w:r>
          <w:rPr>
            <w:rStyle w:val="Hyperlink"/>
          </w:rPr>
          <w:t>, s. 100</w:t>
        </w:r>
      </w:hyperlink>
      <w:r>
        <w:t xml:space="preserve"> (INT/503), </w:t>
      </w:r>
      <w:hyperlink r:id="rId3">
        <w:r>
          <w:rPr>
            <w:rStyle w:val="Hyperlink"/>
          </w:rPr>
          <w:t>EUT C 277, 17.1</w:t>
        </w:r>
        <w:r w:rsidR="00B10627" w:rsidRPr="00B10627">
          <w:rPr>
            <w:rStyle w:val="Hyperlink"/>
          </w:rPr>
          <w:t>1.2009</w:t>
        </w:r>
        <w:r>
          <w:rPr>
            <w:rStyle w:val="Hyperlink"/>
          </w:rPr>
          <w:t>, s. 6</w:t>
        </w:r>
      </w:hyperlink>
      <w:r>
        <w:t xml:space="preserve"> (INT/452), </w:t>
      </w:r>
      <w:hyperlink r:id="rId4">
        <w:r>
          <w:rPr>
            <w:rStyle w:val="Hyperlink"/>
          </w:rPr>
          <w:t>EUT C 248, 25.</w:t>
        </w:r>
        <w:r w:rsidR="00B10627" w:rsidRPr="00B10627">
          <w:rPr>
            <w:rStyle w:val="Hyperlink"/>
          </w:rPr>
          <w:t>8.2011</w:t>
        </w:r>
        <w:r>
          <w:rPr>
            <w:rStyle w:val="Hyperlink"/>
          </w:rPr>
          <w:t>, s. 87</w:t>
        </w:r>
      </w:hyperlink>
      <w:r>
        <w:t xml:space="preserve"> (INT/544), </w:t>
      </w:r>
      <w:hyperlink r:id="rId5">
        <w:r>
          <w:rPr>
            <w:rStyle w:val="Hyperlink"/>
          </w:rPr>
          <w:t>EUT C 24, 31.</w:t>
        </w:r>
        <w:r w:rsidR="00B10627" w:rsidRPr="00B10627">
          <w:rPr>
            <w:rStyle w:val="Hyperlink"/>
          </w:rPr>
          <w:t>1.2006</w:t>
        </w:r>
        <w:r>
          <w:rPr>
            <w:rStyle w:val="Hyperlink"/>
          </w:rPr>
          <w:t>, s. 52</w:t>
        </w:r>
      </w:hyperlink>
      <w:r>
        <w:t xml:space="preserve"> (INT/262), </w:t>
      </w:r>
      <w:hyperlink r:id="rId6">
        <w:r>
          <w:rPr>
            <w:rStyle w:val="Hyperlink"/>
          </w:rPr>
          <w:t>EUT C 325, 30.1</w:t>
        </w:r>
        <w:r w:rsidR="00B10627" w:rsidRPr="00B10627">
          <w:rPr>
            <w:rStyle w:val="Hyperlink"/>
          </w:rPr>
          <w:t>2.2006</w:t>
        </w:r>
        <w:r>
          <w:rPr>
            <w:rStyle w:val="Hyperlink"/>
          </w:rPr>
          <w:t>, s. 3</w:t>
        </w:r>
      </w:hyperlink>
      <w:r>
        <w:t xml:space="preserve"> (INT/311), </w:t>
      </w:r>
      <w:hyperlink r:id="rId7">
        <w:r>
          <w:rPr>
            <w:rStyle w:val="Hyperlink"/>
          </w:rPr>
          <w:t>EUT C 43, 15.</w:t>
        </w:r>
        <w:r w:rsidR="00B10627" w:rsidRPr="00B10627">
          <w:rPr>
            <w:rStyle w:val="Hyperlink"/>
          </w:rPr>
          <w:t>2.2012</w:t>
        </w:r>
        <w:r>
          <w:rPr>
            <w:rStyle w:val="Hyperlink"/>
          </w:rPr>
          <w:t>, s. 14</w:t>
        </w:r>
      </w:hyperlink>
      <w:r>
        <w:t xml:space="preserve"> (INT/572), </w:t>
      </w:r>
      <w:hyperlink r:id="rId8">
        <w:r>
          <w:rPr>
            <w:rStyle w:val="Hyperlink"/>
          </w:rPr>
          <w:t>EUT C 230, 14.</w:t>
        </w:r>
        <w:r w:rsidR="00B10627" w:rsidRPr="00B10627">
          <w:rPr>
            <w:rStyle w:val="Hyperlink"/>
          </w:rPr>
          <w:t>7.2015</w:t>
        </w:r>
        <w:r>
          <w:rPr>
            <w:rStyle w:val="Hyperlink"/>
          </w:rPr>
          <w:t>, s. 66</w:t>
        </w:r>
      </w:hyperlink>
      <w:r>
        <w:t xml:space="preserve"> (INT/750), </w:t>
      </w:r>
      <w:hyperlink r:id="rId9">
        <w:r>
          <w:rPr>
            <w:rStyle w:val="Hyperlink"/>
          </w:rPr>
          <w:t>EUT C 383, 17.1</w:t>
        </w:r>
        <w:r w:rsidR="00B10627" w:rsidRPr="00B10627">
          <w:rPr>
            <w:rStyle w:val="Hyperlink"/>
          </w:rPr>
          <w:t>1.2015</w:t>
        </w:r>
        <w:r>
          <w:rPr>
            <w:rStyle w:val="Hyperlink"/>
          </w:rPr>
          <w:t>, s. 57</w:t>
        </w:r>
      </w:hyperlink>
      <w:r>
        <w:t xml:space="preserve"> (SC/040), </w:t>
      </w:r>
      <w:hyperlink r:id="rId10">
        <w:r>
          <w:rPr>
            <w:rStyle w:val="Hyperlink"/>
          </w:rPr>
          <w:t>EUT C 13, 15.</w:t>
        </w:r>
        <w:r w:rsidR="00B10627" w:rsidRPr="00B10627">
          <w:rPr>
            <w:rStyle w:val="Hyperlink"/>
          </w:rPr>
          <w:t>1.2016</w:t>
        </w:r>
        <w:r>
          <w:rPr>
            <w:rStyle w:val="Hyperlink"/>
          </w:rPr>
          <w:t>, s. 192</w:t>
        </w:r>
      </w:hyperlink>
      <w:r>
        <w:t xml:space="preserve"> (SC/041), </w:t>
      </w:r>
      <w:hyperlink r:id="rId11">
        <w:r>
          <w:rPr>
            <w:rStyle w:val="Hyperlink"/>
          </w:rPr>
          <w:t>EUT C 303, 19.</w:t>
        </w:r>
        <w:r w:rsidR="00B10627" w:rsidRPr="00B10627">
          <w:rPr>
            <w:rStyle w:val="Hyperlink"/>
          </w:rPr>
          <w:t>8.2016</w:t>
        </w:r>
        <w:r>
          <w:rPr>
            <w:rStyle w:val="Hyperlink"/>
          </w:rPr>
          <w:t>, s. 45</w:t>
        </w:r>
      </w:hyperlink>
      <w:r>
        <w:t xml:space="preserve"> (SC/044), </w:t>
      </w:r>
      <w:hyperlink r:id="rId12">
        <w:r>
          <w:rPr>
            <w:rStyle w:val="Hyperlink"/>
          </w:rPr>
          <w:t>EUT C 487, 28.1</w:t>
        </w:r>
        <w:r w:rsidR="00B10627" w:rsidRPr="00B10627">
          <w:rPr>
            <w:rStyle w:val="Hyperlink"/>
          </w:rPr>
          <w:t>2.2016</w:t>
        </w:r>
        <w:r>
          <w:rPr>
            <w:rStyle w:val="Hyperlink"/>
          </w:rPr>
          <w:t>, s. 51</w:t>
        </w:r>
      </w:hyperlink>
      <w:r>
        <w:t xml:space="preserve"> (SC/045).</w:t>
      </w:r>
    </w:p>
  </w:footnote>
  <w:footnote w:id="3">
    <w:p w:rsidR="00C35AAB" w:rsidRPr="00C8483D" w:rsidRDefault="00C35AAB">
      <w:pPr>
        <w:pStyle w:val="FootnoteText"/>
      </w:pPr>
      <w:r>
        <w:rPr>
          <w:rStyle w:val="FootnoteReference"/>
        </w:rPr>
        <w:footnoteRef/>
      </w:r>
      <w:r>
        <w:t xml:space="preserve"> </w:t>
      </w:r>
      <w:r>
        <w:tab/>
      </w:r>
      <w:hyperlink r:id="rId13">
        <w:r>
          <w:rPr>
            <w:rStyle w:val="Hyperlink"/>
          </w:rPr>
          <w:t>EUT C 487, 28.1</w:t>
        </w:r>
        <w:r w:rsidR="00B10627" w:rsidRPr="00B10627">
          <w:rPr>
            <w:rStyle w:val="Hyperlink"/>
          </w:rPr>
          <w:t>2.2016</w:t>
        </w:r>
        <w:r>
          <w:rPr>
            <w:rStyle w:val="Hyperlink"/>
          </w:rPr>
          <w:t>, s. 51</w:t>
        </w:r>
      </w:hyperlink>
      <w:r>
        <w:t>, punkt 2.14.</w:t>
      </w:r>
    </w:p>
  </w:footnote>
  <w:footnote w:id="4">
    <w:p w:rsidR="00C35AAB" w:rsidRPr="00C8483D" w:rsidRDefault="00C35AAB" w:rsidP="009730FE">
      <w:pPr>
        <w:pStyle w:val="FootnoteText"/>
        <w:spacing w:after="0"/>
        <w:rPr>
          <w:szCs w:val="16"/>
        </w:rPr>
      </w:pPr>
      <w:r>
        <w:rPr>
          <w:rStyle w:val="FootnoteReference"/>
        </w:rPr>
        <w:footnoteRef/>
      </w:r>
      <w:r>
        <w:rPr>
          <w:sz w:val="24"/>
        </w:rPr>
        <w:t xml:space="preserve"> </w:t>
      </w:r>
      <w:r>
        <w:tab/>
        <w:t>COM(2016) 615 final.</w:t>
      </w:r>
    </w:p>
  </w:footnote>
  <w:footnote w:id="5">
    <w:p w:rsidR="00C35AAB" w:rsidRPr="00C8483D" w:rsidRDefault="00C35AAB" w:rsidP="009730FE">
      <w:pPr>
        <w:pStyle w:val="FootnoteText"/>
        <w:spacing w:after="0"/>
        <w:rPr>
          <w:szCs w:val="16"/>
        </w:rPr>
      </w:pPr>
      <w:r>
        <w:rPr>
          <w:rStyle w:val="FootnoteReference"/>
        </w:rPr>
        <w:footnoteRef/>
      </w:r>
      <w:r>
        <w:rPr>
          <w:sz w:val="24"/>
        </w:rPr>
        <w:t xml:space="preserve"> </w:t>
      </w:r>
      <w:r>
        <w:tab/>
      </w:r>
      <w:hyperlink r:id="rId14">
        <w:r>
          <w:rPr>
            <w:rStyle w:val="Hyperlink"/>
          </w:rPr>
          <w:t>EUT C 18, 19.</w:t>
        </w:r>
        <w:r w:rsidR="00B10627" w:rsidRPr="00B10627">
          <w:rPr>
            <w:rStyle w:val="Hyperlink"/>
          </w:rPr>
          <w:t>1.2017</w:t>
        </w:r>
        <w:r>
          <w:rPr>
            <w:rStyle w:val="Hyperlink"/>
          </w:rPr>
          <w:t>, s. 10</w:t>
        </w:r>
      </w:hyperlink>
      <w:r>
        <w:t>.</w:t>
      </w:r>
    </w:p>
  </w:footnote>
  <w:footnote w:id="6">
    <w:p w:rsidR="00C35AAB" w:rsidRPr="00C8483D" w:rsidRDefault="00C35AAB" w:rsidP="009730FE">
      <w:pPr>
        <w:pStyle w:val="FootnoteText"/>
        <w:spacing w:after="0"/>
        <w:rPr>
          <w:szCs w:val="16"/>
        </w:rPr>
      </w:pPr>
      <w:r>
        <w:rPr>
          <w:rStyle w:val="FootnoteReference"/>
        </w:rPr>
        <w:footnoteRef/>
      </w:r>
      <w:r>
        <w:t xml:space="preserve"> </w:t>
      </w:r>
      <w:r>
        <w:tab/>
        <w:t xml:space="preserve">Se särskilt yttrandena om "Bättre lagstiftning" (föredragande: Bernd Dittmann, </w:t>
      </w:r>
      <w:hyperlink r:id="rId15">
        <w:r>
          <w:rPr>
            <w:rStyle w:val="Hyperlink"/>
          </w:rPr>
          <w:t>EUT C 13, 15.</w:t>
        </w:r>
        <w:r w:rsidR="00B10627" w:rsidRPr="00B10627">
          <w:rPr>
            <w:rStyle w:val="Hyperlink"/>
          </w:rPr>
          <w:t>1.2016</w:t>
        </w:r>
        <w:r>
          <w:rPr>
            <w:rStyle w:val="Hyperlink"/>
          </w:rPr>
          <w:t>, s. 192</w:t>
        </w:r>
      </w:hyperlink>
      <w:r>
        <w:t xml:space="preserve">), "Utvärdering av kommissionens samråd med berörda parter" (föredragande: Ronny Lannoo, </w:t>
      </w:r>
      <w:hyperlink r:id="rId16">
        <w:r>
          <w:rPr>
            <w:rStyle w:val="Hyperlink"/>
          </w:rPr>
          <w:t>EUT C 383, 17.1</w:t>
        </w:r>
        <w:r w:rsidR="00B10627" w:rsidRPr="00B10627">
          <w:rPr>
            <w:rStyle w:val="Hyperlink"/>
          </w:rPr>
          <w:t>1.2015</w:t>
        </w:r>
        <w:r>
          <w:rPr>
            <w:rStyle w:val="Hyperlink"/>
          </w:rPr>
          <w:t>, s. 57</w:t>
        </w:r>
      </w:hyperlink>
      <w:r>
        <w:t xml:space="preserve">), "Refit" (föredragande: Denis Meynent, </w:t>
      </w:r>
      <w:hyperlink r:id="rId17">
        <w:r>
          <w:rPr>
            <w:rStyle w:val="Hyperlink"/>
          </w:rPr>
          <w:t>EUT C 303, 19.</w:t>
        </w:r>
        <w:r w:rsidR="00B10627" w:rsidRPr="00B10627">
          <w:rPr>
            <w:rStyle w:val="Hyperlink"/>
          </w:rPr>
          <w:t>8.2016</w:t>
        </w:r>
        <w:r>
          <w:rPr>
            <w:rStyle w:val="Hyperlink"/>
          </w:rPr>
          <w:t>, s. 45</w:t>
        </w:r>
      </w:hyperlink>
      <w:r>
        <w:t>) och "Bättre lagstiftning: genomförandeakter och delegerade akter" (informationsrapport som inte offentliggjorts i EUT, föredragande: Jorge Pegado Liz).</w:t>
      </w:r>
    </w:p>
  </w:footnote>
  <w:footnote w:id="7">
    <w:p w:rsidR="00C35AAB" w:rsidRPr="00C8483D" w:rsidRDefault="00C35AAB" w:rsidP="009730FE">
      <w:pPr>
        <w:pStyle w:val="FootnoteText"/>
        <w:spacing w:after="0"/>
        <w:rPr>
          <w:szCs w:val="16"/>
        </w:rPr>
      </w:pPr>
      <w:r>
        <w:rPr>
          <w:rStyle w:val="FootnoteReference"/>
        </w:rPr>
        <w:footnoteRef/>
      </w:r>
      <w:r>
        <w:rPr>
          <w:sz w:val="24"/>
        </w:rPr>
        <w:t xml:space="preserve"> </w:t>
      </w:r>
      <w:r>
        <w:tab/>
        <w:t>T.ex. Europeiska konsumentdagen 2016 på temat "Bättre lagstiftning för konsumenter?", debatten med förste vice ordförande Frans Timmermans vid plenarsessionen den 18 mars 2017, studien "Genomförandet av bättre lagstiftning: Stoiber-rapportens effekter" och det civila samhällets dag 2015 på temat "Civil dialog: ett verktyg för bättre lagstiftning i allmänhetens intresse".</w:t>
      </w:r>
    </w:p>
  </w:footnote>
  <w:footnote w:id="8">
    <w:p w:rsidR="00C35AAB" w:rsidRPr="00C8483D" w:rsidRDefault="00C35AAB">
      <w:pPr>
        <w:pStyle w:val="FootnoteText"/>
      </w:pPr>
      <w:r>
        <w:rPr>
          <w:rStyle w:val="FootnoteReference"/>
        </w:rPr>
        <w:footnoteRef/>
      </w:r>
      <w:r>
        <w:rPr>
          <w:sz w:val="24"/>
        </w:rPr>
        <w:t xml:space="preserve"> </w:t>
      </w:r>
      <w:r>
        <w:tab/>
      </w:r>
      <w:hyperlink r:id="rId18">
        <w:r>
          <w:rPr>
            <w:rStyle w:val="Hyperlink"/>
          </w:rPr>
          <w:t>EUT C 303, 19.</w:t>
        </w:r>
        <w:r w:rsidR="00B10627" w:rsidRPr="00B10627">
          <w:rPr>
            <w:rStyle w:val="Hyperlink"/>
          </w:rPr>
          <w:t>8.2016</w:t>
        </w:r>
        <w:r>
          <w:rPr>
            <w:rStyle w:val="Hyperlink"/>
          </w:rPr>
          <w:t>, s. 45</w:t>
        </w:r>
      </w:hyperlink>
      <w:r>
        <w:t>, punkt 2.2.</w:t>
      </w:r>
    </w:p>
  </w:footnote>
  <w:footnote w:id="9">
    <w:p w:rsidR="00C35AAB" w:rsidRPr="00C8483D" w:rsidRDefault="00C35AAB">
      <w:pPr>
        <w:pStyle w:val="FootnoteText"/>
      </w:pPr>
      <w:r>
        <w:rPr>
          <w:rStyle w:val="FootnoteReference"/>
        </w:rPr>
        <w:footnoteRef/>
      </w:r>
      <w:r>
        <w:rPr>
          <w:sz w:val="24"/>
        </w:rPr>
        <w:t xml:space="preserve"> </w:t>
      </w:r>
      <w:r>
        <w:tab/>
      </w:r>
      <w:hyperlink r:id="rId19">
        <w:r>
          <w:rPr>
            <w:rStyle w:val="Hyperlink"/>
          </w:rPr>
          <w:t>EUT C 13, 15.</w:t>
        </w:r>
        <w:r w:rsidR="00B10627" w:rsidRPr="00B10627">
          <w:rPr>
            <w:rStyle w:val="Hyperlink"/>
          </w:rPr>
          <w:t>1.2016</w:t>
        </w:r>
        <w:r>
          <w:rPr>
            <w:rStyle w:val="Hyperlink"/>
          </w:rPr>
          <w:t>, s. 192</w:t>
        </w:r>
      </w:hyperlink>
      <w:r>
        <w:t>.</w:t>
      </w:r>
    </w:p>
  </w:footnote>
  <w:footnote w:id="10">
    <w:p w:rsidR="00C35AAB" w:rsidRPr="00C8483D" w:rsidRDefault="00C35AAB">
      <w:pPr>
        <w:pStyle w:val="FootnoteText"/>
      </w:pPr>
      <w:r>
        <w:rPr>
          <w:rStyle w:val="FootnoteReference"/>
        </w:rPr>
        <w:footnoteRef/>
      </w:r>
      <w:r>
        <w:rPr>
          <w:sz w:val="24"/>
        </w:rPr>
        <w:t xml:space="preserve"> </w:t>
      </w:r>
      <w:r>
        <w:tab/>
      </w:r>
      <w:hyperlink r:id="rId20">
        <w:r>
          <w:rPr>
            <w:rStyle w:val="Hyperlink"/>
          </w:rPr>
          <w:t>EUT C 303, 19.</w:t>
        </w:r>
        <w:r w:rsidR="00B10627" w:rsidRPr="00B10627">
          <w:rPr>
            <w:rStyle w:val="Hyperlink"/>
          </w:rPr>
          <w:t>8.2016</w:t>
        </w:r>
        <w:r>
          <w:rPr>
            <w:rStyle w:val="Hyperlink"/>
          </w:rPr>
          <w:t>, s. 45</w:t>
        </w:r>
      </w:hyperlink>
      <w:r>
        <w:t>, punkt 2.12.1.</w:t>
      </w:r>
    </w:p>
  </w:footnote>
  <w:footnote w:id="11">
    <w:p w:rsidR="00C35AAB" w:rsidRPr="00C8483D" w:rsidRDefault="00C35AAB">
      <w:pPr>
        <w:pStyle w:val="FootnoteText"/>
      </w:pPr>
      <w:r>
        <w:rPr>
          <w:rStyle w:val="FootnoteReference"/>
        </w:rPr>
        <w:footnoteRef/>
      </w:r>
      <w:r>
        <w:rPr>
          <w:sz w:val="24"/>
        </w:rPr>
        <w:t xml:space="preserve"> </w:t>
      </w:r>
      <w:r>
        <w:tab/>
        <w:t>INT/817, punkt 4.6.1 (ännu ej offentliggjort i EUT).</w:t>
      </w:r>
    </w:p>
  </w:footnote>
  <w:footnote w:id="12">
    <w:p w:rsidR="00C35AAB" w:rsidRPr="00C8483D" w:rsidRDefault="00C35AAB">
      <w:pPr>
        <w:pStyle w:val="FootnoteText"/>
      </w:pPr>
      <w:r>
        <w:rPr>
          <w:rStyle w:val="FootnoteReference"/>
        </w:rPr>
        <w:footnoteRef/>
      </w:r>
      <w:r>
        <w:rPr>
          <w:sz w:val="24"/>
        </w:rPr>
        <w:t xml:space="preserve"> </w:t>
      </w:r>
      <w:r>
        <w:tab/>
      </w:r>
      <w:hyperlink r:id="rId21">
        <w:r>
          <w:rPr>
            <w:rStyle w:val="Hyperlink"/>
          </w:rPr>
          <w:t>EUT C 487, 28.1</w:t>
        </w:r>
        <w:r w:rsidR="00B10627" w:rsidRPr="00B10627">
          <w:rPr>
            <w:rStyle w:val="Hyperlink"/>
          </w:rPr>
          <w:t>2.2016</w:t>
        </w:r>
        <w:r>
          <w:rPr>
            <w:rStyle w:val="Hyperlink"/>
          </w:rPr>
          <w:t>, s. 51</w:t>
        </w:r>
      </w:hyperlink>
      <w:r>
        <w:t>, punkt 1.7.</w:t>
      </w:r>
    </w:p>
  </w:footnote>
  <w:footnote w:id="13">
    <w:p w:rsidR="00C35AAB" w:rsidRPr="00C8483D" w:rsidRDefault="00C35AAB">
      <w:pPr>
        <w:pStyle w:val="FootnoteText"/>
      </w:pPr>
      <w:r>
        <w:rPr>
          <w:rStyle w:val="FootnoteReference"/>
        </w:rPr>
        <w:footnoteRef/>
      </w:r>
      <w:r>
        <w:t xml:space="preserve"> </w:t>
      </w:r>
      <w:r>
        <w:tab/>
        <w:t>Idem, punkt 1.11.</w:t>
      </w:r>
    </w:p>
  </w:footnote>
  <w:footnote w:id="14">
    <w:p w:rsidR="00C35AAB" w:rsidRPr="00C8483D" w:rsidRDefault="00C35AAB">
      <w:pPr>
        <w:pStyle w:val="FootnoteText"/>
      </w:pPr>
      <w:r>
        <w:rPr>
          <w:rStyle w:val="FootnoteReference"/>
        </w:rPr>
        <w:footnoteRef/>
      </w:r>
      <w:r>
        <w:t xml:space="preserve"> </w:t>
      </w:r>
      <w:r>
        <w:tab/>
        <w:t>Idem, punkt 2.7.</w:t>
      </w:r>
    </w:p>
  </w:footnote>
  <w:footnote w:id="15">
    <w:p w:rsidR="00C35AAB" w:rsidRPr="00C8483D" w:rsidRDefault="00C35AAB">
      <w:pPr>
        <w:pStyle w:val="FootnoteText"/>
      </w:pPr>
      <w:r>
        <w:rPr>
          <w:rStyle w:val="FootnoteReference"/>
        </w:rPr>
        <w:footnoteRef/>
      </w:r>
      <w:r>
        <w:t xml:space="preserve"> </w:t>
      </w:r>
      <w:r>
        <w:tab/>
      </w:r>
      <w:hyperlink r:id="rId22">
        <w:r>
          <w:rPr>
            <w:rStyle w:val="Hyperlink"/>
          </w:rPr>
          <w:t>EUT C 248, 25.</w:t>
        </w:r>
        <w:r w:rsidR="00B10627" w:rsidRPr="00B10627">
          <w:rPr>
            <w:rStyle w:val="Hyperlink"/>
          </w:rPr>
          <w:t>8.2011</w:t>
        </w:r>
        <w:r>
          <w:rPr>
            <w:rStyle w:val="Hyperlink"/>
          </w:rPr>
          <w:t>, s. 87</w:t>
        </w:r>
      </w:hyperlink>
      <w:r>
        <w:t>, punkt 3.6.</w:t>
      </w:r>
    </w:p>
  </w:footnote>
  <w:footnote w:id="16">
    <w:p w:rsidR="00C35AAB" w:rsidRPr="00C8483D" w:rsidRDefault="00C35AAB" w:rsidP="006B449D">
      <w:pPr>
        <w:pStyle w:val="FootnoteText"/>
      </w:pPr>
      <w:r>
        <w:rPr>
          <w:rStyle w:val="FootnoteReference"/>
        </w:rPr>
        <w:footnoteRef/>
      </w:r>
      <w:r>
        <w:t xml:space="preserve"> </w:t>
      </w:r>
      <w:r>
        <w:tab/>
      </w:r>
      <w:hyperlink r:id="rId23">
        <w:r>
          <w:rPr>
            <w:rStyle w:val="Hyperlink"/>
          </w:rPr>
          <w:t>EUT C 204, 9.</w:t>
        </w:r>
        <w:r w:rsidR="00B10627" w:rsidRPr="00B10627">
          <w:rPr>
            <w:rStyle w:val="Hyperlink"/>
          </w:rPr>
          <w:t>8.2008</w:t>
        </w:r>
        <w:r>
          <w:rPr>
            <w:rStyle w:val="Hyperlink"/>
          </w:rPr>
          <w:t>, s. 9</w:t>
        </w:r>
      </w:hyperlink>
      <w:r>
        <w:t>, punkt 2.1.</w:t>
      </w:r>
    </w:p>
  </w:footnote>
  <w:footnote w:id="17">
    <w:p w:rsidR="00C35AAB" w:rsidRPr="00C8483D" w:rsidRDefault="00C35AAB">
      <w:pPr>
        <w:pStyle w:val="FootnoteText"/>
      </w:pPr>
      <w:r>
        <w:rPr>
          <w:rStyle w:val="FootnoteReference"/>
        </w:rPr>
        <w:footnoteRef/>
      </w:r>
      <w:r>
        <w:t xml:space="preserve"> </w:t>
      </w:r>
      <w:r>
        <w:tab/>
      </w:r>
      <w:hyperlink r:id="rId24">
        <w:r>
          <w:rPr>
            <w:rStyle w:val="Hyperlink"/>
          </w:rPr>
          <w:t>EUT C 383, 17.1</w:t>
        </w:r>
        <w:r w:rsidR="00B10627" w:rsidRPr="00B10627">
          <w:rPr>
            <w:rStyle w:val="Hyperlink"/>
          </w:rPr>
          <w:t>1.2015</w:t>
        </w:r>
        <w:r>
          <w:rPr>
            <w:rStyle w:val="Hyperlink"/>
          </w:rPr>
          <w:t>, s. 57</w:t>
        </w:r>
      </w:hyperlink>
      <w:r>
        <w:t>.</w:t>
      </w:r>
    </w:p>
  </w:footnote>
  <w:footnote w:id="18">
    <w:p w:rsidR="00C35AAB" w:rsidRPr="00C8483D" w:rsidRDefault="00C35AAB" w:rsidP="00FD159A">
      <w:pPr>
        <w:pStyle w:val="FootnoteText"/>
      </w:pPr>
      <w:r>
        <w:rPr>
          <w:rStyle w:val="FootnoteReference"/>
        </w:rPr>
        <w:footnoteRef/>
      </w:r>
      <w:r>
        <w:t xml:space="preserve"> </w:t>
      </w:r>
      <w:r>
        <w:tab/>
      </w:r>
      <w:hyperlink r:id="rId25">
        <w:r>
          <w:rPr>
            <w:rStyle w:val="Hyperlink"/>
          </w:rPr>
          <w:t>EUT C 13, 15.</w:t>
        </w:r>
        <w:r w:rsidR="00B10627" w:rsidRPr="00B10627">
          <w:rPr>
            <w:rStyle w:val="Hyperlink"/>
          </w:rPr>
          <w:t>1.2016</w:t>
        </w:r>
        <w:r>
          <w:rPr>
            <w:rStyle w:val="Hyperlink"/>
          </w:rPr>
          <w:t>, s. 192</w:t>
        </w:r>
      </w:hyperlink>
      <w:r>
        <w:t>, punkt 2.6.</w:t>
      </w:r>
    </w:p>
  </w:footnote>
  <w:footnote w:id="19">
    <w:p w:rsidR="00C35AAB" w:rsidRPr="00C8483D" w:rsidRDefault="00C35AAB" w:rsidP="00352F44">
      <w:pPr>
        <w:pStyle w:val="FootnoteText"/>
      </w:pPr>
      <w:r>
        <w:rPr>
          <w:rStyle w:val="FootnoteReference"/>
        </w:rPr>
        <w:footnoteRef/>
      </w:r>
      <w:r>
        <w:t xml:space="preserve"> </w:t>
      </w:r>
      <w:r>
        <w:tab/>
      </w:r>
      <w:hyperlink r:id="rId26">
        <w:r>
          <w:rPr>
            <w:rStyle w:val="Hyperlink"/>
          </w:rPr>
          <w:t>EUT C 18, 19.</w:t>
        </w:r>
        <w:r w:rsidR="00B10627" w:rsidRPr="00B10627">
          <w:rPr>
            <w:rStyle w:val="Hyperlink"/>
          </w:rPr>
          <w:t>1.2011</w:t>
        </w:r>
        <w:r>
          <w:rPr>
            <w:rStyle w:val="Hyperlink"/>
          </w:rPr>
          <w:t>, s. 100</w:t>
        </w:r>
      </w:hyperlink>
      <w:r>
        <w:t>, punkt 3.5.</w:t>
      </w:r>
    </w:p>
  </w:footnote>
  <w:footnote w:id="20">
    <w:p w:rsidR="00C35AAB" w:rsidRPr="00C8483D" w:rsidRDefault="00C35AAB">
      <w:pPr>
        <w:pStyle w:val="FootnoteText"/>
      </w:pPr>
      <w:r>
        <w:rPr>
          <w:rStyle w:val="FootnoteReference"/>
        </w:rPr>
        <w:footnoteRef/>
      </w:r>
      <w:r>
        <w:t xml:space="preserve"> </w:t>
      </w:r>
      <w:r>
        <w:tab/>
      </w:r>
      <w:hyperlink r:id="rId27">
        <w:r>
          <w:rPr>
            <w:rStyle w:val="Hyperlink"/>
          </w:rPr>
          <w:t>EUT C 487, 28.1</w:t>
        </w:r>
        <w:r w:rsidR="00B10627" w:rsidRPr="00B10627">
          <w:rPr>
            <w:rStyle w:val="Hyperlink"/>
          </w:rPr>
          <w:t>2.2016</w:t>
        </w:r>
        <w:r>
          <w:rPr>
            <w:rStyle w:val="Hyperlink"/>
          </w:rPr>
          <w:t>, s. 51</w:t>
        </w:r>
      </w:hyperlink>
      <w:r>
        <w:t>, punkterna 1.9 och 2.6.</w:t>
      </w:r>
    </w:p>
  </w:footnote>
  <w:footnote w:id="21">
    <w:p w:rsidR="00C35AAB" w:rsidRPr="00C8483D" w:rsidRDefault="00C35AAB">
      <w:pPr>
        <w:pStyle w:val="FootnoteText"/>
      </w:pPr>
      <w:r>
        <w:rPr>
          <w:rStyle w:val="FootnoteReference"/>
        </w:rPr>
        <w:footnoteRef/>
      </w:r>
      <w:r>
        <w:t xml:space="preserve"> </w:t>
      </w:r>
      <w:r>
        <w:tab/>
        <w:t>Idem, punkt 3.11.</w:t>
      </w:r>
    </w:p>
  </w:footnote>
  <w:footnote w:id="22">
    <w:p w:rsidR="00C35AAB" w:rsidRPr="00C8483D" w:rsidRDefault="00C35AAB">
      <w:pPr>
        <w:pStyle w:val="FootnoteText"/>
      </w:pPr>
      <w:r>
        <w:rPr>
          <w:rStyle w:val="FootnoteReference"/>
        </w:rPr>
        <w:footnoteRef/>
      </w:r>
      <w:r>
        <w:t xml:space="preserve"> </w:t>
      </w:r>
      <w:r>
        <w:tab/>
        <w:t>Idem, punkt 3.15.</w:t>
      </w:r>
    </w:p>
  </w:footnote>
  <w:footnote w:id="23">
    <w:p w:rsidR="00C35AAB" w:rsidRPr="00C8483D" w:rsidRDefault="00C35AAB">
      <w:pPr>
        <w:pStyle w:val="FootnoteText"/>
      </w:pPr>
      <w:r>
        <w:rPr>
          <w:rStyle w:val="FootnoteReference"/>
        </w:rPr>
        <w:footnoteRef/>
      </w:r>
      <w:r>
        <w:t xml:space="preserve"> </w:t>
      </w:r>
      <w:r>
        <w:tab/>
        <w:t>Idem, punkt 3.16.</w:t>
      </w:r>
    </w:p>
  </w:footnote>
  <w:footnote w:id="24">
    <w:p w:rsidR="00C35AAB" w:rsidRPr="00C8483D" w:rsidRDefault="00C35AAB">
      <w:pPr>
        <w:pStyle w:val="FootnoteText"/>
      </w:pPr>
      <w:r>
        <w:rPr>
          <w:rStyle w:val="FootnoteReference"/>
        </w:rPr>
        <w:footnoteRef/>
      </w:r>
      <w:r>
        <w:t xml:space="preserve"> </w:t>
      </w:r>
      <w:r>
        <w:tab/>
        <w:t>Idem, punkt 3.17.</w:t>
      </w:r>
    </w:p>
  </w:footnote>
  <w:footnote w:id="25">
    <w:p w:rsidR="00C35AAB" w:rsidRPr="00C8483D" w:rsidRDefault="00C35AAB">
      <w:pPr>
        <w:pStyle w:val="FootnoteText"/>
      </w:pPr>
      <w:r>
        <w:rPr>
          <w:rStyle w:val="FootnoteReference"/>
        </w:rPr>
        <w:footnoteRef/>
      </w:r>
      <w:r>
        <w:t xml:space="preserve"> </w:t>
      </w:r>
      <w:r>
        <w:tab/>
      </w:r>
      <w:hyperlink r:id="rId28">
        <w:r>
          <w:rPr>
            <w:rStyle w:val="Hyperlink"/>
          </w:rPr>
          <w:t>EUT C 230, 14.</w:t>
        </w:r>
        <w:r w:rsidR="00B10627" w:rsidRPr="00B10627">
          <w:rPr>
            <w:rStyle w:val="Hyperlink"/>
          </w:rPr>
          <w:t>7.2015</w:t>
        </w:r>
        <w:r>
          <w:rPr>
            <w:rStyle w:val="Hyperlink"/>
          </w:rPr>
          <w:t>, s. 66</w:t>
        </w:r>
      </w:hyperlink>
      <w:r>
        <w:t>, punkt 5.2.</w:t>
      </w:r>
    </w:p>
  </w:footnote>
  <w:footnote w:id="26">
    <w:p w:rsidR="00C35AAB" w:rsidRPr="00C8483D" w:rsidRDefault="00C35AAB">
      <w:pPr>
        <w:pStyle w:val="FootnoteText"/>
      </w:pPr>
      <w:r>
        <w:rPr>
          <w:rStyle w:val="FootnoteReference"/>
        </w:rPr>
        <w:footnoteRef/>
      </w:r>
      <w:r>
        <w:t xml:space="preserve"> </w:t>
      </w:r>
      <w:r>
        <w:tab/>
      </w:r>
      <w:hyperlink r:id="rId29">
        <w:r>
          <w:rPr>
            <w:rStyle w:val="Hyperlink"/>
          </w:rPr>
          <w:t>EUT C 383, 17.1</w:t>
        </w:r>
        <w:r w:rsidR="00B10627" w:rsidRPr="00B10627">
          <w:rPr>
            <w:rStyle w:val="Hyperlink"/>
          </w:rPr>
          <w:t>1.2015</w:t>
        </w:r>
        <w:r>
          <w:rPr>
            <w:rStyle w:val="Hyperlink"/>
          </w:rPr>
          <w:t>, s. 57</w:t>
        </w:r>
      </w:hyperlink>
      <w:r>
        <w:t>, punkt 2.1.2.</w:t>
      </w:r>
    </w:p>
  </w:footnote>
  <w:footnote w:id="27">
    <w:p w:rsidR="00C35AAB" w:rsidRPr="00C8483D" w:rsidRDefault="00C35AAB">
      <w:pPr>
        <w:pStyle w:val="FootnoteText"/>
      </w:pPr>
      <w:r>
        <w:rPr>
          <w:rStyle w:val="FootnoteReference"/>
        </w:rPr>
        <w:footnoteRef/>
      </w:r>
      <w:r>
        <w:t xml:space="preserve"> </w:t>
      </w:r>
      <w:r>
        <w:tab/>
      </w:r>
      <w:hyperlink r:id="rId30">
        <w:r>
          <w:rPr>
            <w:rStyle w:val="Hyperlink"/>
          </w:rPr>
          <w:t>EUT C 132, 3.</w:t>
        </w:r>
        <w:r w:rsidR="00B10627" w:rsidRPr="00B10627">
          <w:rPr>
            <w:rStyle w:val="Hyperlink"/>
          </w:rPr>
          <w:t>5.2011</w:t>
        </w:r>
        <w:r>
          <w:rPr>
            <w:rStyle w:val="Hyperlink"/>
          </w:rPr>
          <w:t>, s. 47</w:t>
        </w:r>
      </w:hyperlink>
      <w:r>
        <w:t>, punkt 1.7.</w:t>
      </w:r>
    </w:p>
  </w:footnote>
  <w:footnote w:id="28">
    <w:p w:rsidR="00C35AAB" w:rsidRPr="00C8483D" w:rsidRDefault="00C35AAB">
      <w:pPr>
        <w:pStyle w:val="FootnoteText"/>
      </w:pPr>
      <w:r>
        <w:rPr>
          <w:rStyle w:val="FootnoteReference"/>
        </w:rPr>
        <w:footnoteRef/>
      </w:r>
      <w:r>
        <w:t xml:space="preserve"> </w:t>
      </w:r>
      <w:r>
        <w:tab/>
      </w:r>
      <w:hyperlink r:id="rId31">
        <w:r>
          <w:rPr>
            <w:rStyle w:val="Hyperlink"/>
          </w:rPr>
          <w:t>EUT C 13, 15.</w:t>
        </w:r>
        <w:r w:rsidR="00B10627" w:rsidRPr="00B10627">
          <w:rPr>
            <w:rStyle w:val="Hyperlink"/>
          </w:rPr>
          <w:t>1.2016</w:t>
        </w:r>
        <w:r>
          <w:rPr>
            <w:rStyle w:val="Hyperlink"/>
          </w:rPr>
          <w:t>, s. 192</w:t>
        </w:r>
      </w:hyperlink>
      <w:r>
        <w:t>, punkt 4.4.9.</w:t>
      </w:r>
    </w:p>
  </w:footnote>
  <w:footnote w:id="29">
    <w:p w:rsidR="00C35AAB" w:rsidRPr="00C8483D" w:rsidRDefault="00C35AAB" w:rsidP="009730FE">
      <w:pPr>
        <w:pStyle w:val="FootnoteText"/>
        <w:spacing w:after="0"/>
        <w:rPr>
          <w:szCs w:val="16"/>
        </w:rPr>
      </w:pPr>
      <w:r>
        <w:rPr>
          <w:rStyle w:val="FootnoteReference"/>
        </w:rPr>
        <w:footnoteRef/>
      </w:r>
      <w:r>
        <w:rPr>
          <w:rStyle w:val="FootnoteReference"/>
          <w:sz w:val="16"/>
        </w:rPr>
        <w:t xml:space="preserve"> </w:t>
      </w:r>
      <w:r>
        <w:tab/>
      </w:r>
      <w:hyperlink r:id="rId32">
        <w:r>
          <w:rPr>
            <w:rStyle w:val="Hyperlink"/>
          </w:rPr>
          <w:t>EUT C 230, 14.</w:t>
        </w:r>
        <w:r w:rsidR="00B10627" w:rsidRPr="00B10627">
          <w:rPr>
            <w:rStyle w:val="Hyperlink"/>
          </w:rPr>
          <w:t>7.2015</w:t>
        </w:r>
        <w:r>
          <w:rPr>
            <w:rStyle w:val="Hyperlink"/>
          </w:rPr>
          <w:t>, s. 66</w:t>
        </w:r>
      </w:hyperlink>
      <w:r>
        <w:t>.</w:t>
      </w:r>
    </w:p>
  </w:footnote>
  <w:footnote w:id="30">
    <w:p w:rsidR="00C35AAB" w:rsidRPr="00C8483D" w:rsidRDefault="00C35AAB" w:rsidP="009730FE">
      <w:pPr>
        <w:pStyle w:val="FootnoteText"/>
        <w:spacing w:after="0"/>
      </w:pPr>
      <w:r>
        <w:rPr>
          <w:rStyle w:val="FootnoteReference"/>
        </w:rPr>
        <w:footnoteRef/>
      </w:r>
      <w:r>
        <w:rPr>
          <w:rStyle w:val="FootnoteReference"/>
        </w:rPr>
        <w:t xml:space="preserve"> </w:t>
      </w:r>
      <w:r>
        <w:tab/>
        <w:t>COM(2016) 463 final.</w:t>
      </w:r>
    </w:p>
  </w:footnote>
  <w:footnote w:id="31">
    <w:p w:rsidR="00C35AAB" w:rsidRPr="00C8483D" w:rsidRDefault="00C35AAB" w:rsidP="00352F44">
      <w:pPr>
        <w:pStyle w:val="FootnoteText"/>
      </w:pPr>
      <w:r>
        <w:rPr>
          <w:rStyle w:val="FootnoteReference"/>
        </w:rPr>
        <w:footnoteRef/>
      </w:r>
      <w:r>
        <w:t xml:space="preserve"> </w:t>
      </w:r>
      <w:r>
        <w:tab/>
      </w:r>
      <w:hyperlink r:id="rId33">
        <w:r>
          <w:rPr>
            <w:rStyle w:val="Hyperlink"/>
          </w:rPr>
          <w:t>EUT C 204, 9.</w:t>
        </w:r>
        <w:r w:rsidR="00B10627" w:rsidRPr="00B10627">
          <w:rPr>
            <w:rStyle w:val="Hyperlink"/>
          </w:rPr>
          <w:t>8.2008</w:t>
        </w:r>
        <w:r>
          <w:rPr>
            <w:rStyle w:val="Hyperlink"/>
          </w:rPr>
          <w:t>, s. 9</w:t>
        </w:r>
      </w:hyperlink>
      <w:r>
        <w:t xml:space="preserve"> och </w:t>
      </w:r>
      <w:hyperlink r:id="rId34">
        <w:r>
          <w:rPr>
            <w:rStyle w:val="Hyperlink"/>
          </w:rPr>
          <w:t>EUT C 347, 18.1</w:t>
        </w:r>
        <w:r w:rsidR="00B10627" w:rsidRPr="00B10627">
          <w:rPr>
            <w:rStyle w:val="Hyperlink"/>
          </w:rPr>
          <w:t>2.2010</w:t>
        </w:r>
        <w:r>
          <w:rPr>
            <w:rStyle w:val="Hyperlink"/>
          </w:rPr>
          <w:t>, s. 62</w:t>
        </w:r>
      </w:hyperlink>
      <w:r>
        <w:t>.</w:t>
      </w:r>
    </w:p>
  </w:footnote>
  <w:footnote w:id="32">
    <w:p w:rsidR="00C35AAB" w:rsidRPr="00C8483D" w:rsidRDefault="00C35AAB">
      <w:pPr>
        <w:pStyle w:val="FootnoteText"/>
      </w:pPr>
      <w:r>
        <w:rPr>
          <w:rStyle w:val="FootnoteReference"/>
        </w:rPr>
        <w:footnoteRef/>
      </w:r>
      <w:r>
        <w:t xml:space="preserve"> </w:t>
      </w:r>
      <w:r>
        <w:tab/>
      </w:r>
      <w:hyperlink r:id="rId35">
        <w:r>
          <w:rPr>
            <w:rStyle w:val="Hyperlink"/>
          </w:rPr>
          <w:t>EUT C 347, 18.1</w:t>
        </w:r>
        <w:r w:rsidR="00B10627" w:rsidRPr="00B10627">
          <w:rPr>
            <w:rStyle w:val="Hyperlink"/>
          </w:rPr>
          <w:t>2.2010</w:t>
        </w:r>
        <w:r>
          <w:rPr>
            <w:rStyle w:val="Hyperlink"/>
          </w:rPr>
          <w:t>, s. 62</w:t>
        </w:r>
      </w:hyperlink>
      <w:r>
        <w:t>, punkt 1.10.</w:t>
      </w:r>
    </w:p>
  </w:footnote>
  <w:footnote w:id="33">
    <w:p w:rsidR="00C35AAB" w:rsidRPr="00C8483D" w:rsidRDefault="00C35AAB">
      <w:pPr>
        <w:pStyle w:val="FootnoteText"/>
      </w:pPr>
      <w:r>
        <w:rPr>
          <w:rStyle w:val="FootnoteReference"/>
        </w:rPr>
        <w:footnoteRef/>
      </w:r>
      <w:r>
        <w:t xml:space="preserve"> </w:t>
      </w:r>
      <w:r>
        <w:tab/>
      </w:r>
      <w:hyperlink r:id="rId36">
        <w:r>
          <w:rPr>
            <w:rStyle w:val="Hyperlink"/>
          </w:rPr>
          <w:t>EUT C 303, 19.</w:t>
        </w:r>
        <w:r w:rsidR="00B10627" w:rsidRPr="00B10627">
          <w:rPr>
            <w:rStyle w:val="Hyperlink"/>
          </w:rPr>
          <w:t>8.2016</w:t>
        </w:r>
        <w:r>
          <w:rPr>
            <w:rStyle w:val="Hyperlink"/>
          </w:rPr>
          <w:t>, s. 45</w:t>
        </w:r>
      </w:hyperlink>
      <w:r>
        <w:t>, punkt 3.2.4.</w:t>
      </w:r>
    </w:p>
  </w:footnote>
  <w:footnote w:id="34">
    <w:p w:rsidR="00C35AAB" w:rsidRPr="00C8483D" w:rsidRDefault="00C35AAB">
      <w:pPr>
        <w:pStyle w:val="FootnoteText"/>
      </w:pPr>
      <w:r>
        <w:rPr>
          <w:rStyle w:val="FootnoteReference"/>
        </w:rPr>
        <w:footnoteRef/>
      </w:r>
      <w:r>
        <w:t xml:space="preserve"> </w:t>
      </w:r>
      <w:r>
        <w:tab/>
      </w:r>
      <w:hyperlink r:id="rId37">
        <w:r>
          <w:rPr>
            <w:rStyle w:val="Hyperlink"/>
          </w:rPr>
          <w:t>EUT C 204, 9.</w:t>
        </w:r>
        <w:r w:rsidR="00B10627" w:rsidRPr="00B10627">
          <w:rPr>
            <w:rStyle w:val="Hyperlink"/>
          </w:rPr>
          <w:t>8.2008</w:t>
        </w:r>
        <w:r>
          <w:rPr>
            <w:rStyle w:val="Hyperlink"/>
          </w:rPr>
          <w:t>, s. 9</w:t>
        </w:r>
      </w:hyperlink>
      <w:r>
        <w:t>, punkt 5.</w:t>
      </w:r>
    </w:p>
  </w:footnote>
  <w:footnote w:id="35">
    <w:p w:rsidR="00C35AAB" w:rsidRPr="00C8483D" w:rsidRDefault="00C35AAB">
      <w:pPr>
        <w:pStyle w:val="FootnoteText"/>
      </w:pPr>
      <w:r>
        <w:rPr>
          <w:rStyle w:val="FootnoteReference"/>
        </w:rPr>
        <w:footnoteRef/>
      </w:r>
      <w:r>
        <w:t xml:space="preserve"> </w:t>
      </w:r>
      <w:r>
        <w:tab/>
      </w:r>
      <w:hyperlink r:id="rId38">
        <w:r>
          <w:rPr>
            <w:rStyle w:val="Hyperlink"/>
          </w:rPr>
          <w:t>EUT C 325, 30.1</w:t>
        </w:r>
        <w:r w:rsidR="00B10627" w:rsidRPr="00B10627">
          <w:rPr>
            <w:rStyle w:val="Hyperlink"/>
          </w:rPr>
          <w:t>2.2006</w:t>
        </w:r>
        <w:r>
          <w:rPr>
            <w:rStyle w:val="Hyperlink"/>
          </w:rPr>
          <w:t>, s. 3</w:t>
        </w:r>
      </w:hyperlink>
      <w:r>
        <w:t>, punkt 6.1.13.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D1" w:rsidRPr="009231D1" w:rsidRDefault="009231D1" w:rsidP="00923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D1" w:rsidRPr="009231D1" w:rsidRDefault="009231D1" w:rsidP="00923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D1" w:rsidRPr="009231D1" w:rsidRDefault="009231D1" w:rsidP="009231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C35AAB" w:rsidP="009231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C35AAB" w:rsidP="009231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AAB" w:rsidRPr="009231D1" w:rsidRDefault="00C35AAB" w:rsidP="00923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3B6B346"/>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i w:val="0"/>
      </w:rPr>
    </w:lvl>
    <w:lvl w:ilvl="2">
      <w:start w:val="1"/>
      <w:numFmt w:val="decimal"/>
      <w:pStyle w:val="Heading3"/>
      <w:lvlText w:val="%1.%2.%3"/>
      <w:legacy w:legacy="1" w:legacySpace="144" w:legacyIndent="0"/>
      <w:lvlJc w:val="left"/>
      <w:rPr>
        <w:b w: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4A3957"/>
    <w:multiLevelType w:val="hybridMultilevel"/>
    <w:tmpl w:val="E18694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11F23E6"/>
    <w:multiLevelType w:val="hybridMultilevel"/>
    <w:tmpl w:val="E7788B1C"/>
    <w:lvl w:ilvl="0" w:tplc="040C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803463"/>
    <w:multiLevelType w:val="hybridMultilevel"/>
    <w:tmpl w:val="137CD916"/>
    <w:lvl w:ilvl="0" w:tplc="040C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A506EA"/>
    <w:multiLevelType w:val="hybridMultilevel"/>
    <w:tmpl w:val="0EAE7E3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0DC0017"/>
    <w:multiLevelType w:val="hybridMultilevel"/>
    <w:tmpl w:val="5D2857DE"/>
    <w:lvl w:ilvl="0" w:tplc="28768E5A">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1B4318B5"/>
    <w:multiLevelType w:val="hybridMultilevel"/>
    <w:tmpl w:val="0644A236"/>
    <w:lvl w:ilvl="0" w:tplc="040C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B704912"/>
    <w:multiLevelType w:val="hybridMultilevel"/>
    <w:tmpl w:val="57A26EFC"/>
    <w:lvl w:ilvl="0" w:tplc="080C0019">
      <w:start w:val="1"/>
      <w:numFmt w:val="lowerLetter"/>
      <w:lvlText w:val="%1."/>
      <w:lvlJc w:val="left"/>
      <w:pPr>
        <w:ind w:left="720" w:hanging="360"/>
      </w:pPr>
      <w:rPr>
        <w:rFonts w:hint="default"/>
      </w:rPr>
    </w:lvl>
    <w:lvl w:ilvl="1" w:tplc="040C0019">
      <w:start w:val="1"/>
      <w:numFmt w:val="lowerLetter"/>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B8257C"/>
    <w:multiLevelType w:val="hybridMultilevel"/>
    <w:tmpl w:val="952C42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10397E"/>
    <w:multiLevelType w:val="hybridMultilevel"/>
    <w:tmpl w:val="ACAE2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25312B"/>
    <w:multiLevelType w:val="hybridMultilevel"/>
    <w:tmpl w:val="7054B6BC"/>
    <w:lvl w:ilvl="0" w:tplc="A3D48E02">
      <w:start w:val="1"/>
      <w:numFmt w:val="bullet"/>
      <w:lvlText w:val=""/>
      <w:lvlJc w:val="left"/>
      <w:pPr>
        <w:ind w:left="1080" w:hanging="360"/>
      </w:pPr>
      <w:rPr>
        <w:rFonts w:ascii="Symbol" w:hAnsi="Symbol" w:hint="default"/>
      </w:rPr>
    </w:lvl>
    <w:lvl w:ilvl="1" w:tplc="C2D01A28">
      <w:numFmt w:val="bullet"/>
      <w:lvlText w:val="-"/>
      <w:lvlJc w:val="left"/>
      <w:pPr>
        <w:ind w:left="2160" w:hanging="720"/>
      </w:pPr>
      <w:rPr>
        <w:rFonts w:ascii="Times New Roman" w:eastAsia="Times New Roman" w:hAnsi="Times New Roman" w:cs="Times New Roman"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25E62587"/>
    <w:multiLevelType w:val="hybridMultilevel"/>
    <w:tmpl w:val="C8029F56"/>
    <w:lvl w:ilvl="0" w:tplc="CD189998">
      <w:start w:val="1"/>
      <w:numFmt w:val="bullet"/>
      <w:lvlRestart w:val="0"/>
      <w:lvlText w:val="–"/>
      <w:lvlJc w:val="left"/>
      <w:pPr>
        <w:tabs>
          <w:tab w:val="num" w:pos="720"/>
        </w:tabs>
        <w:ind w:left="1089" w:hanging="369"/>
      </w:pPr>
      <w:rPr>
        <w:rFonts w:ascii="Times New Roman" w:hAnsi="Times New Roman" w:cs="Times New Roman" w:hint="default"/>
        <w:b w:val="0"/>
        <w:i w:val="0"/>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0E26EB"/>
    <w:multiLevelType w:val="hybridMultilevel"/>
    <w:tmpl w:val="3702A9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194931"/>
    <w:multiLevelType w:val="hybridMultilevel"/>
    <w:tmpl w:val="0AA6EBF0"/>
    <w:lvl w:ilvl="0" w:tplc="040C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F376E3"/>
    <w:multiLevelType w:val="hybridMultilevel"/>
    <w:tmpl w:val="8CB2FB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9AB6705"/>
    <w:multiLevelType w:val="hybridMultilevel"/>
    <w:tmpl w:val="046CE2E2"/>
    <w:lvl w:ilvl="0" w:tplc="1809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rPr>
        <w:rFont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9E649AD"/>
    <w:multiLevelType w:val="hybridMultilevel"/>
    <w:tmpl w:val="5B5A017C"/>
    <w:lvl w:ilvl="0" w:tplc="040C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D51FD0"/>
    <w:multiLevelType w:val="hybridMultilevel"/>
    <w:tmpl w:val="2BC44278"/>
    <w:lvl w:ilvl="0" w:tplc="040C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2F41190"/>
    <w:multiLevelType w:val="hybridMultilevel"/>
    <w:tmpl w:val="D884FFD6"/>
    <w:lvl w:ilvl="0" w:tplc="A3D48E0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4DE18F8"/>
    <w:multiLevelType w:val="hybridMultilevel"/>
    <w:tmpl w:val="3D622E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4E77219"/>
    <w:multiLevelType w:val="hybridMultilevel"/>
    <w:tmpl w:val="15B4FA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B470B58"/>
    <w:multiLevelType w:val="hybridMultilevel"/>
    <w:tmpl w:val="9CB2D9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D63736F"/>
    <w:multiLevelType w:val="hybridMultilevel"/>
    <w:tmpl w:val="9058E880"/>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4" w15:restartNumberingAfterBreak="0">
    <w:nsid w:val="5FF635CA"/>
    <w:multiLevelType w:val="hybridMultilevel"/>
    <w:tmpl w:val="964E9934"/>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646955B4"/>
    <w:multiLevelType w:val="hybridMultilevel"/>
    <w:tmpl w:val="2D986622"/>
    <w:lvl w:ilvl="0" w:tplc="040C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353D6C"/>
    <w:multiLevelType w:val="hybridMultilevel"/>
    <w:tmpl w:val="4D8454F6"/>
    <w:lvl w:ilvl="0" w:tplc="040C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1A30AB"/>
    <w:multiLevelType w:val="multilevel"/>
    <w:tmpl w:val="A77C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90F21"/>
    <w:multiLevelType w:val="hybridMultilevel"/>
    <w:tmpl w:val="31060CE2"/>
    <w:lvl w:ilvl="0" w:tplc="040C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7DB43BA4"/>
    <w:multiLevelType w:val="hybridMultilevel"/>
    <w:tmpl w:val="896210E8"/>
    <w:lvl w:ilvl="0" w:tplc="04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0"/>
  </w:num>
  <w:num w:numId="3">
    <w:abstractNumId w:val="8"/>
  </w:num>
  <w:num w:numId="4">
    <w:abstractNumId w:val="21"/>
  </w:num>
  <w:num w:numId="5">
    <w:abstractNumId w:val="22"/>
  </w:num>
  <w:num w:numId="6">
    <w:abstractNumId w:val="4"/>
  </w:num>
  <w:num w:numId="7">
    <w:abstractNumId w:val="6"/>
  </w:num>
  <w:num w:numId="8">
    <w:abstractNumId w:val="16"/>
  </w:num>
  <w:num w:numId="9">
    <w:abstractNumId w:val="7"/>
  </w:num>
  <w:num w:numId="10">
    <w:abstractNumId w:val="18"/>
  </w:num>
  <w:num w:numId="11">
    <w:abstractNumId w:val="1"/>
  </w:num>
  <w:num w:numId="12">
    <w:abstractNumId w:val="2"/>
  </w:num>
  <w:num w:numId="13">
    <w:abstractNumId w:val="14"/>
  </w:num>
  <w:num w:numId="14">
    <w:abstractNumId w:val="15"/>
  </w:num>
  <w:num w:numId="15">
    <w:abstractNumId w:val="3"/>
  </w:num>
  <w:num w:numId="16">
    <w:abstractNumId w:val="9"/>
  </w:num>
  <w:num w:numId="17">
    <w:abstractNumId w:val="28"/>
  </w:num>
  <w:num w:numId="18">
    <w:abstractNumId w:val="29"/>
  </w:num>
  <w:num w:numId="19">
    <w:abstractNumId w:val="24"/>
  </w:num>
  <w:num w:numId="20">
    <w:abstractNumId w:val="13"/>
  </w:num>
  <w:num w:numId="21">
    <w:abstractNumId w:val="11"/>
  </w:num>
  <w:num w:numId="22">
    <w:abstractNumId w:val="25"/>
  </w:num>
  <w:num w:numId="23">
    <w:abstractNumId w:val="12"/>
  </w:num>
  <w:num w:numId="24">
    <w:abstractNumId w:val="26"/>
  </w:num>
  <w:num w:numId="25">
    <w:abstractNumId w:val="17"/>
  </w:num>
  <w:num w:numId="26">
    <w:abstractNumId w:val="1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27"/>
  </w:num>
  <w:num w:numId="31">
    <w:abstractNumId w:val="0"/>
  </w:num>
  <w:num w:numId="32">
    <w:abstractNumId w:val="0"/>
  </w:num>
  <w:num w:numId="33">
    <w:abstractNumId w:val="0"/>
  </w:num>
  <w:num w:numId="34">
    <w:abstractNumId w:val="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0"/>
  </w:num>
  <w:num w:numId="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66"/>
    <w:rsid w:val="00000C28"/>
    <w:rsid w:val="00001153"/>
    <w:rsid w:val="00002BC9"/>
    <w:rsid w:val="00003237"/>
    <w:rsid w:val="00005AEC"/>
    <w:rsid w:val="000068B6"/>
    <w:rsid w:val="00007799"/>
    <w:rsid w:val="00007BE9"/>
    <w:rsid w:val="0001074E"/>
    <w:rsid w:val="00010CB2"/>
    <w:rsid w:val="00010D3B"/>
    <w:rsid w:val="000122C6"/>
    <w:rsid w:val="000128F0"/>
    <w:rsid w:val="00012CCB"/>
    <w:rsid w:val="000131AC"/>
    <w:rsid w:val="00017E38"/>
    <w:rsid w:val="000200AA"/>
    <w:rsid w:val="00020F5C"/>
    <w:rsid w:val="000229A8"/>
    <w:rsid w:val="00023225"/>
    <w:rsid w:val="00025647"/>
    <w:rsid w:val="00025C96"/>
    <w:rsid w:val="00026052"/>
    <w:rsid w:val="00026450"/>
    <w:rsid w:val="00027080"/>
    <w:rsid w:val="0002751B"/>
    <w:rsid w:val="000276E9"/>
    <w:rsid w:val="000307A6"/>
    <w:rsid w:val="00030A03"/>
    <w:rsid w:val="00031509"/>
    <w:rsid w:val="000319A8"/>
    <w:rsid w:val="000320FB"/>
    <w:rsid w:val="0003249E"/>
    <w:rsid w:val="0003333A"/>
    <w:rsid w:val="00033435"/>
    <w:rsid w:val="0003458E"/>
    <w:rsid w:val="000408E8"/>
    <w:rsid w:val="0004118C"/>
    <w:rsid w:val="00041A2D"/>
    <w:rsid w:val="0004261C"/>
    <w:rsid w:val="0004287B"/>
    <w:rsid w:val="000435C9"/>
    <w:rsid w:val="000436C5"/>
    <w:rsid w:val="000436DD"/>
    <w:rsid w:val="00046914"/>
    <w:rsid w:val="000469A5"/>
    <w:rsid w:val="000474C8"/>
    <w:rsid w:val="000478D7"/>
    <w:rsid w:val="000479B9"/>
    <w:rsid w:val="00051392"/>
    <w:rsid w:val="00051E95"/>
    <w:rsid w:val="0005201A"/>
    <w:rsid w:val="0005284B"/>
    <w:rsid w:val="00052CAA"/>
    <w:rsid w:val="00052E8C"/>
    <w:rsid w:val="000543C6"/>
    <w:rsid w:val="000606FE"/>
    <w:rsid w:val="000614B3"/>
    <w:rsid w:val="00061C2E"/>
    <w:rsid w:val="00061E78"/>
    <w:rsid w:val="00063A9E"/>
    <w:rsid w:val="0006413A"/>
    <w:rsid w:val="000655AF"/>
    <w:rsid w:val="000705CA"/>
    <w:rsid w:val="00070673"/>
    <w:rsid w:val="00070A69"/>
    <w:rsid w:val="0007108B"/>
    <w:rsid w:val="00071A65"/>
    <w:rsid w:val="00071ED3"/>
    <w:rsid w:val="00072020"/>
    <w:rsid w:val="00072184"/>
    <w:rsid w:val="00072B24"/>
    <w:rsid w:val="00072E15"/>
    <w:rsid w:val="00073D70"/>
    <w:rsid w:val="0007670D"/>
    <w:rsid w:val="00076E77"/>
    <w:rsid w:val="00081E9B"/>
    <w:rsid w:val="0008208C"/>
    <w:rsid w:val="0008272A"/>
    <w:rsid w:val="000837EA"/>
    <w:rsid w:val="000850DC"/>
    <w:rsid w:val="000852F6"/>
    <w:rsid w:val="00086B65"/>
    <w:rsid w:val="00086B78"/>
    <w:rsid w:val="00086E0A"/>
    <w:rsid w:val="00087F59"/>
    <w:rsid w:val="00087FDB"/>
    <w:rsid w:val="000920BA"/>
    <w:rsid w:val="000931AD"/>
    <w:rsid w:val="00093BDD"/>
    <w:rsid w:val="00093C0F"/>
    <w:rsid w:val="000941D5"/>
    <w:rsid w:val="00096699"/>
    <w:rsid w:val="00096954"/>
    <w:rsid w:val="000970D2"/>
    <w:rsid w:val="00097417"/>
    <w:rsid w:val="000A27EE"/>
    <w:rsid w:val="000A2EDC"/>
    <w:rsid w:val="000A2F2F"/>
    <w:rsid w:val="000A3812"/>
    <w:rsid w:val="000A5658"/>
    <w:rsid w:val="000A615F"/>
    <w:rsid w:val="000A6C4F"/>
    <w:rsid w:val="000A7C09"/>
    <w:rsid w:val="000A7EB4"/>
    <w:rsid w:val="000B031D"/>
    <w:rsid w:val="000B04F7"/>
    <w:rsid w:val="000B084D"/>
    <w:rsid w:val="000B0DFA"/>
    <w:rsid w:val="000B1A5F"/>
    <w:rsid w:val="000B2AF7"/>
    <w:rsid w:val="000B2D1D"/>
    <w:rsid w:val="000B3A54"/>
    <w:rsid w:val="000B430E"/>
    <w:rsid w:val="000B456A"/>
    <w:rsid w:val="000B4861"/>
    <w:rsid w:val="000B580F"/>
    <w:rsid w:val="000B6837"/>
    <w:rsid w:val="000C0288"/>
    <w:rsid w:val="000C292D"/>
    <w:rsid w:val="000C2A3C"/>
    <w:rsid w:val="000C2FAA"/>
    <w:rsid w:val="000C3889"/>
    <w:rsid w:val="000C3DD7"/>
    <w:rsid w:val="000D036D"/>
    <w:rsid w:val="000D1097"/>
    <w:rsid w:val="000D2ABD"/>
    <w:rsid w:val="000D3776"/>
    <w:rsid w:val="000D3DCC"/>
    <w:rsid w:val="000D41AF"/>
    <w:rsid w:val="000D55D1"/>
    <w:rsid w:val="000D5A01"/>
    <w:rsid w:val="000D64E6"/>
    <w:rsid w:val="000D65CB"/>
    <w:rsid w:val="000D7C6D"/>
    <w:rsid w:val="000E0374"/>
    <w:rsid w:val="000E0DF2"/>
    <w:rsid w:val="000E2C83"/>
    <w:rsid w:val="000E476C"/>
    <w:rsid w:val="000E4A5F"/>
    <w:rsid w:val="000E590B"/>
    <w:rsid w:val="000E5ECD"/>
    <w:rsid w:val="000E62DF"/>
    <w:rsid w:val="000E770C"/>
    <w:rsid w:val="000E778A"/>
    <w:rsid w:val="000F0416"/>
    <w:rsid w:val="000F08A6"/>
    <w:rsid w:val="000F1C4A"/>
    <w:rsid w:val="000F2831"/>
    <w:rsid w:val="000F53D8"/>
    <w:rsid w:val="000F598F"/>
    <w:rsid w:val="000F5A0C"/>
    <w:rsid w:val="000F7762"/>
    <w:rsid w:val="000F77E6"/>
    <w:rsid w:val="000F7994"/>
    <w:rsid w:val="0010019E"/>
    <w:rsid w:val="001006D1"/>
    <w:rsid w:val="0010089E"/>
    <w:rsid w:val="00102469"/>
    <w:rsid w:val="001031C2"/>
    <w:rsid w:val="0010455F"/>
    <w:rsid w:val="0010520A"/>
    <w:rsid w:val="00106106"/>
    <w:rsid w:val="001073D7"/>
    <w:rsid w:val="00110A95"/>
    <w:rsid w:val="001117FD"/>
    <w:rsid w:val="00113411"/>
    <w:rsid w:val="00113642"/>
    <w:rsid w:val="001136B3"/>
    <w:rsid w:val="001157C1"/>
    <w:rsid w:val="0011596B"/>
    <w:rsid w:val="00116002"/>
    <w:rsid w:val="001167BC"/>
    <w:rsid w:val="001169B0"/>
    <w:rsid w:val="001205E7"/>
    <w:rsid w:val="00123E45"/>
    <w:rsid w:val="001245A2"/>
    <w:rsid w:val="001248F1"/>
    <w:rsid w:val="001273D5"/>
    <w:rsid w:val="00130094"/>
    <w:rsid w:val="00130F42"/>
    <w:rsid w:val="00131E66"/>
    <w:rsid w:val="0013362C"/>
    <w:rsid w:val="0013368E"/>
    <w:rsid w:val="00133A4F"/>
    <w:rsid w:val="00135B1C"/>
    <w:rsid w:val="0013632D"/>
    <w:rsid w:val="001372FA"/>
    <w:rsid w:val="00141622"/>
    <w:rsid w:val="00142F5D"/>
    <w:rsid w:val="00143118"/>
    <w:rsid w:val="001433EB"/>
    <w:rsid w:val="00143529"/>
    <w:rsid w:val="00143888"/>
    <w:rsid w:val="00143A8C"/>
    <w:rsid w:val="00143DC2"/>
    <w:rsid w:val="00145983"/>
    <w:rsid w:val="00146279"/>
    <w:rsid w:val="001467EF"/>
    <w:rsid w:val="00147622"/>
    <w:rsid w:val="00147C66"/>
    <w:rsid w:val="0015081D"/>
    <w:rsid w:val="00150EC4"/>
    <w:rsid w:val="001511AE"/>
    <w:rsid w:val="0015283B"/>
    <w:rsid w:val="001534C4"/>
    <w:rsid w:val="0015365A"/>
    <w:rsid w:val="00155BFD"/>
    <w:rsid w:val="00156822"/>
    <w:rsid w:val="00157161"/>
    <w:rsid w:val="00157571"/>
    <w:rsid w:val="00157FD5"/>
    <w:rsid w:val="00160345"/>
    <w:rsid w:val="00160421"/>
    <w:rsid w:val="0016113E"/>
    <w:rsid w:val="00161C49"/>
    <w:rsid w:val="0016524D"/>
    <w:rsid w:val="00166B93"/>
    <w:rsid w:val="00167593"/>
    <w:rsid w:val="00170DD0"/>
    <w:rsid w:val="0017110E"/>
    <w:rsid w:val="001730AF"/>
    <w:rsid w:val="00173BF3"/>
    <w:rsid w:val="00174840"/>
    <w:rsid w:val="00175FDF"/>
    <w:rsid w:val="00176183"/>
    <w:rsid w:val="00177A1A"/>
    <w:rsid w:val="00177AE8"/>
    <w:rsid w:val="00177DE6"/>
    <w:rsid w:val="00177EFB"/>
    <w:rsid w:val="00181023"/>
    <w:rsid w:val="001819CC"/>
    <w:rsid w:val="00182EEE"/>
    <w:rsid w:val="00183670"/>
    <w:rsid w:val="00185289"/>
    <w:rsid w:val="00185A0D"/>
    <w:rsid w:val="00186EFC"/>
    <w:rsid w:val="00187BDF"/>
    <w:rsid w:val="0019025A"/>
    <w:rsid w:val="00190E3E"/>
    <w:rsid w:val="0019115E"/>
    <w:rsid w:val="00191F53"/>
    <w:rsid w:val="00192D4C"/>
    <w:rsid w:val="00192E98"/>
    <w:rsid w:val="00193694"/>
    <w:rsid w:val="00193C19"/>
    <w:rsid w:val="00194E8F"/>
    <w:rsid w:val="00197230"/>
    <w:rsid w:val="001A0B89"/>
    <w:rsid w:val="001A1205"/>
    <w:rsid w:val="001A1ADD"/>
    <w:rsid w:val="001A1FFC"/>
    <w:rsid w:val="001A29FF"/>
    <w:rsid w:val="001A4459"/>
    <w:rsid w:val="001A46B1"/>
    <w:rsid w:val="001B0926"/>
    <w:rsid w:val="001B0F39"/>
    <w:rsid w:val="001B34E2"/>
    <w:rsid w:val="001B3EDC"/>
    <w:rsid w:val="001B4C16"/>
    <w:rsid w:val="001B583F"/>
    <w:rsid w:val="001B6784"/>
    <w:rsid w:val="001B76A2"/>
    <w:rsid w:val="001C07A4"/>
    <w:rsid w:val="001C0B1E"/>
    <w:rsid w:val="001C0D07"/>
    <w:rsid w:val="001C2AB2"/>
    <w:rsid w:val="001C3D77"/>
    <w:rsid w:val="001C5980"/>
    <w:rsid w:val="001C61FC"/>
    <w:rsid w:val="001C6BD0"/>
    <w:rsid w:val="001C70D7"/>
    <w:rsid w:val="001D043D"/>
    <w:rsid w:val="001D1C40"/>
    <w:rsid w:val="001D37C1"/>
    <w:rsid w:val="001D38A2"/>
    <w:rsid w:val="001D4A7C"/>
    <w:rsid w:val="001D67A8"/>
    <w:rsid w:val="001D763B"/>
    <w:rsid w:val="001E1362"/>
    <w:rsid w:val="001E1A06"/>
    <w:rsid w:val="001E1ABC"/>
    <w:rsid w:val="001E1B39"/>
    <w:rsid w:val="001E1BEE"/>
    <w:rsid w:val="001E1D3F"/>
    <w:rsid w:val="001E36B4"/>
    <w:rsid w:val="001E3DFB"/>
    <w:rsid w:val="001E6EF9"/>
    <w:rsid w:val="001E7CB5"/>
    <w:rsid w:val="001E7F96"/>
    <w:rsid w:val="001F0DD9"/>
    <w:rsid w:val="001F1291"/>
    <w:rsid w:val="001F20DA"/>
    <w:rsid w:val="001F249B"/>
    <w:rsid w:val="001F2A40"/>
    <w:rsid w:val="001F43B0"/>
    <w:rsid w:val="001F5F90"/>
    <w:rsid w:val="001F6C9F"/>
    <w:rsid w:val="001F7296"/>
    <w:rsid w:val="001F795E"/>
    <w:rsid w:val="00200323"/>
    <w:rsid w:val="00201088"/>
    <w:rsid w:val="002011E3"/>
    <w:rsid w:val="00201271"/>
    <w:rsid w:val="002013D4"/>
    <w:rsid w:val="0020494C"/>
    <w:rsid w:val="00204CF3"/>
    <w:rsid w:val="002056C5"/>
    <w:rsid w:val="00206338"/>
    <w:rsid w:val="00206891"/>
    <w:rsid w:val="00206D55"/>
    <w:rsid w:val="00207228"/>
    <w:rsid w:val="00207ED4"/>
    <w:rsid w:val="00213380"/>
    <w:rsid w:val="00214FCC"/>
    <w:rsid w:val="0021550D"/>
    <w:rsid w:val="00216FAA"/>
    <w:rsid w:val="00217482"/>
    <w:rsid w:val="00217693"/>
    <w:rsid w:val="002204BE"/>
    <w:rsid w:val="002204DC"/>
    <w:rsid w:val="002264E8"/>
    <w:rsid w:val="0022745C"/>
    <w:rsid w:val="00227B57"/>
    <w:rsid w:val="00227EAE"/>
    <w:rsid w:val="00230314"/>
    <w:rsid w:val="00230C9D"/>
    <w:rsid w:val="00230DBE"/>
    <w:rsid w:val="00232556"/>
    <w:rsid w:val="00234591"/>
    <w:rsid w:val="002347B4"/>
    <w:rsid w:val="00234A28"/>
    <w:rsid w:val="002354FE"/>
    <w:rsid w:val="002356AA"/>
    <w:rsid w:val="00235A47"/>
    <w:rsid w:val="00240EC7"/>
    <w:rsid w:val="00241CFE"/>
    <w:rsid w:val="00244123"/>
    <w:rsid w:val="00245529"/>
    <w:rsid w:val="0024575E"/>
    <w:rsid w:val="00245897"/>
    <w:rsid w:val="00245E60"/>
    <w:rsid w:val="0024751E"/>
    <w:rsid w:val="002503CD"/>
    <w:rsid w:val="00252BAF"/>
    <w:rsid w:val="0025503A"/>
    <w:rsid w:val="00255CFB"/>
    <w:rsid w:val="0025771D"/>
    <w:rsid w:val="00257E2A"/>
    <w:rsid w:val="0026016C"/>
    <w:rsid w:val="0026044C"/>
    <w:rsid w:val="002609FA"/>
    <w:rsid w:val="0026155D"/>
    <w:rsid w:val="00262B69"/>
    <w:rsid w:val="00262E2F"/>
    <w:rsid w:val="002631BE"/>
    <w:rsid w:val="0026403C"/>
    <w:rsid w:val="00265150"/>
    <w:rsid w:val="00265DE7"/>
    <w:rsid w:val="00266EF8"/>
    <w:rsid w:val="00267809"/>
    <w:rsid w:val="00271141"/>
    <w:rsid w:val="00271EC9"/>
    <w:rsid w:val="00273EFD"/>
    <w:rsid w:val="00274FCA"/>
    <w:rsid w:val="00275C84"/>
    <w:rsid w:val="002762B8"/>
    <w:rsid w:val="00276BC4"/>
    <w:rsid w:val="00277C76"/>
    <w:rsid w:val="0028092F"/>
    <w:rsid w:val="002827D6"/>
    <w:rsid w:val="00282E7F"/>
    <w:rsid w:val="00284B5E"/>
    <w:rsid w:val="00284D98"/>
    <w:rsid w:val="00285DCE"/>
    <w:rsid w:val="00286FAF"/>
    <w:rsid w:val="00290A88"/>
    <w:rsid w:val="0029214B"/>
    <w:rsid w:val="00293C57"/>
    <w:rsid w:val="0029477F"/>
    <w:rsid w:val="00294937"/>
    <w:rsid w:val="002962E8"/>
    <w:rsid w:val="00296671"/>
    <w:rsid w:val="00296B0E"/>
    <w:rsid w:val="00297B01"/>
    <w:rsid w:val="00297E13"/>
    <w:rsid w:val="00297FB8"/>
    <w:rsid w:val="002A0B48"/>
    <w:rsid w:val="002A0E2D"/>
    <w:rsid w:val="002A2423"/>
    <w:rsid w:val="002A25BE"/>
    <w:rsid w:val="002A3917"/>
    <w:rsid w:val="002A3A52"/>
    <w:rsid w:val="002A3C9E"/>
    <w:rsid w:val="002A7E82"/>
    <w:rsid w:val="002B0AB2"/>
    <w:rsid w:val="002B2964"/>
    <w:rsid w:val="002B4FE8"/>
    <w:rsid w:val="002B517B"/>
    <w:rsid w:val="002B63C8"/>
    <w:rsid w:val="002C0E70"/>
    <w:rsid w:val="002C1BC6"/>
    <w:rsid w:val="002C2C15"/>
    <w:rsid w:val="002C66F5"/>
    <w:rsid w:val="002C6EF4"/>
    <w:rsid w:val="002C725E"/>
    <w:rsid w:val="002D1ADB"/>
    <w:rsid w:val="002D2CEA"/>
    <w:rsid w:val="002D3614"/>
    <w:rsid w:val="002D3A71"/>
    <w:rsid w:val="002D4F24"/>
    <w:rsid w:val="002D5387"/>
    <w:rsid w:val="002D5927"/>
    <w:rsid w:val="002D6871"/>
    <w:rsid w:val="002D6FE4"/>
    <w:rsid w:val="002D729B"/>
    <w:rsid w:val="002D743E"/>
    <w:rsid w:val="002D7E84"/>
    <w:rsid w:val="002E0174"/>
    <w:rsid w:val="002E04C6"/>
    <w:rsid w:val="002E3853"/>
    <w:rsid w:val="002E4F86"/>
    <w:rsid w:val="002E591C"/>
    <w:rsid w:val="002E5BC7"/>
    <w:rsid w:val="002E6021"/>
    <w:rsid w:val="002E62E0"/>
    <w:rsid w:val="002E6C32"/>
    <w:rsid w:val="002E707A"/>
    <w:rsid w:val="002F2B2A"/>
    <w:rsid w:val="002F318D"/>
    <w:rsid w:val="002F613B"/>
    <w:rsid w:val="002F6FCD"/>
    <w:rsid w:val="002F7086"/>
    <w:rsid w:val="002F7576"/>
    <w:rsid w:val="002F765A"/>
    <w:rsid w:val="002F7677"/>
    <w:rsid w:val="00302325"/>
    <w:rsid w:val="0030303C"/>
    <w:rsid w:val="00303A41"/>
    <w:rsid w:val="00303A8B"/>
    <w:rsid w:val="00304A82"/>
    <w:rsid w:val="00305E81"/>
    <w:rsid w:val="00307052"/>
    <w:rsid w:val="003070E2"/>
    <w:rsid w:val="00310391"/>
    <w:rsid w:val="0031206E"/>
    <w:rsid w:val="00313312"/>
    <w:rsid w:val="00314F18"/>
    <w:rsid w:val="003153EE"/>
    <w:rsid w:val="0031598E"/>
    <w:rsid w:val="003160CF"/>
    <w:rsid w:val="00316CBE"/>
    <w:rsid w:val="00317475"/>
    <w:rsid w:val="0031763D"/>
    <w:rsid w:val="00317A54"/>
    <w:rsid w:val="00321340"/>
    <w:rsid w:val="003224D6"/>
    <w:rsid w:val="00323200"/>
    <w:rsid w:val="00323235"/>
    <w:rsid w:val="00324D9C"/>
    <w:rsid w:val="00326DD8"/>
    <w:rsid w:val="003275F1"/>
    <w:rsid w:val="00327A46"/>
    <w:rsid w:val="00330148"/>
    <w:rsid w:val="003304B5"/>
    <w:rsid w:val="0033435A"/>
    <w:rsid w:val="00334554"/>
    <w:rsid w:val="00334DEF"/>
    <w:rsid w:val="00334F21"/>
    <w:rsid w:val="0033644C"/>
    <w:rsid w:val="0034095F"/>
    <w:rsid w:val="00342295"/>
    <w:rsid w:val="00342ED7"/>
    <w:rsid w:val="003435AF"/>
    <w:rsid w:val="00344487"/>
    <w:rsid w:val="00344F73"/>
    <w:rsid w:val="0034619F"/>
    <w:rsid w:val="003469F0"/>
    <w:rsid w:val="0034707C"/>
    <w:rsid w:val="003501B9"/>
    <w:rsid w:val="00350DBE"/>
    <w:rsid w:val="0035160E"/>
    <w:rsid w:val="00352394"/>
    <w:rsid w:val="003529C7"/>
    <w:rsid w:val="00352F44"/>
    <w:rsid w:val="003533F0"/>
    <w:rsid w:val="003543E4"/>
    <w:rsid w:val="00354A78"/>
    <w:rsid w:val="00356817"/>
    <w:rsid w:val="0036038B"/>
    <w:rsid w:val="0036071A"/>
    <w:rsid w:val="00360830"/>
    <w:rsid w:val="00362786"/>
    <w:rsid w:val="00363A7D"/>
    <w:rsid w:val="00363F27"/>
    <w:rsid w:val="0036419D"/>
    <w:rsid w:val="0036422B"/>
    <w:rsid w:val="0036566C"/>
    <w:rsid w:val="00370B24"/>
    <w:rsid w:val="00370B56"/>
    <w:rsid w:val="00370EC4"/>
    <w:rsid w:val="00371807"/>
    <w:rsid w:val="00371B8D"/>
    <w:rsid w:val="003745D2"/>
    <w:rsid w:val="0037521E"/>
    <w:rsid w:val="0037585B"/>
    <w:rsid w:val="003762CA"/>
    <w:rsid w:val="00376D05"/>
    <w:rsid w:val="0037781A"/>
    <w:rsid w:val="00377838"/>
    <w:rsid w:val="003807E4"/>
    <w:rsid w:val="00380A7D"/>
    <w:rsid w:val="00381016"/>
    <w:rsid w:val="003826F4"/>
    <w:rsid w:val="0038549C"/>
    <w:rsid w:val="00386472"/>
    <w:rsid w:val="00386765"/>
    <w:rsid w:val="00387C66"/>
    <w:rsid w:val="00390A0F"/>
    <w:rsid w:val="00391B79"/>
    <w:rsid w:val="003920BC"/>
    <w:rsid w:val="00392A03"/>
    <w:rsid w:val="00392EA0"/>
    <w:rsid w:val="00393D5A"/>
    <w:rsid w:val="00396012"/>
    <w:rsid w:val="0039606A"/>
    <w:rsid w:val="003967D9"/>
    <w:rsid w:val="00396B73"/>
    <w:rsid w:val="00397929"/>
    <w:rsid w:val="003A031E"/>
    <w:rsid w:val="003A1A78"/>
    <w:rsid w:val="003A1C3C"/>
    <w:rsid w:val="003A29A7"/>
    <w:rsid w:val="003A2D70"/>
    <w:rsid w:val="003A3B33"/>
    <w:rsid w:val="003A40C5"/>
    <w:rsid w:val="003A4A5D"/>
    <w:rsid w:val="003A53C1"/>
    <w:rsid w:val="003A6160"/>
    <w:rsid w:val="003A669F"/>
    <w:rsid w:val="003B02DA"/>
    <w:rsid w:val="003B1472"/>
    <w:rsid w:val="003B188A"/>
    <w:rsid w:val="003B2553"/>
    <w:rsid w:val="003B2FBB"/>
    <w:rsid w:val="003B3903"/>
    <w:rsid w:val="003B3A81"/>
    <w:rsid w:val="003B3E05"/>
    <w:rsid w:val="003B4120"/>
    <w:rsid w:val="003B6F5D"/>
    <w:rsid w:val="003C0C05"/>
    <w:rsid w:val="003C32EF"/>
    <w:rsid w:val="003C339C"/>
    <w:rsid w:val="003C3652"/>
    <w:rsid w:val="003C3670"/>
    <w:rsid w:val="003C37D0"/>
    <w:rsid w:val="003C5362"/>
    <w:rsid w:val="003C5BE1"/>
    <w:rsid w:val="003C632F"/>
    <w:rsid w:val="003C7905"/>
    <w:rsid w:val="003D0F68"/>
    <w:rsid w:val="003D273E"/>
    <w:rsid w:val="003D2759"/>
    <w:rsid w:val="003D29E1"/>
    <w:rsid w:val="003D2A84"/>
    <w:rsid w:val="003D30D2"/>
    <w:rsid w:val="003D3CF1"/>
    <w:rsid w:val="003D5103"/>
    <w:rsid w:val="003D5362"/>
    <w:rsid w:val="003E0A2B"/>
    <w:rsid w:val="003E0E0E"/>
    <w:rsid w:val="003E1F49"/>
    <w:rsid w:val="003E2171"/>
    <w:rsid w:val="003E294B"/>
    <w:rsid w:val="003E3EC0"/>
    <w:rsid w:val="003E44AF"/>
    <w:rsid w:val="003F0139"/>
    <w:rsid w:val="003F0346"/>
    <w:rsid w:val="003F3E56"/>
    <w:rsid w:val="003F4BDA"/>
    <w:rsid w:val="003F5616"/>
    <w:rsid w:val="003F5800"/>
    <w:rsid w:val="003F6647"/>
    <w:rsid w:val="003F7123"/>
    <w:rsid w:val="003F725B"/>
    <w:rsid w:val="003F7AC9"/>
    <w:rsid w:val="003F7D07"/>
    <w:rsid w:val="0040029E"/>
    <w:rsid w:val="00400F8A"/>
    <w:rsid w:val="00402446"/>
    <w:rsid w:val="004039A6"/>
    <w:rsid w:val="00403D71"/>
    <w:rsid w:val="00403FC8"/>
    <w:rsid w:val="0040428B"/>
    <w:rsid w:val="004051FB"/>
    <w:rsid w:val="00406CDE"/>
    <w:rsid w:val="00407FE5"/>
    <w:rsid w:val="0041155A"/>
    <w:rsid w:val="004118EF"/>
    <w:rsid w:val="00411B14"/>
    <w:rsid w:val="00412B47"/>
    <w:rsid w:val="00412C07"/>
    <w:rsid w:val="004138C1"/>
    <w:rsid w:val="00415756"/>
    <w:rsid w:val="00416D3F"/>
    <w:rsid w:val="00416EAF"/>
    <w:rsid w:val="004173B5"/>
    <w:rsid w:val="00421ED6"/>
    <w:rsid w:val="004221F5"/>
    <w:rsid w:val="004227CE"/>
    <w:rsid w:val="00423872"/>
    <w:rsid w:val="004252B2"/>
    <w:rsid w:val="00425E05"/>
    <w:rsid w:val="0042660F"/>
    <w:rsid w:val="0043027A"/>
    <w:rsid w:val="004313F0"/>
    <w:rsid w:val="004314F2"/>
    <w:rsid w:val="004335B2"/>
    <w:rsid w:val="00434B4A"/>
    <w:rsid w:val="00435E05"/>
    <w:rsid w:val="0043624C"/>
    <w:rsid w:val="004403C9"/>
    <w:rsid w:val="0044089C"/>
    <w:rsid w:val="00440965"/>
    <w:rsid w:val="0044121C"/>
    <w:rsid w:val="00441622"/>
    <w:rsid w:val="00441B87"/>
    <w:rsid w:val="00442AD8"/>
    <w:rsid w:val="004443A7"/>
    <w:rsid w:val="00444918"/>
    <w:rsid w:val="00445173"/>
    <w:rsid w:val="00445CB8"/>
    <w:rsid w:val="00451728"/>
    <w:rsid w:val="00453AFC"/>
    <w:rsid w:val="0045701E"/>
    <w:rsid w:val="0045737E"/>
    <w:rsid w:val="00457BD9"/>
    <w:rsid w:val="00457E14"/>
    <w:rsid w:val="004605D9"/>
    <w:rsid w:val="004634B9"/>
    <w:rsid w:val="00463EFF"/>
    <w:rsid w:val="00464D09"/>
    <w:rsid w:val="004650A0"/>
    <w:rsid w:val="00465D22"/>
    <w:rsid w:val="0046738E"/>
    <w:rsid w:val="00470FAD"/>
    <w:rsid w:val="00471035"/>
    <w:rsid w:val="00471778"/>
    <w:rsid w:val="0047231D"/>
    <w:rsid w:val="0047386C"/>
    <w:rsid w:val="004740BA"/>
    <w:rsid w:val="004753FD"/>
    <w:rsid w:val="00475BF5"/>
    <w:rsid w:val="00475E9E"/>
    <w:rsid w:val="004762C1"/>
    <w:rsid w:val="004767A4"/>
    <w:rsid w:val="004774A8"/>
    <w:rsid w:val="00477642"/>
    <w:rsid w:val="00477712"/>
    <w:rsid w:val="00477EA3"/>
    <w:rsid w:val="004802EF"/>
    <w:rsid w:val="0048120E"/>
    <w:rsid w:val="0048281E"/>
    <w:rsid w:val="004829AE"/>
    <w:rsid w:val="00483723"/>
    <w:rsid w:val="00485149"/>
    <w:rsid w:val="00486BFE"/>
    <w:rsid w:val="004875EB"/>
    <w:rsid w:val="004930E9"/>
    <w:rsid w:val="00493D4A"/>
    <w:rsid w:val="00493EE3"/>
    <w:rsid w:val="00496A84"/>
    <w:rsid w:val="00496CD1"/>
    <w:rsid w:val="004A00B5"/>
    <w:rsid w:val="004A013A"/>
    <w:rsid w:val="004A20AE"/>
    <w:rsid w:val="004A4BB2"/>
    <w:rsid w:val="004B1ABF"/>
    <w:rsid w:val="004B1C1E"/>
    <w:rsid w:val="004B1F9B"/>
    <w:rsid w:val="004B2A20"/>
    <w:rsid w:val="004B2DD7"/>
    <w:rsid w:val="004B4154"/>
    <w:rsid w:val="004B436E"/>
    <w:rsid w:val="004B492C"/>
    <w:rsid w:val="004B5796"/>
    <w:rsid w:val="004B5A42"/>
    <w:rsid w:val="004C05B1"/>
    <w:rsid w:val="004C1629"/>
    <w:rsid w:val="004C1F02"/>
    <w:rsid w:val="004C2BFF"/>
    <w:rsid w:val="004C4925"/>
    <w:rsid w:val="004C4B33"/>
    <w:rsid w:val="004C4CA4"/>
    <w:rsid w:val="004C562A"/>
    <w:rsid w:val="004C60B7"/>
    <w:rsid w:val="004C7DB1"/>
    <w:rsid w:val="004D048A"/>
    <w:rsid w:val="004D0772"/>
    <w:rsid w:val="004D08E5"/>
    <w:rsid w:val="004D0A19"/>
    <w:rsid w:val="004D2104"/>
    <w:rsid w:val="004D2F47"/>
    <w:rsid w:val="004D3A5D"/>
    <w:rsid w:val="004D75F3"/>
    <w:rsid w:val="004E0412"/>
    <w:rsid w:val="004E1107"/>
    <w:rsid w:val="004E16F1"/>
    <w:rsid w:val="004E2999"/>
    <w:rsid w:val="004E33B2"/>
    <w:rsid w:val="004E6056"/>
    <w:rsid w:val="004E7083"/>
    <w:rsid w:val="004F0351"/>
    <w:rsid w:val="004F120A"/>
    <w:rsid w:val="004F1536"/>
    <w:rsid w:val="004F197F"/>
    <w:rsid w:val="004F1EFB"/>
    <w:rsid w:val="004F3D52"/>
    <w:rsid w:val="004F44D5"/>
    <w:rsid w:val="004F550A"/>
    <w:rsid w:val="004F5633"/>
    <w:rsid w:val="004F56CA"/>
    <w:rsid w:val="004F63C3"/>
    <w:rsid w:val="004F712D"/>
    <w:rsid w:val="004F7506"/>
    <w:rsid w:val="00500FA0"/>
    <w:rsid w:val="00502175"/>
    <w:rsid w:val="00502438"/>
    <w:rsid w:val="00502A4E"/>
    <w:rsid w:val="00502AEA"/>
    <w:rsid w:val="005036E2"/>
    <w:rsid w:val="00503856"/>
    <w:rsid w:val="00503E4F"/>
    <w:rsid w:val="00504A7D"/>
    <w:rsid w:val="005052F0"/>
    <w:rsid w:val="005062D5"/>
    <w:rsid w:val="005073AE"/>
    <w:rsid w:val="00507AE1"/>
    <w:rsid w:val="0051132C"/>
    <w:rsid w:val="005115F1"/>
    <w:rsid w:val="005124E2"/>
    <w:rsid w:val="00512884"/>
    <w:rsid w:val="00513F62"/>
    <w:rsid w:val="0051469C"/>
    <w:rsid w:val="00514B3E"/>
    <w:rsid w:val="00515243"/>
    <w:rsid w:val="005162EB"/>
    <w:rsid w:val="005207B8"/>
    <w:rsid w:val="00524C62"/>
    <w:rsid w:val="00525684"/>
    <w:rsid w:val="00531B97"/>
    <w:rsid w:val="00531FB5"/>
    <w:rsid w:val="00532B14"/>
    <w:rsid w:val="005336B9"/>
    <w:rsid w:val="005339F5"/>
    <w:rsid w:val="00533FA4"/>
    <w:rsid w:val="0053538E"/>
    <w:rsid w:val="00535958"/>
    <w:rsid w:val="00535EE6"/>
    <w:rsid w:val="00536C63"/>
    <w:rsid w:val="00541671"/>
    <w:rsid w:val="00541C69"/>
    <w:rsid w:val="005435F0"/>
    <w:rsid w:val="005443AA"/>
    <w:rsid w:val="00544769"/>
    <w:rsid w:val="00546FD9"/>
    <w:rsid w:val="005476AD"/>
    <w:rsid w:val="005502ED"/>
    <w:rsid w:val="00554B5E"/>
    <w:rsid w:val="0055550D"/>
    <w:rsid w:val="0055553A"/>
    <w:rsid w:val="00557D41"/>
    <w:rsid w:val="00560337"/>
    <w:rsid w:val="005620C9"/>
    <w:rsid w:val="00562B0A"/>
    <w:rsid w:val="005635E2"/>
    <w:rsid w:val="00564078"/>
    <w:rsid w:val="00564199"/>
    <w:rsid w:val="005662DD"/>
    <w:rsid w:val="00566EBC"/>
    <w:rsid w:val="005700B1"/>
    <w:rsid w:val="00570437"/>
    <w:rsid w:val="00571D24"/>
    <w:rsid w:val="0057322C"/>
    <w:rsid w:val="00573A24"/>
    <w:rsid w:val="005746FD"/>
    <w:rsid w:val="00574951"/>
    <w:rsid w:val="00575171"/>
    <w:rsid w:val="005756AA"/>
    <w:rsid w:val="00575E45"/>
    <w:rsid w:val="00576D79"/>
    <w:rsid w:val="00576F15"/>
    <w:rsid w:val="00577A0E"/>
    <w:rsid w:val="00580A6E"/>
    <w:rsid w:val="00581E2B"/>
    <w:rsid w:val="00582156"/>
    <w:rsid w:val="00582A5F"/>
    <w:rsid w:val="00582E20"/>
    <w:rsid w:val="005840D4"/>
    <w:rsid w:val="00584309"/>
    <w:rsid w:val="00585A0D"/>
    <w:rsid w:val="00585BC0"/>
    <w:rsid w:val="00586238"/>
    <w:rsid w:val="00586EB9"/>
    <w:rsid w:val="00587224"/>
    <w:rsid w:val="0058730D"/>
    <w:rsid w:val="00587336"/>
    <w:rsid w:val="00590736"/>
    <w:rsid w:val="00590A2B"/>
    <w:rsid w:val="00591CCF"/>
    <w:rsid w:val="005930EB"/>
    <w:rsid w:val="00593DB3"/>
    <w:rsid w:val="005944C8"/>
    <w:rsid w:val="00595CF9"/>
    <w:rsid w:val="005971AC"/>
    <w:rsid w:val="00597251"/>
    <w:rsid w:val="00597735"/>
    <w:rsid w:val="005A0925"/>
    <w:rsid w:val="005A11CA"/>
    <w:rsid w:val="005A191A"/>
    <w:rsid w:val="005A2461"/>
    <w:rsid w:val="005A2E81"/>
    <w:rsid w:val="005A3022"/>
    <w:rsid w:val="005A4457"/>
    <w:rsid w:val="005A46A6"/>
    <w:rsid w:val="005A49AA"/>
    <w:rsid w:val="005A540A"/>
    <w:rsid w:val="005A558A"/>
    <w:rsid w:val="005A6421"/>
    <w:rsid w:val="005A6601"/>
    <w:rsid w:val="005A671F"/>
    <w:rsid w:val="005A7FC9"/>
    <w:rsid w:val="005B028A"/>
    <w:rsid w:val="005B03E9"/>
    <w:rsid w:val="005B133F"/>
    <w:rsid w:val="005B37BC"/>
    <w:rsid w:val="005B52DC"/>
    <w:rsid w:val="005B6675"/>
    <w:rsid w:val="005B6E9E"/>
    <w:rsid w:val="005B71DC"/>
    <w:rsid w:val="005C00E3"/>
    <w:rsid w:val="005C058B"/>
    <w:rsid w:val="005C0AE0"/>
    <w:rsid w:val="005C110A"/>
    <w:rsid w:val="005C1FDF"/>
    <w:rsid w:val="005C2F67"/>
    <w:rsid w:val="005C3800"/>
    <w:rsid w:val="005C3B45"/>
    <w:rsid w:val="005C3D40"/>
    <w:rsid w:val="005C47E1"/>
    <w:rsid w:val="005C4EB7"/>
    <w:rsid w:val="005C5115"/>
    <w:rsid w:val="005C54F4"/>
    <w:rsid w:val="005D0808"/>
    <w:rsid w:val="005D09EA"/>
    <w:rsid w:val="005D10B1"/>
    <w:rsid w:val="005D1672"/>
    <w:rsid w:val="005D170C"/>
    <w:rsid w:val="005D1D2B"/>
    <w:rsid w:val="005D2B30"/>
    <w:rsid w:val="005D3E39"/>
    <w:rsid w:val="005D4DD4"/>
    <w:rsid w:val="005D5A23"/>
    <w:rsid w:val="005D6306"/>
    <w:rsid w:val="005D6413"/>
    <w:rsid w:val="005D772D"/>
    <w:rsid w:val="005E0D50"/>
    <w:rsid w:val="005E27F6"/>
    <w:rsid w:val="005E28F1"/>
    <w:rsid w:val="005E350E"/>
    <w:rsid w:val="005E4693"/>
    <w:rsid w:val="005E53AC"/>
    <w:rsid w:val="005E6616"/>
    <w:rsid w:val="005E6F31"/>
    <w:rsid w:val="005E71E6"/>
    <w:rsid w:val="005F0594"/>
    <w:rsid w:val="005F0688"/>
    <w:rsid w:val="005F0F64"/>
    <w:rsid w:val="005F11F9"/>
    <w:rsid w:val="005F121F"/>
    <w:rsid w:val="005F3499"/>
    <w:rsid w:val="005F3A43"/>
    <w:rsid w:val="005F3D26"/>
    <w:rsid w:val="005F4D40"/>
    <w:rsid w:val="005F74A6"/>
    <w:rsid w:val="0060130C"/>
    <w:rsid w:val="00602101"/>
    <w:rsid w:val="00603D0D"/>
    <w:rsid w:val="00604DFB"/>
    <w:rsid w:val="00605D83"/>
    <w:rsid w:val="00606010"/>
    <w:rsid w:val="00606E93"/>
    <w:rsid w:val="006072EC"/>
    <w:rsid w:val="00611214"/>
    <w:rsid w:val="006114FB"/>
    <w:rsid w:val="00612BCE"/>
    <w:rsid w:val="00612CA5"/>
    <w:rsid w:val="00612EB6"/>
    <w:rsid w:val="00612EE8"/>
    <w:rsid w:val="00613BD7"/>
    <w:rsid w:val="0061580A"/>
    <w:rsid w:val="006158AC"/>
    <w:rsid w:val="00615FC8"/>
    <w:rsid w:val="00616DCD"/>
    <w:rsid w:val="00620AC6"/>
    <w:rsid w:val="00621DFB"/>
    <w:rsid w:val="0062310F"/>
    <w:rsid w:val="00623A24"/>
    <w:rsid w:val="00623F2E"/>
    <w:rsid w:val="00624692"/>
    <w:rsid w:val="00624BF9"/>
    <w:rsid w:val="00625529"/>
    <w:rsid w:val="00626578"/>
    <w:rsid w:val="00626AE3"/>
    <w:rsid w:val="00626C62"/>
    <w:rsid w:val="00626FBC"/>
    <w:rsid w:val="00627CA7"/>
    <w:rsid w:val="0063151F"/>
    <w:rsid w:val="00633D04"/>
    <w:rsid w:val="0063448B"/>
    <w:rsid w:val="00635CBD"/>
    <w:rsid w:val="00637131"/>
    <w:rsid w:val="006372EE"/>
    <w:rsid w:val="0064021B"/>
    <w:rsid w:val="0064053D"/>
    <w:rsid w:val="006415F3"/>
    <w:rsid w:val="006426D5"/>
    <w:rsid w:val="00642D1D"/>
    <w:rsid w:val="006432DD"/>
    <w:rsid w:val="006434FB"/>
    <w:rsid w:val="00644145"/>
    <w:rsid w:val="00644941"/>
    <w:rsid w:val="00645B13"/>
    <w:rsid w:val="006460FD"/>
    <w:rsid w:val="00646E36"/>
    <w:rsid w:val="00647B3C"/>
    <w:rsid w:val="00650296"/>
    <w:rsid w:val="006509C4"/>
    <w:rsid w:val="00652A47"/>
    <w:rsid w:val="00652CC3"/>
    <w:rsid w:val="00653EDE"/>
    <w:rsid w:val="00654164"/>
    <w:rsid w:val="00656979"/>
    <w:rsid w:val="00657580"/>
    <w:rsid w:val="006608FA"/>
    <w:rsid w:val="00660F76"/>
    <w:rsid w:val="00663642"/>
    <w:rsid w:val="00663AC3"/>
    <w:rsid w:val="00664A94"/>
    <w:rsid w:val="00666040"/>
    <w:rsid w:val="00667A40"/>
    <w:rsid w:val="006716CA"/>
    <w:rsid w:val="00671888"/>
    <w:rsid w:val="00671BB8"/>
    <w:rsid w:val="00672079"/>
    <w:rsid w:val="00672380"/>
    <w:rsid w:val="00672A8A"/>
    <w:rsid w:val="00673020"/>
    <w:rsid w:val="00673C2A"/>
    <w:rsid w:val="0067490D"/>
    <w:rsid w:val="00674D5E"/>
    <w:rsid w:val="00674F61"/>
    <w:rsid w:val="00675D10"/>
    <w:rsid w:val="00675EBF"/>
    <w:rsid w:val="00677A7A"/>
    <w:rsid w:val="00680075"/>
    <w:rsid w:val="006810E2"/>
    <w:rsid w:val="006815FE"/>
    <w:rsid w:val="006820AE"/>
    <w:rsid w:val="006823D6"/>
    <w:rsid w:val="0068323E"/>
    <w:rsid w:val="006843E7"/>
    <w:rsid w:val="0068453C"/>
    <w:rsid w:val="006846B2"/>
    <w:rsid w:val="0068537B"/>
    <w:rsid w:val="006867C0"/>
    <w:rsid w:val="00687A82"/>
    <w:rsid w:val="00687CE7"/>
    <w:rsid w:val="00690124"/>
    <w:rsid w:val="006917F2"/>
    <w:rsid w:val="00691C9A"/>
    <w:rsid w:val="00692E20"/>
    <w:rsid w:val="00693E9B"/>
    <w:rsid w:val="00694C4D"/>
    <w:rsid w:val="00695E04"/>
    <w:rsid w:val="006966B8"/>
    <w:rsid w:val="006973FB"/>
    <w:rsid w:val="006A0228"/>
    <w:rsid w:val="006A2CBA"/>
    <w:rsid w:val="006A3AE1"/>
    <w:rsid w:val="006A4B0D"/>
    <w:rsid w:val="006A5823"/>
    <w:rsid w:val="006A73F9"/>
    <w:rsid w:val="006A76AA"/>
    <w:rsid w:val="006A7C01"/>
    <w:rsid w:val="006B0773"/>
    <w:rsid w:val="006B3286"/>
    <w:rsid w:val="006B3D40"/>
    <w:rsid w:val="006B449D"/>
    <w:rsid w:val="006B5F6E"/>
    <w:rsid w:val="006C1A51"/>
    <w:rsid w:val="006C1DF3"/>
    <w:rsid w:val="006C1F95"/>
    <w:rsid w:val="006C2455"/>
    <w:rsid w:val="006C25C7"/>
    <w:rsid w:val="006C3D08"/>
    <w:rsid w:val="006C42BD"/>
    <w:rsid w:val="006C51E0"/>
    <w:rsid w:val="006C726C"/>
    <w:rsid w:val="006C771B"/>
    <w:rsid w:val="006D08C7"/>
    <w:rsid w:val="006D0D09"/>
    <w:rsid w:val="006D0FD7"/>
    <w:rsid w:val="006D3C6A"/>
    <w:rsid w:val="006D4107"/>
    <w:rsid w:val="006D55B0"/>
    <w:rsid w:val="006D5FF4"/>
    <w:rsid w:val="006D6EB4"/>
    <w:rsid w:val="006D7DDC"/>
    <w:rsid w:val="006E0805"/>
    <w:rsid w:val="006E0823"/>
    <w:rsid w:val="006E0DBE"/>
    <w:rsid w:val="006E114B"/>
    <w:rsid w:val="006E263B"/>
    <w:rsid w:val="006E33FF"/>
    <w:rsid w:val="006E576C"/>
    <w:rsid w:val="006E6775"/>
    <w:rsid w:val="006E7441"/>
    <w:rsid w:val="006F0FF3"/>
    <w:rsid w:val="006F2932"/>
    <w:rsid w:val="006F2E33"/>
    <w:rsid w:val="006F3419"/>
    <w:rsid w:val="006F3C46"/>
    <w:rsid w:val="006F47E3"/>
    <w:rsid w:val="006F518E"/>
    <w:rsid w:val="006F61FB"/>
    <w:rsid w:val="006F66A7"/>
    <w:rsid w:val="006F71FD"/>
    <w:rsid w:val="0070092E"/>
    <w:rsid w:val="00701D50"/>
    <w:rsid w:val="007040ED"/>
    <w:rsid w:val="00704937"/>
    <w:rsid w:val="00704BC3"/>
    <w:rsid w:val="00706449"/>
    <w:rsid w:val="0070712F"/>
    <w:rsid w:val="00707817"/>
    <w:rsid w:val="0071120D"/>
    <w:rsid w:val="00711599"/>
    <w:rsid w:val="0071384B"/>
    <w:rsid w:val="00715493"/>
    <w:rsid w:val="00717B6B"/>
    <w:rsid w:val="00722A41"/>
    <w:rsid w:val="00723E49"/>
    <w:rsid w:val="007246C7"/>
    <w:rsid w:val="0072473D"/>
    <w:rsid w:val="007257B6"/>
    <w:rsid w:val="007258C9"/>
    <w:rsid w:val="007261D6"/>
    <w:rsid w:val="00726538"/>
    <w:rsid w:val="007266AB"/>
    <w:rsid w:val="00727968"/>
    <w:rsid w:val="007306AE"/>
    <w:rsid w:val="007306DD"/>
    <w:rsid w:val="00730C1D"/>
    <w:rsid w:val="00731B0C"/>
    <w:rsid w:val="00731BF1"/>
    <w:rsid w:val="0073377B"/>
    <w:rsid w:val="0073471F"/>
    <w:rsid w:val="0073534F"/>
    <w:rsid w:val="00735563"/>
    <w:rsid w:val="00736349"/>
    <w:rsid w:val="00736B1F"/>
    <w:rsid w:val="00741719"/>
    <w:rsid w:val="007423FD"/>
    <w:rsid w:val="00742FDB"/>
    <w:rsid w:val="0074368E"/>
    <w:rsid w:val="00743698"/>
    <w:rsid w:val="007443DF"/>
    <w:rsid w:val="0074473C"/>
    <w:rsid w:val="007455B4"/>
    <w:rsid w:val="00747159"/>
    <w:rsid w:val="007501C5"/>
    <w:rsid w:val="00752058"/>
    <w:rsid w:val="00755567"/>
    <w:rsid w:val="0075625A"/>
    <w:rsid w:val="007568DE"/>
    <w:rsid w:val="007601A2"/>
    <w:rsid w:val="0076096E"/>
    <w:rsid w:val="007609FE"/>
    <w:rsid w:val="00761CC0"/>
    <w:rsid w:val="00762637"/>
    <w:rsid w:val="00762AD4"/>
    <w:rsid w:val="00766E2F"/>
    <w:rsid w:val="007674FE"/>
    <w:rsid w:val="00767EF1"/>
    <w:rsid w:val="00770810"/>
    <w:rsid w:val="007719DC"/>
    <w:rsid w:val="00773D4D"/>
    <w:rsid w:val="00774505"/>
    <w:rsid w:val="00774884"/>
    <w:rsid w:val="0077555F"/>
    <w:rsid w:val="00776BF8"/>
    <w:rsid w:val="00776F0F"/>
    <w:rsid w:val="007778F4"/>
    <w:rsid w:val="00777EC3"/>
    <w:rsid w:val="00780DD9"/>
    <w:rsid w:val="00782776"/>
    <w:rsid w:val="00782F1C"/>
    <w:rsid w:val="00782FDC"/>
    <w:rsid w:val="00783267"/>
    <w:rsid w:val="00783C5E"/>
    <w:rsid w:val="007852B7"/>
    <w:rsid w:val="007857DE"/>
    <w:rsid w:val="00785B97"/>
    <w:rsid w:val="007862F8"/>
    <w:rsid w:val="00786AFD"/>
    <w:rsid w:val="007870B9"/>
    <w:rsid w:val="007872B9"/>
    <w:rsid w:val="00787EFF"/>
    <w:rsid w:val="00790493"/>
    <w:rsid w:val="00790705"/>
    <w:rsid w:val="00790968"/>
    <w:rsid w:val="007928F5"/>
    <w:rsid w:val="00792E66"/>
    <w:rsid w:val="00793702"/>
    <w:rsid w:val="00794B79"/>
    <w:rsid w:val="007951FF"/>
    <w:rsid w:val="0079696D"/>
    <w:rsid w:val="00796A7F"/>
    <w:rsid w:val="00797280"/>
    <w:rsid w:val="0079762F"/>
    <w:rsid w:val="007A023C"/>
    <w:rsid w:val="007A07D4"/>
    <w:rsid w:val="007A0D37"/>
    <w:rsid w:val="007A11D9"/>
    <w:rsid w:val="007A1845"/>
    <w:rsid w:val="007A24F5"/>
    <w:rsid w:val="007A2D11"/>
    <w:rsid w:val="007A51F6"/>
    <w:rsid w:val="007A53C3"/>
    <w:rsid w:val="007A5A93"/>
    <w:rsid w:val="007A6484"/>
    <w:rsid w:val="007A73E9"/>
    <w:rsid w:val="007B2D67"/>
    <w:rsid w:val="007B2F0E"/>
    <w:rsid w:val="007B60ED"/>
    <w:rsid w:val="007B6F5D"/>
    <w:rsid w:val="007B7E55"/>
    <w:rsid w:val="007C1B5C"/>
    <w:rsid w:val="007C2802"/>
    <w:rsid w:val="007C2969"/>
    <w:rsid w:val="007C54B4"/>
    <w:rsid w:val="007C5C11"/>
    <w:rsid w:val="007C7436"/>
    <w:rsid w:val="007C79E4"/>
    <w:rsid w:val="007D0EDC"/>
    <w:rsid w:val="007D20B1"/>
    <w:rsid w:val="007D30DF"/>
    <w:rsid w:val="007D45A4"/>
    <w:rsid w:val="007D4B13"/>
    <w:rsid w:val="007D5604"/>
    <w:rsid w:val="007D6DF7"/>
    <w:rsid w:val="007D7863"/>
    <w:rsid w:val="007E2B87"/>
    <w:rsid w:val="007E32AC"/>
    <w:rsid w:val="007E3DE5"/>
    <w:rsid w:val="007E5614"/>
    <w:rsid w:val="007E563B"/>
    <w:rsid w:val="007E60B3"/>
    <w:rsid w:val="007E703D"/>
    <w:rsid w:val="007E7079"/>
    <w:rsid w:val="007E7EBC"/>
    <w:rsid w:val="007F26AD"/>
    <w:rsid w:val="007F26B0"/>
    <w:rsid w:val="007F2B3C"/>
    <w:rsid w:val="007F4EBC"/>
    <w:rsid w:val="007F5D93"/>
    <w:rsid w:val="007F65A0"/>
    <w:rsid w:val="0080040B"/>
    <w:rsid w:val="00800BB2"/>
    <w:rsid w:val="008016E5"/>
    <w:rsid w:val="00802985"/>
    <w:rsid w:val="00803C95"/>
    <w:rsid w:val="00804099"/>
    <w:rsid w:val="008068EA"/>
    <w:rsid w:val="008075FE"/>
    <w:rsid w:val="00810FEC"/>
    <w:rsid w:val="00812E24"/>
    <w:rsid w:val="00813711"/>
    <w:rsid w:val="008152B9"/>
    <w:rsid w:val="008152C3"/>
    <w:rsid w:val="008166D8"/>
    <w:rsid w:val="0082098C"/>
    <w:rsid w:val="00820AF2"/>
    <w:rsid w:val="008210CE"/>
    <w:rsid w:val="00822AF7"/>
    <w:rsid w:val="00824493"/>
    <w:rsid w:val="008247D6"/>
    <w:rsid w:val="00826B49"/>
    <w:rsid w:val="00826F9A"/>
    <w:rsid w:val="00827222"/>
    <w:rsid w:val="00827725"/>
    <w:rsid w:val="00827E08"/>
    <w:rsid w:val="008304D3"/>
    <w:rsid w:val="00830569"/>
    <w:rsid w:val="00830B3D"/>
    <w:rsid w:val="008318A3"/>
    <w:rsid w:val="00831F76"/>
    <w:rsid w:val="0083386F"/>
    <w:rsid w:val="00833AD2"/>
    <w:rsid w:val="0083445A"/>
    <w:rsid w:val="00835CE5"/>
    <w:rsid w:val="00836DB6"/>
    <w:rsid w:val="00837263"/>
    <w:rsid w:val="00837A8B"/>
    <w:rsid w:val="008406E2"/>
    <w:rsid w:val="00841477"/>
    <w:rsid w:val="0084159F"/>
    <w:rsid w:val="008420CC"/>
    <w:rsid w:val="00843CF1"/>
    <w:rsid w:val="00843E7A"/>
    <w:rsid w:val="00844EC0"/>
    <w:rsid w:val="00845451"/>
    <w:rsid w:val="00845EAA"/>
    <w:rsid w:val="008471A7"/>
    <w:rsid w:val="00850F07"/>
    <w:rsid w:val="00851BD9"/>
    <w:rsid w:val="0085209D"/>
    <w:rsid w:val="00852C57"/>
    <w:rsid w:val="0085361D"/>
    <w:rsid w:val="00854B03"/>
    <w:rsid w:val="00855720"/>
    <w:rsid w:val="008559CD"/>
    <w:rsid w:val="00856914"/>
    <w:rsid w:val="0086070C"/>
    <w:rsid w:val="00860B28"/>
    <w:rsid w:val="00860DE0"/>
    <w:rsid w:val="00862DB2"/>
    <w:rsid w:val="00864E3D"/>
    <w:rsid w:val="00865263"/>
    <w:rsid w:val="00865B84"/>
    <w:rsid w:val="00865E1F"/>
    <w:rsid w:val="008666F1"/>
    <w:rsid w:val="008672B1"/>
    <w:rsid w:val="008678C0"/>
    <w:rsid w:val="00870305"/>
    <w:rsid w:val="008706AB"/>
    <w:rsid w:val="00871DCE"/>
    <w:rsid w:val="00872DED"/>
    <w:rsid w:val="008730C8"/>
    <w:rsid w:val="00873D64"/>
    <w:rsid w:val="00875AE3"/>
    <w:rsid w:val="00876E3B"/>
    <w:rsid w:val="008805C5"/>
    <w:rsid w:val="00881288"/>
    <w:rsid w:val="0088183A"/>
    <w:rsid w:val="00881EE0"/>
    <w:rsid w:val="00884750"/>
    <w:rsid w:val="00885004"/>
    <w:rsid w:val="00885652"/>
    <w:rsid w:val="00886820"/>
    <w:rsid w:val="0088723D"/>
    <w:rsid w:val="00887303"/>
    <w:rsid w:val="00890473"/>
    <w:rsid w:val="00891A4B"/>
    <w:rsid w:val="008930DA"/>
    <w:rsid w:val="0089454F"/>
    <w:rsid w:val="008958EC"/>
    <w:rsid w:val="00896F45"/>
    <w:rsid w:val="0089726C"/>
    <w:rsid w:val="00897322"/>
    <w:rsid w:val="00897350"/>
    <w:rsid w:val="008A02B1"/>
    <w:rsid w:val="008A05B0"/>
    <w:rsid w:val="008A0AFC"/>
    <w:rsid w:val="008A0E7B"/>
    <w:rsid w:val="008A1E57"/>
    <w:rsid w:val="008A231B"/>
    <w:rsid w:val="008A361A"/>
    <w:rsid w:val="008A3C79"/>
    <w:rsid w:val="008A3F8C"/>
    <w:rsid w:val="008A4C00"/>
    <w:rsid w:val="008A4EDD"/>
    <w:rsid w:val="008A4F8A"/>
    <w:rsid w:val="008A616E"/>
    <w:rsid w:val="008B03B8"/>
    <w:rsid w:val="008B06A9"/>
    <w:rsid w:val="008B1E07"/>
    <w:rsid w:val="008B227C"/>
    <w:rsid w:val="008B26F2"/>
    <w:rsid w:val="008B2EDC"/>
    <w:rsid w:val="008B406F"/>
    <w:rsid w:val="008B4589"/>
    <w:rsid w:val="008B4E14"/>
    <w:rsid w:val="008B645D"/>
    <w:rsid w:val="008B68DF"/>
    <w:rsid w:val="008B7C0E"/>
    <w:rsid w:val="008C0F1D"/>
    <w:rsid w:val="008C1CFB"/>
    <w:rsid w:val="008C442D"/>
    <w:rsid w:val="008C52F4"/>
    <w:rsid w:val="008C5890"/>
    <w:rsid w:val="008C7C68"/>
    <w:rsid w:val="008D2F72"/>
    <w:rsid w:val="008D301E"/>
    <w:rsid w:val="008D3739"/>
    <w:rsid w:val="008D46E4"/>
    <w:rsid w:val="008D53D3"/>
    <w:rsid w:val="008D67FE"/>
    <w:rsid w:val="008D6BE3"/>
    <w:rsid w:val="008D6F82"/>
    <w:rsid w:val="008D7710"/>
    <w:rsid w:val="008D7EFF"/>
    <w:rsid w:val="008D7FAD"/>
    <w:rsid w:val="008E1B6B"/>
    <w:rsid w:val="008E374F"/>
    <w:rsid w:val="008E55C8"/>
    <w:rsid w:val="008E592D"/>
    <w:rsid w:val="008E6B64"/>
    <w:rsid w:val="008E6C56"/>
    <w:rsid w:val="008F3823"/>
    <w:rsid w:val="008F3CD2"/>
    <w:rsid w:val="008F400E"/>
    <w:rsid w:val="008F50EB"/>
    <w:rsid w:val="008F560A"/>
    <w:rsid w:val="008F58C4"/>
    <w:rsid w:val="008F6982"/>
    <w:rsid w:val="009002DF"/>
    <w:rsid w:val="00900EAB"/>
    <w:rsid w:val="00901F8A"/>
    <w:rsid w:val="009034D1"/>
    <w:rsid w:val="00903BB9"/>
    <w:rsid w:val="00907502"/>
    <w:rsid w:val="009105B2"/>
    <w:rsid w:val="0091093D"/>
    <w:rsid w:val="00910C1F"/>
    <w:rsid w:val="00910CB7"/>
    <w:rsid w:val="00910F4F"/>
    <w:rsid w:val="00911903"/>
    <w:rsid w:val="0091511E"/>
    <w:rsid w:val="00915957"/>
    <w:rsid w:val="00917425"/>
    <w:rsid w:val="009174EA"/>
    <w:rsid w:val="00917AEC"/>
    <w:rsid w:val="00917D48"/>
    <w:rsid w:val="00920094"/>
    <w:rsid w:val="009200D8"/>
    <w:rsid w:val="00920A9A"/>
    <w:rsid w:val="00920E0F"/>
    <w:rsid w:val="00920EB1"/>
    <w:rsid w:val="0092235D"/>
    <w:rsid w:val="009231D1"/>
    <w:rsid w:val="00924C6B"/>
    <w:rsid w:val="00925072"/>
    <w:rsid w:val="00925949"/>
    <w:rsid w:val="00925B18"/>
    <w:rsid w:val="0092789B"/>
    <w:rsid w:val="00930037"/>
    <w:rsid w:val="00931B51"/>
    <w:rsid w:val="00932449"/>
    <w:rsid w:val="00933612"/>
    <w:rsid w:val="0093414C"/>
    <w:rsid w:val="00934167"/>
    <w:rsid w:val="009341CB"/>
    <w:rsid w:val="00934348"/>
    <w:rsid w:val="009354B3"/>
    <w:rsid w:val="00936CD6"/>
    <w:rsid w:val="00936D02"/>
    <w:rsid w:val="00940219"/>
    <w:rsid w:val="009405C9"/>
    <w:rsid w:val="0094098D"/>
    <w:rsid w:val="009414CA"/>
    <w:rsid w:val="00942A0B"/>
    <w:rsid w:val="00943789"/>
    <w:rsid w:val="00943DFD"/>
    <w:rsid w:val="00943E65"/>
    <w:rsid w:val="00944A2C"/>
    <w:rsid w:val="009451E3"/>
    <w:rsid w:val="009458A2"/>
    <w:rsid w:val="0094798A"/>
    <w:rsid w:val="009502B4"/>
    <w:rsid w:val="009532DF"/>
    <w:rsid w:val="00954B97"/>
    <w:rsid w:val="00954C00"/>
    <w:rsid w:val="009559DA"/>
    <w:rsid w:val="00955E35"/>
    <w:rsid w:val="00956902"/>
    <w:rsid w:val="00956EF5"/>
    <w:rsid w:val="0096063C"/>
    <w:rsid w:val="0096174B"/>
    <w:rsid w:val="00962D1F"/>
    <w:rsid w:val="00963F6D"/>
    <w:rsid w:val="00964C13"/>
    <w:rsid w:val="009702B4"/>
    <w:rsid w:val="00970FD4"/>
    <w:rsid w:val="00971084"/>
    <w:rsid w:val="00971516"/>
    <w:rsid w:val="00972F24"/>
    <w:rsid w:val="009730FE"/>
    <w:rsid w:val="009736EF"/>
    <w:rsid w:val="00973F2A"/>
    <w:rsid w:val="009748D2"/>
    <w:rsid w:val="00974FCF"/>
    <w:rsid w:val="0097687E"/>
    <w:rsid w:val="00976C62"/>
    <w:rsid w:val="0098182D"/>
    <w:rsid w:val="00981CB5"/>
    <w:rsid w:val="009826A9"/>
    <w:rsid w:val="00983616"/>
    <w:rsid w:val="009841D6"/>
    <w:rsid w:val="0098421C"/>
    <w:rsid w:val="00984496"/>
    <w:rsid w:val="00984FDF"/>
    <w:rsid w:val="0098509E"/>
    <w:rsid w:val="009855E6"/>
    <w:rsid w:val="0098561B"/>
    <w:rsid w:val="00985812"/>
    <w:rsid w:val="009858F4"/>
    <w:rsid w:val="00986960"/>
    <w:rsid w:val="00986CB6"/>
    <w:rsid w:val="00986D62"/>
    <w:rsid w:val="00987021"/>
    <w:rsid w:val="009904AB"/>
    <w:rsid w:val="009915E9"/>
    <w:rsid w:val="00993C16"/>
    <w:rsid w:val="009945CE"/>
    <w:rsid w:val="00994672"/>
    <w:rsid w:val="0099502C"/>
    <w:rsid w:val="00996203"/>
    <w:rsid w:val="009978B6"/>
    <w:rsid w:val="00997D36"/>
    <w:rsid w:val="009A0FF9"/>
    <w:rsid w:val="009A1736"/>
    <w:rsid w:val="009A2A2A"/>
    <w:rsid w:val="009A2E60"/>
    <w:rsid w:val="009A303B"/>
    <w:rsid w:val="009A3B56"/>
    <w:rsid w:val="009A49DD"/>
    <w:rsid w:val="009A56FD"/>
    <w:rsid w:val="009A5CAA"/>
    <w:rsid w:val="009A63CE"/>
    <w:rsid w:val="009A6C9F"/>
    <w:rsid w:val="009A759C"/>
    <w:rsid w:val="009B013C"/>
    <w:rsid w:val="009B0C2E"/>
    <w:rsid w:val="009B0D53"/>
    <w:rsid w:val="009B12D9"/>
    <w:rsid w:val="009B14D7"/>
    <w:rsid w:val="009B33FA"/>
    <w:rsid w:val="009B417A"/>
    <w:rsid w:val="009B4F55"/>
    <w:rsid w:val="009B5926"/>
    <w:rsid w:val="009B615C"/>
    <w:rsid w:val="009B6541"/>
    <w:rsid w:val="009B7273"/>
    <w:rsid w:val="009B7BB3"/>
    <w:rsid w:val="009B7EE5"/>
    <w:rsid w:val="009C29D2"/>
    <w:rsid w:val="009C58B6"/>
    <w:rsid w:val="009C6B9C"/>
    <w:rsid w:val="009C6C27"/>
    <w:rsid w:val="009D36B3"/>
    <w:rsid w:val="009D4B51"/>
    <w:rsid w:val="009D4FB4"/>
    <w:rsid w:val="009D6914"/>
    <w:rsid w:val="009D7B27"/>
    <w:rsid w:val="009D7D12"/>
    <w:rsid w:val="009E10A4"/>
    <w:rsid w:val="009E1211"/>
    <w:rsid w:val="009E1996"/>
    <w:rsid w:val="009E3381"/>
    <w:rsid w:val="009E3C0C"/>
    <w:rsid w:val="009E4BBA"/>
    <w:rsid w:val="009E4E95"/>
    <w:rsid w:val="009E5A3C"/>
    <w:rsid w:val="009E606E"/>
    <w:rsid w:val="009E6207"/>
    <w:rsid w:val="009E63F4"/>
    <w:rsid w:val="009E659D"/>
    <w:rsid w:val="009E6BF1"/>
    <w:rsid w:val="009E729D"/>
    <w:rsid w:val="009E7A09"/>
    <w:rsid w:val="009E7ED7"/>
    <w:rsid w:val="009F08DB"/>
    <w:rsid w:val="009F0AF8"/>
    <w:rsid w:val="009F1E12"/>
    <w:rsid w:val="009F3755"/>
    <w:rsid w:val="009F3936"/>
    <w:rsid w:val="009F3B37"/>
    <w:rsid w:val="009F5799"/>
    <w:rsid w:val="009F69C2"/>
    <w:rsid w:val="009F7F7C"/>
    <w:rsid w:val="00A02ADC"/>
    <w:rsid w:val="00A02B3F"/>
    <w:rsid w:val="00A03BDA"/>
    <w:rsid w:val="00A043EE"/>
    <w:rsid w:val="00A04ECC"/>
    <w:rsid w:val="00A056EE"/>
    <w:rsid w:val="00A05C25"/>
    <w:rsid w:val="00A06FA6"/>
    <w:rsid w:val="00A1213B"/>
    <w:rsid w:val="00A14634"/>
    <w:rsid w:val="00A14CA9"/>
    <w:rsid w:val="00A15DE2"/>
    <w:rsid w:val="00A163F4"/>
    <w:rsid w:val="00A1651D"/>
    <w:rsid w:val="00A169BE"/>
    <w:rsid w:val="00A17559"/>
    <w:rsid w:val="00A2097F"/>
    <w:rsid w:val="00A2145B"/>
    <w:rsid w:val="00A21A09"/>
    <w:rsid w:val="00A22F05"/>
    <w:rsid w:val="00A23570"/>
    <w:rsid w:val="00A23B7E"/>
    <w:rsid w:val="00A25C47"/>
    <w:rsid w:val="00A27471"/>
    <w:rsid w:val="00A27999"/>
    <w:rsid w:val="00A30606"/>
    <w:rsid w:val="00A30E48"/>
    <w:rsid w:val="00A31809"/>
    <w:rsid w:val="00A31C79"/>
    <w:rsid w:val="00A32307"/>
    <w:rsid w:val="00A33EE9"/>
    <w:rsid w:val="00A33F4A"/>
    <w:rsid w:val="00A33FC4"/>
    <w:rsid w:val="00A354C2"/>
    <w:rsid w:val="00A35C2F"/>
    <w:rsid w:val="00A3654D"/>
    <w:rsid w:val="00A40B6B"/>
    <w:rsid w:val="00A41900"/>
    <w:rsid w:val="00A440B6"/>
    <w:rsid w:val="00A44D49"/>
    <w:rsid w:val="00A45BE9"/>
    <w:rsid w:val="00A45D3E"/>
    <w:rsid w:val="00A4706F"/>
    <w:rsid w:val="00A47407"/>
    <w:rsid w:val="00A505A8"/>
    <w:rsid w:val="00A51B36"/>
    <w:rsid w:val="00A52D06"/>
    <w:rsid w:val="00A52E94"/>
    <w:rsid w:val="00A532F6"/>
    <w:rsid w:val="00A53A5F"/>
    <w:rsid w:val="00A54927"/>
    <w:rsid w:val="00A57B1D"/>
    <w:rsid w:val="00A61141"/>
    <w:rsid w:val="00A616DA"/>
    <w:rsid w:val="00A61740"/>
    <w:rsid w:val="00A626E0"/>
    <w:rsid w:val="00A62C74"/>
    <w:rsid w:val="00A6397D"/>
    <w:rsid w:val="00A63B8C"/>
    <w:rsid w:val="00A64550"/>
    <w:rsid w:val="00A652E7"/>
    <w:rsid w:val="00A66056"/>
    <w:rsid w:val="00A670F4"/>
    <w:rsid w:val="00A67D60"/>
    <w:rsid w:val="00A71A59"/>
    <w:rsid w:val="00A71EEF"/>
    <w:rsid w:val="00A73554"/>
    <w:rsid w:val="00A743B6"/>
    <w:rsid w:val="00A74DCA"/>
    <w:rsid w:val="00A7514C"/>
    <w:rsid w:val="00A7548F"/>
    <w:rsid w:val="00A75646"/>
    <w:rsid w:val="00A77C15"/>
    <w:rsid w:val="00A77D14"/>
    <w:rsid w:val="00A77EFD"/>
    <w:rsid w:val="00A80284"/>
    <w:rsid w:val="00A80F5C"/>
    <w:rsid w:val="00A82000"/>
    <w:rsid w:val="00A82825"/>
    <w:rsid w:val="00A83336"/>
    <w:rsid w:val="00A83D7D"/>
    <w:rsid w:val="00A85156"/>
    <w:rsid w:val="00A854E3"/>
    <w:rsid w:val="00A858BA"/>
    <w:rsid w:val="00A85A22"/>
    <w:rsid w:val="00A85AC0"/>
    <w:rsid w:val="00A87819"/>
    <w:rsid w:val="00A87D92"/>
    <w:rsid w:val="00A90977"/>
    <w:rsid w:val="00A937C3"/>
    <w:rsid w:val="00A94EFC"/>
    <w:rsid w:val="00A95B70"/>
    <w:rsid w:val="00A9671D"/>
    <w:rsid w:val="00A968CC"/>
    <w:rsid w:val="00A971F8"/>
    <w:rsid w:val="00A97EC1"/>
    <w:rsid w:val="00A97FCD"/>
    <w:rsid w:val="00AA17DA"/>
    <w:rsid w:val="00AA1972"/>
    <w:rsid w:val="00AA218C"/>
    <w:rsid w:val="00AA2776"/>
    <w:rsid w:val="00AA287A"/>
    <w:rsid w:val="00AA4CCD"/>
    <w:rsid w:val="00AA510C"/>
    <w:rsid w:val="00AA58D2"/>
    <w:rsid w:val="00AA6FB6"/>
    <w:rsid w:val="00AB0341"/>
    <w:rsid w:val="00AB15AE"/>
    <w:rsid w:val="00AB2A47"/>
    <w:rsid w:val="00AB3C97"/>
    <w:rsid w:val="00AB4878"/>
    <w:rsid w:val="00AB73C4"/>
    <w:rsid w:val="00AB7731"/>
    <w:rsid w:val="00AC1D5D"/>
    <w:rsid w:val="00AC4C22"/>
    <w:rsid w:val="00AC5C17"/>
    <w:rsid w:val="00AC5DCE"/>
    <w:rsid w:val="00AC7155"/>
    <w:rsid w:val="00AC7551"/>
    <w:rsid w:val="00AD0171"/>
    <w:rsid w:val="00AD17CC"/>
    <w:rsid w:val="00AD1B5C"/>
    <w:rsid w:val="00AD2CFE"/>
    <w:rsid w:val="00AD325F"/>
    <w:rsid w:val="00AD36D4"/>
    <w:rsid w:val="00AD5F15"/>
    <w:rsid w:val="00AD5FA4"/>
    <w:rsid w:val="00AD61AD"/>
    <w:rsid w:val="00AD7E9A"/>
    <w:rsid w:val="00AE10F3"/>
    <w:rsid w:val="00AE1238"/>
    <w:rsid w:val="00AE1C15"/>
    <w:rsid w:val="00AE29F0"/>
    <w:rsid w:val="00AE55FC"/>
    <w:rsid w:val="00AE639F"/>
    <w:rsid w:val="00AF2055"/>
    <w:rsid w:val="00AF21E0"/>
    <w:rsid w:val="00AF2401"/>
    <w:rsid w:val="00AF2F7F"/>
    <w:rsid w:val="00AF3FD1"/>
    <w:rsid w:val="00AF4229"/>
    <w:rsid w:val="00AF4FEC"/>
    <w:rsid w:val="00AF52FE"/>
    <w:rsid w:val="00AF5697"/>
    <w:rsid w:val="00AF62CF"/>
    <w:rsid w:val="00AF77E9"/>
    <w:rsid w:val="00B0230B"/>
    <w:rsid w:val="00B0317C"/>
    <w:rsid w:val="00B03880"/>
    <w:rsid w:val="00B040D1"/>
    <w:rsid w:val="00B064BE"/>
    <w:rsid w:val="00B066D1"/>
    <w:rsid w:val="00B10627"/>
    <w:rsid w:val="00B14B5E"/>
    <w:rsid w:val="00B1691C"/>
    <w:rsid w:val="00B16A4B"/>
    <w:rsid w:val="00B16E6E"/>
    <w:rsid w:val="00B174A9"/>
    <w:rsid w:val="00B2212B"/>
    <w:rsid w:val="00B22A71"/>
    <w:rsid w:val="00B22B7B"/>
    <w:rsid w:val="00B22DE1"/>
    <w:rsid w:val="00B242E6"/>
    <w:rsid w:val="00B24C28"/>
    <w:rsid w:val="00B25633"/>
    <w:rsid w:val="00B25993"/>
    <w:rsid w:val="00B2664A"/>
    <w:rsid w:val="00B26C3C"/>
    <w:rsid w:val="00B26E09"/>
    <w:rsid w:val="00B3033A"/>
    <w:rsid w:val="00B307D1"/>
    <w:rsid w:val="00B30E22"/>
    <w:rsid w:val="00B3119E"/>
    <w:rsid w:val="00B315AF"/>
    <w:rsid w:val="00B316D3"/>
    <w:rsid w:val="00B335AA"/>
    <w:rsid w:val="00B33B0E"/>
    <w:rsid w:val="00B348A3"/>
    <w:rsid w:val="00B34C10"/>
    <w:rsid w:val="00B355FD"/>
    <w:rsid w:val="00B36069"/>
    <w:rsid w:val="00B36607"/>
    <w:rsid w:val="00B37820"/>
    <w:rsid w:val="00B40149"/>
    <w:rsid w:val="00B402E1"/>
    <w:rsid w:val="00B41264"/>
    <w:rsid w:val="00B43D32"/>
    <w:rsid w:val="00B44412"/>
    <w:rsid w:val="00B44ED8"/>
    <w:rsid w:val="00B45674"/>
    <w:rsid w:val="00B50112"/>
    <w:rsid w:val="00B50430"/>
    <w:rsid w:val="00B5075B"/>
    <w:rsid w:val="00B513AB"/>
    <w:rsid w:val="00B513F8"/>
    <w:rsid w:val="00B540ED"/>
    <w:rsid w:val="00B546F3"/>
    <w:rsid w:val="00B547BF"/>
    <w:rsid w:val="00B5551D"/>
    <w:rsid w:val="00B557E3"/>
    <w:rsid w:val="00B57887"/>
    <w:rsid w:val="00B61091"/>
    <w:rsid w:val="00B618B4"/>
    <w:rsid w:val="00B61D73"/>
    <w:rsid w:val="00B620E5"/>
    <w:rsid w:val="00B629FC"/>
    <w:rsid w:val="00B638F2"/>
    <w:rsid w:val="00B640D7"/>
    <w:rsid w:val="00B64B89"/>
    <w:rsid w:val="00B64BB3"/>
    <w:rsid w:val="00B64CE7"/>
    <w:rsid w:val="00B65A53"/>
    <w:rsid w:val="00B66D11"/>
    <w:rsid w:val="00B671A3"/>
    <w:rsid w:val="00B67CE1"/>
    <w:rsid w:val="00B71CBB"/>
    <w:rsid w:val="00B722AC"/>
    <w:rsid w:val="00B72C34"/>
    <w:rsid w:val="00B73640"/>
    <w:rsid w:val="00B73DB1"/>
    <w:rsid w:val="00B74242"/>
    <w:rsid w:val="00B749D1"/>
    <w:rsid w:val="00B75119"/>
    <w:rsid w:val="00B769EB"/>
    <w:rsid w:val="00B76DA0"/>
    <w:rsid w:val="00B77038"/>
    <w:rsid w:val="00B8044D"/>
    <w:rsid w:val="00B80CA3"/>
    <w:rsid w:val="00B80D88"/>
    <w:rsid w:val="00B820DF"/>
    <w:rsid w:val="00B821FC"/>
    <w:rsid w:val="00B85652"/>
    <w:rsid w:val="00B859B4"/>
    <w:rsid w:val="00B86C56"/>
    <w:rsid w:val="00B91017"/>
    <w:rsid w:val="00B92710"/>
    <w:rsid w:val="00B92CC3"/>
    <w:rsid w:val="00B93361"/>
    <w:rsid w:val="00B934C8"/>
    <w:rsid w:val="00B95212"/>
    <w:rsid w:val="00B95588"/>
    <w:rsid w:val="00B964AA"/>
    <w:rsid w:val="00B96E16"/>
    <w:rsid w:val="00B970A9"/>
    <w:rsid w:val="00BA04FE"/>
    <w:rsid w:val="00BA1944"/>
    <w:rsid w:val="00BA2021"/>
    <w:rsid w:val="00BA323B"/>
    <w:rsid w:val="00BA3902"/>
    <w:rsid w:val="00BA3C0C"/>
    <w:rsid w:val="00BA4CC4"/>
    <w:rsid w:val="00BA4DF8"/>
    <w:rsid w:val="00BA58F4"/>
    <w:rsid w:val="00BB0F94"/>
    <w:rsid w:val="00BB172B"/>
    <w:rsid w:val="00BB2F75"/>
    <w:rsid w:val="00BB735B"/>
    <w:rsid w:val="00BC066E"/>
    <w:rsid w:val="00BC2E73"/>
    <w:rsid w:val="00BC3A74"/>
    <w:rsid w:val="00BC3C16"/>
    <w:rsid w:val="00BC4541"/>
    <w:rsid w:val="00BC4DB3"/>
    <w:rsid w:val="00BC6C28"/>
    <w:rsid w:val="00BC785C"/>
    <w:rsid w:val="00BC7A50"/>
    <w:rsid w:val="00BD010B"/>
    <w:rsid w:val="00BD14A9"/>
    <w:rsid w:val="00BD166B"/>
    <w:rsid w:val="00BD1C06"/>
    <w:rsid w:val="00BD2F8F"/>
    <w:rsid w:val="00BD2FB0"/>
    <w:rsid w:val="00BD436C"/>
    <w:rsid w:val="00BD44F2"/>
    <w:rsid w:val="00BD58C5"/>
    <w:rsid w:val="00BD5AAE"/>
    <w:rsid w:val="00BD63DB"/>
    <w:rsid w:val="00BD6F83"/>
    <w:rsid w:val="00BE0786"/>
    <w:rsid w:val="00BE61A5"/>
    <w:rsid w:val="00BE7783"/>
    <w:rsid w:val="00BF032D"/>
    <w:rsid w:val="00BF0FCD"/>
    <w:rsid w:val="00BF1172"/>
    <w:rsid w:val="00BF1221"/>
    <w:rsid w:val="00BF163B"/>
    <w:rsid w:val="00BF26BB"/>
    <w:rsid w:val="00BF366F"/>
    <w:rsid w:val="00BF3F83"/>
    <w:rsid w:val="00BF4DD9"/>
    <w:rsid w:val="00BF5670"/>
    <w:rsid w:val="00BF60F9"/>
    <w:rsid w:val="00BF6634"/>
    <w:rsid w:val="00BF766A"/>
    <w:rsid w:val="00BF7E62"/>
    <w:rsid w:val="00C0145C"/>
    <w:rsid w:val="00C028E6"/>
    <w:rsid w:val="00C02915"/>
    <w:rsid w:val="00C03401"/>
    <w:rsid w:val="00C03560"/>
    <w:rsid w:val="00C03C4B"/>
    <w:rsid w:val="00C04AB6"/>
    <w:rsid w:val="00C0652E"/>
    <w:rsid w:val="00C06A4B"/>
    <w:rsid w:val="00C07DC5"/>
    <w:rsid w:val="00C07E7A"/>
    <w:rsid w:val="00C07F1D"/>
    <w:rsid w:val="00C104DE"/>
    <w:rsid w:val="00C1054E"/>
    <w:rsid w:val="00C10D7D"/>
    <w:rsid w:val="00C1183B"/>
    <w:rsid w:val="00C11ABA"/>
    <w:rsid w:val="00C15006"/>
    <w:rsid w:val="00C1529E"/>
    <w:rsid w:val="00C1749F"/>
    <w:rsid w:val="00C20417"/>
    <w:rsid w:val="00C215FA"/>
    <w:rsid w:val="00C21D42"/>
    <w:rsid w:val="00C23D5D"/>
    <w:rsid w:val="00C23EEE"/>
    <w:rsid w:val="00C243E3"/>
    <w:rsid w:val="00C2536D"/>
    <w:rsid w:val="00C253DF"/>
    <w:rsid w:val="00C25867"/>
    <w:rsid w:val="00C258E0"/>
    <w:rsid w:val="00C308CE"/>
    <w:rsid w:val="00C315A3"/>
    <w:rsid w:val="00C316F0"/>
    <w:rsid w:val="00C31801"/>
    <w:rsid w:val="00C31A4F"/>
    <w:rsid w:val="00C31E95"/>
    <w:rsid w:val="00C32FA8"/>
    <w:rsid w:val="00C33C13"/>
    <w:rsid w:val="00C3458B"/>
    <w:rsid w:val="00C35AAB"/>
    <w:rsid w:val="00C36AF7"/>
    <w:rsid w:val="00C371B2"/>
    <w:rsid w:val="00C37CA8"/>
    <w:rsid w:val="00C401DC"/>
    <w:rsid w:val="00C40562"/>
    <w:rsid w:val="00C406B6"/>
    <w:rsid w:val="00C41224"/>
    <w:rsid w:val="00C41F7A"/>
    <w:rsid w:val="00C42118"/>
    <w:rsid w:val="00C4261A"/>
    <w:rsid w:val="00C42967"/>
    <w:rsid w:val="00C42E62"/>
    <w:rsid w:val="00C42F9F"/>
    <w:rsid w:val="00C44432"/>
    <w:rsid w:val="00C44EB9"/>
    <w:rsid w:val="00C44F02"/>
    <w:rsid w:val="00C45C12"/>
    <w:rsid w:val="00C46624"/>
    <w:rsid w:val="00C47B5A"/>
    <w:rsid w:val="00C50E86"/>
    <w:rsid w:val="00C5161C"/>
    <w:rsid w:val="00C51999"/>
    <w:rsid w:val="00C526B3"/>
    <w:rsid w:val="00C5291C"/>
    <w:rsid w:val="00C53E8B"/>
    <w:rsid w:val="00C55206"/>
    <w:rsid w:val="00C561F0"/>
    <w:rsid w:val="00C575EB"/>
    <w:rsid w:val="00C611FF"/>
    <w:rsid w:val="00C61593"/>
    <w:rsid w:val="00C62559"/>
    <w:rsid w:val="00C647D9"/>
    <w:rsid w:val="00C64CD4"/>
    <w:rsid w:val="00C64F5F"/>
    <w:rsid w:val="00C6654E"/>
    <w:rsid w:val="00C67253"/>
    <w:rsid w:val="00C676D7"/>
    <w:rsid w:val="00C7146A"/>
    <w:rsid w:val="00C72A2E"/>
    <w:rsid w:val="00C73242"/>
    <w:rsid w:val="00C73A45"/>
    <w:rsid w:val="00C74570"/>
    <w:rsid w:val="00C74B72"/>
    <w:rsid w:val="00C74DD8"/>
    <w:rsid w:val="00C75221"/>
    <w:rsid w:val="00C77371"/>
    <w:rsid w:val="00C809E0"/>
    <w:rsid w:val="00C81449"/>
    <w:rsid w:val="00C81BF7"/>
    <w:rsid w:val="00C83706"/>
    <w:rsid w:val="00C8483D"/>
    <w:rsid w:val="00C84AD0"/>
    <w:rsid w:val="00C84C76"/>
    <w:rsid w:val="00C858EF"/>
    <w:rsid w:val="00C85C3D"/>
    <w:rsid w:val="00C86A00"/>
    <w:rsid w:val="00C911C7"/>
    <w:rsid w:val="00C91242"/>
    <w:rsid w:val="00C91AC3"/>
    <w:rsid w:val="00C920A5"/>
    <w:rsid w:val="00C92258"/>
    <w:rsid w:val="00C92919"/>
    <w:rsid w:val="00C92CE8"/>
    <w:rsid w:val="00C932A0"/>
    <w:rsid w:val="00C9369A"/>
    <w:rsid w:val="00C94FBE"/>
    <w:rsid w:val="00C96D98"/>
    <w:rsid w:val="00C97F86"/>
    <w:rsid w:val="00CA0503"/>
    <w:rsid w:val="00CA1873"/>
    <w:rsid w:val="00CA1BF3"/>
    <w:rsid w:val="00CA1C87"/>
    <w:rsid w:val="00CA2266"/>
    <w:rsid w:val="00CA2C30"/>
    <w:rsid w:val="00CA304E"/>
    <w:rsid w:val="00CA4134"/>
    <w:rsid w:val="00CA432E"/>
    <w:rsid w:val="00CA500E"/>
    <w:rsid w:val="00CA5157"/>
    <w:rsid w:val="00CA53AA"/>
    <w:rsid w:val="00CA6C79"/>
    <w:rsid w:val="00CA6E6B"/>
    <w:rsid w:val="00CB21C7"/>
    <w:rsid w:val="00CB2543"/>
    <w:rsid w:val="00CB3AD1"/>
    <w:rsid w:val="00CB589F"/>
    <w:rsid w:val="00CB59C2"/>
    <w:rsid w:val="00CB6300"/>
    <w:rsid w:val="00CB684D"/>
    <w:rsid w:val="00CB68CC"/>
    <w:rsid w:val="00CB75E7"/>
    <w:rsid w:val="00CC00EF"/>
    <w:rsid w:val="00CC0136"/>
    <w:rsid w:val="00CC1CE3"/>
    <w:rsid w:val="00CC1F71"/>
    <w:rsid w:val="00CC3072"/>
    <w:rsid w:val="00CC3266"/>
    <w:rsid w:val="00CC333F"/>
    <w:rsid w:val="00CC44D8"/>
    <w:rsid w:val="00CC46D5"/>
    <w:rsid w:val="00CC4977"/>
    <w:rsid w:val="00CC4C42"/>
    <w:rsid w:val="00CC5058"/>
    <w:rsid w:val="00CC6867"/>
    <w:rsid w:val="00CC6E1F"/>
    <w:rsid w:val="00CC7763"/>
    <w:rsid w:val="00CD071F"/>
    <w:rsid w:val="00CD0A65"/>
    <w:rsid w:val="00CD2C89"/>
    <w:rsid w:val="00CD2F8E"/>
    <w:rsid w:val="00CD3106"/>
    <w:rsid w:val="00CD3403"/>
    <w:rsid w:val="00CD3F54"/>
    <w:rsid w:val="00CD400C"/>
    <w:rsid w:val="00CD6CCE"/>
    <w:rsid w:val="00CD6CF8"/>
    <w:rsid w:val="00CD7B4C"/>
    <w:rsid w:val="00CE0763"/>
    <w:rsid w:val="00CE0A6B"/>
    <w:rsid w:val="00CE2A65"/>
    <w:rsid w:val="00CE30DF"/>
    <w:rsid w:val="00CE3836"/>
    <w:rsid w:val="00CE3CC1"/>
    <w:rsid w:val="00CE4582"/>
    <w:rsid w:val="00CE53D1"/>
    <w:rsid w:val="00CE6668"/>
    <w:rsid w:val="00CE66C3"/>
    <w:rsid w:val="00CE7591"/>
    <w:rsid w:val="00CE779B"/>
    <w:rsid w:val="00CF1146"/>
    <w:rsid w:val="00CF1BDD"/>
    <w:rsid w:val="00CF334D"/>
    <w:rsid w:val="00CF3D9D"/>
    <w:rsid w:val="00CF3DE1"/>
    <w:rsid w:val="00CF47E0"/>
    <w:rsid w:val="00CF5321"/>
    <w:rsid w:val="00CF541D"/>
    <w:rsid w:val="00CF5773"/>
    <w:rsid w:val="00D004F9"/>
    <w:rsid w:val="00D005AB"/>
    <w:rsid w:val="00D021EE"/>
    <w:rsid w:val="00D03847"/>
    <w:rsid w:val="00D07F79"/>
    <w:rsid w:val="00D10E51"/>
    <w:rsid w:val="00D112E4"/>
    <w:rsid w:val="00D11D8A"/>
    <w:rsid w:val="00D13361"/>
    <w:rsid w:val="00D14589"/>
    <w:rsid w:val="00D20B43"/>
    <w:rsid w:val="00D21433"/>
    <w:rsid w:val="00D21B1C"/>
    <w:rsid w:val="00D220A6"/>
    <w:rsid w:val="00D237A1"/>
    <w:rsid w:val="00D2380A"/>
    <w:rsid w:val="00D23C92"/>
    <w:rsid w:val="00D2468F"/>
    <w:rsid w:val="00D24DC7"/>
    <w:rsid w:val="00D2551D"/>
    <w:rsid w:val="00D26927"/>
    <w:rsid w:val="00D26C5B"/>
    <w:rsid w:val="00D26FFB"/>
    <w:rsid w:val="00D33657"/>
    <w:rsid w:val="00D33945"/>
    <w:rsid w:val="00D349D8"/>
    <w:rsid w:val="00D35574"/>
    <w:rsid w:val="00D36FBF"/>
    <w:rsid w:val="00D37571"/>
    <w:rsid w:val="00D407BF"/>
    <w:rsid w:val="00D4137E"/>
    <w:rsid w:val="00D420E1"/>
    <w:rsid w:val="00D43749"/>
    <w:rsid w:val="00D44554"/>
    <w:rsid w:val="00D4466E"/>
    <w:rsid w:val="00D45387"/>
    <w:rsid w:val="00D45C42"/>
    <w:rsid w:val="00D4639A"/>
    <w:rsid w:val="00D50A03"/>
    <w:rsid w:val="00D5160D"/>
    <w:rsid w:val="00D51951"/>
    <w:rsid w:val="00D5500B"/>
    <w:rsid w:val="00D55E19"/>
    <w:rsid w:val="00D565A3"/>
    <w:rsid w:val="00D568A4"/>
    <w:rsid w:val="00D57796"/>
    <w:rsid w:val="00D57E0D"/>
    <w:rsid w:val="00D600E9"/>
    <w:rsid w:val="00D60A45"/>
    <w:rsid w:val="00D60D8C"/>
    <w:rsid w:val="00D6103D"/>
    <w:rsid w:val="00D61E82"/>
    <w:rsid w:val="00D61F19"/>
    <w:rsid w:val="00D63FEF"/>
    <w:rsid w:val="00D64655"/>
    <w:rsid w:val="00D64CCC"/>
    <w:rsid w:val="00D6519D"/>
    <w:rsid w:val="00D654C6"/>
    <w:rsid w:val="00D66AD8"/>
    <w:rsid w:val="00D702A8"/>
    <w:rsid w:val="00D71051"/>
    <w:rsid w:val="00D7184C"/>
    <w:rsid w:val="00D71A02"/>
    <w:rsid w:val="00D720FC"/>
    <w:rsid w:val="00D725FA"/>
    <w:rsid w:val="00D73BE7"/>
    <w:rsid w:val="00D73E34"/>
    <w:rsid w:val="00D75248"/>
    <w:rsid w:val="00D752E4"/>
    <w:rsid w:val="00D75631"/>
    <w:rsid w:val="00D75972"/>
    <w:rsid w:val="00D76BAB"/>
    <w:rsid w:val="00D7744E"/>
    <w:rsid w:val="00D77C79"/>
    <w:rsid w:val="00D80D38"/>
    <w:rsid w:val="00D82286"/>
    <w:rsid w:val="00D82AAA"/>
    <w:rsid w:val="00D84CA0"/>
    <w:rsid w:val="00D85A96"/>
    <w:rsid w:val="00D8661E"/>
    <w:rsid w:val="00D866F2"/>
    <w:rsid w:val="00D8748E"/>
    <w:rsid w:val="00D87A3C"/>
    <w:rsid w:val="00D91B7F"/>
    <w:rsid w:val="00D9313A"/>
    <w:rsid w:val="00D944F8"/>
    <w:rsid w:val="00D95746"/>
    <w:rsid w:val="00D96EF3"/>
    <w:rsid w:val="00D976B7"/>
    <w:rsid w:val="00DA0DA3"/>
    <w:rsid w:val="00DA0F7C"/>
    <w:rsid w:val="00DA0F88"/>
    <w:rsid w:val="00DA28A4"/>
    <w:rsid w:val="00DA3934"/>
    <w:rsid w:val="00DA5E72"/>
    <w:rsid w:val="00DA678D"/>
    <w:rsid w:val="00DB0B26"/>
    <w:rsid w:val="00DB0FF8"/>
    <w:rsid w:val="00DB2DBB"/>
    <w:rsid w:val="00DB2EE1"/>
    <w:rsid w:val="00DB309C"/>
    <w:rsid w:val="00DB3D8F"/>
    <w:rsid w:val="00DB46A0"/>
    <w:rsid w:val="00DB4FA4"/>
    <w:rsid w:val="00DB62E4"/>
    <w:rsid w:val="00DB6A90"/>
    <w:rsid w:val="00DB7347"/>
    <w:rsid w:val="00DB739B"/>
    <w:rsid w:val="00DC3D57"/>
    <w:rsid w:val="00DC5133"/>
    <w:rsid w:val="00DC53BD"/>
    <w:rsid w:val="00DC58D3"/>
    <w:rsid w:val="00DC6B09"/>
    <w:rsid w:val="00DD2D98"/>
    <w:rsid w:val="00DD3A51"/>
    <w:rsid w:val="00DD423E"/>
    <w:rsid w:val="00DE034E"/>
    <w:rsid w:val="00DE073F"/>
    <w:rsid w:val="00DE07DC"/>
    <w:rsid w:val="00DE2B9D"/>
    <w:rsid w:val="00DE318D"/>
    <w:rsid w:val="00DE42AD"/>
    <w:rsid w:val="00DE6A12"/>
    <w:rsid w:val="00DE7772"/>
    <w:rsid w:val="00DF0525"/>
    <w:rsid w:val="00DF06B4"/>
    <w:rsid w:val="00DF1885"/>
    <w:rsid w:val="00DF1BD3"/>
    <w:rsid w:val="00DF1DD8"/>
    <w:rsid w:val="00DF263D"/>
    <w:rsid w:val="00DF2797"/>
    <w:rsid w:val="00DF2A58"/>
    <w:rsid w:val="00DF3FD1"/>
    <w:rsid w:val="00DF44B8"/>
    <w:rsid w:val="00DF45DD"/>
    <w:rsid w:val="00DF4B75"/>
    <w:rsid w:val="00DF4F2E"/>
    <w:rsid w:val="00DF5E16"/>
    <w:rsid w:val="00DF64BA"/>
    <w:rsid w:val="00E006DF"/>
    <w:rsid w:val="00E01490"/>
    <w:rsid w:val="00E03121"/>
    <w:rsid w:val="00E03399"/>
    <w:rsid w:val="00E053F4"/>
    <w:rsid w:val="00E054CF"/>
    <w:rsid w:val="00E05B55"/>
    <w:rsid w:val="00E070A6"/>
    <w:rsid w:val="00E07844"/>
    <w:rsid w:val="00E079BA"/>
    <w:rsid w:val="00E10298"/>
    <w:rsid w:val="00E120FB"/>
    <w:rsid w:val="00E12B27"/>
    <w:rsid w:val="00E13D7A"/>
    <w:rsid w:val="00E14385"/>
    <w:rsid w:val="00E14DDA"/>
    <w:rsid w:val="00E154E2"/>
    <w:rsid w:val="00E15B1A"/>
    <w:rsid w:val="00E16687"/>
    <w:rsid w:val="00E16752"/>
    <w:rsid w:val="00E1776E"/>
    <w:rsid w:val="00E17B02"/>
    <w:rsid w:val="00E2053C"/>
    <w:rsid w:val="00E206C9"/>
    <w:rsid w:val="00E21E65"/>
    <w:rsid w:val="00E2229F"/>
    <w:rsid w:val="00E22651"/>
    <w:rsid w:val="00E23117"/>
    <w:rsid w:val="00E23477"/>
    <w:rsid w:val="00E24775"/>
    <w:rsid w:val="00E25BEC"/>
    <w:rsid w:val="00E2608B"/>
    <w:rsid w:val="00E267DC"/>
    <w:rsid w:val="00E277D3"/>
    <w:rsid w:val="00E27D78"/>
    <w:rsid w:val="00E30E9E"/>
    <w:rsid w:val="00E3160A"/>
    <w:rsid w:val="00E31ACC"/>
    <w:rsid w:val="00E32233"/>
    <w:rsid w:val="00E32CFA"/>
    <w:rsid w:val="00E3443F"/>
    <w:rsid w:val="00E34726"/>
    <w:rsid w:val="00E35173"/>
    <w:rsid w:val="00E354FB"/>
    <w:rsid w:val="00E35537"/>
    <w:rsid w:val="00E369FC"/>
    <w:rsid w:val="00E36B02"/>
    <w:rsid w:val="00E36B24"/>
    <w:rsid w:val="00E37CB6"/>
    <w:rsid w:val="00E41374"/>
    <w:rsid w:val="00E41864"/>
    <w:rsid w:val="00E41C58"/>
    <w:rsid w:val="00E4367F"/>
    <w:rsid w:val="00E43C2D"/>
    <w:rsid w:val="00E440C5"/>
    <w:rsid w:val="00E45594"/>
    <w:rsid w:val="00E462DE"/>
    <w:rsid w:val="00E46BC1"/>
    <w:rsid w:val="00E47655"/>
    <w:rsid w:val="00E50AB2"/>
    <w:rsid w:val="00E50BB4"/>
    <w:rsid w:val="00E51ECF"/>
    <w:rsid w:val="00E53BF8"/>
    <w:rsid w:val="00E54385"/>
    <w:rsid w:val="00E545F7"/>
    <w:rsid w:val="00E55084"/>
    <w:rsid w:val="00E55D38"/>
    <w:rsid w:val="00E55D8F"/>
    <w:rsid w:val="00E57102"/>
    <w:rsid w:val="00E57ABA"/>
    <w:rsid w:val="00E61CAB"/>
    <w:rsid w:val="00E6269D"/>
    <w:rsid w:val="00E62B6F"/>
    <w:rsid w:val="00E634EC"/>
    <w:rsid w:val="00E638DF"/>
    <w:rsid w:val="00E66945"/>
    <w:rsid w:val="00E6704F"/>
    <w:rsid w:val="00E67867"/>
    <w:rsid w:val="00E678D6"/>
    <w:rsid w:val="00E7150C"/>
    <w:rsid w:val="00E71E3E"/>
    <w:rsid w:val="00E7293B"/>
    <w:rsid w:val="00E72A22"/>
    <w:rsid w:val="00E737C6"/>
    <w:rsid w:val="00E746C4"/>
    <w:rsid w:val="00E77849"/>
    <w:rsid w:val="00E805E8"/>
    <w:rsid w:val="00E80C9A"/>
    <w:rsid w:val="00E8150D"/>
    <w:rsid w:val="00E81725"/>
    <w:rsid w:val="00E82081"/>
    <w:rsid w:val="00E82CAC"/>
    <w:rsid w:val="00E84D71"/>
    <w:rsid w:val="00E850D1"/>
    <w:rsid w:val="00E854C7"/>
    <w:rsid w:val="00E85F75"/>
    <w:rsid w:val="00E86D79"/>
    <w:rsid w:val="00E86F32"/>
    <w:rsid w:val="00E877C9"/>
    <w:rsid w:val="00E87994"/>
    <w:rsid w:val="00E90549"/>
    <w:rsid w:val="00E926CA"/>
    <w:rsid w:val="00E93BD3"/>
    <w:rsid w:val="00E9492A"/>
    <w:rsid w:val="00E94CA5"/>
    <w:rsid w:val="00E9512E"/>
    <w:rsid w:val="00E95B97"/>
    <w:rsid w:val="00E95BE9"/>
    <w:rsid w:val="00E96133"/>
    <w:rsid w:val="00E9619B"/>
    <w:rsid w:val="00E97FD3"/>
    <w:rsid w:val="00EA0C43"/>
    <w:rsid w:val="00EA24DF"/>
    <w:rsid w:val="00EA2877"/>
    <w:rsid w:val="00EA3A74"/>
    <w:rsid w:val="00EA3DA5"/>
    <w:rsid w:val="00EA4044"/>
    <w:rsid w:val="00EA4D0C"/>
    <w:rsid w:val="00EA677E"/>
    <w:rsid w:val="00EB24B7"/>
    <w:rsid w:val="00EB2ACF"/>
    <w:rsid w:val="00EB2BF3"/>
    <w:rsid w:val="00EB2F68"/>
    <w:rsid w:val="00EB30F2"/>
    <w:rsid w:val="00EB36AE"/>
    <w:rsid w:val="00EB376A"/>
    <w:rsid w:val="00EB3D29"/>
    <w:rsid w:val="00EB3E0B"/>
    <w:rsid w:val="00EB4A27"/>
    <w:rsid w:val="00EB4E68"/>
    <w:rsid w:val="00EB5105"/>
    <w:rsid w:val="00EB6071"/>
    <w:rsid w:val="00EB6723"/>
    <w:rsid w:val="00EB678A"/>
    <w:rsid w:val="00EB69E7"/>
    <w:rsid w:val="00EC031E"/>
    <w:rsid w:val="00EC2C8E"/>
    <w:rsid w:val="00EC2F75"/>
    <w:rsid w:val="00EC35FA"/>
    <w:rsid w:val="00EC3D59"/>
    <w:rsid w:val="00EC4528"/>
    <w:rsid w:val="00EC5113"/>
    <w:rsid w:val="00EC7C86"/>
    <w:rsid w:val="00ED0B2D"/>
    <w:rsid w:val="00ED154F"/>
    <w:rsid w:val="00ED23D9"/>
    <w:rsid w:val="00ED2F93"/>
    <w:rsid w:val="00ED322C"/>
    <w:rsid w:val="00ED3FD8"/>
    <w:rsid w:val="00ED4589"/>
    <w:rsid w:val="00ED4AED"/>
    <w:rsid w:val="00ED4B30"/>
    <w:rsid w:val="00ED53BE"/>
    <w:rsid w:val="00ED71AF"/>
    <w:rsid w:val="00ED72C2"/>
    <w:rsid w:val="00ED7565"/>
    <w:rsid w:val="00EE0DB8"/>
    <w:rsid w:val="00EE104D"/>
    <w:rsid w:val="00EE2753"/>
    <w:rsid w:val="00EE3C0C"/>
    <w:rsid w:val="00EE4663"/>
    <w:rsid w:val="00EE4E12"/>
    <w:rsid w:val="00EE5D2C"/>
    <w:rsid w:val="00EE5DD7"/>
    <w:rsid w:val="00EE5F52"/>
    <w:rsid w:val="00EE664F"/>
    <w:rsid w:val="00EE66B3"/>
    <w:rsid w:val="00EE6B33"/>
    <w:rsid w:val="00EE6BAF"/>
    <w:rsid w:val="00EE7D40"/>
    <w:rsid w:val="00EF01D6"/>
    <w:rsid w:val="00EF0BEE"/>
    <w:rsid w:val="00EF1068"/>
    <w:rsid w:val="00EF21DE"/>
    <w:rsid w:val="00EF26D0"/>
    <w:rsid w:val="00EF4907"/>
    <w:rsid w:val="00EF57A1"/>
    <w:rsid w:val="00EF58CD"/>
    <w:rsid w:val="00EF7E19"/>
    <w:rsid w:val="00F000C1"/>
    <w:rsid w:val="00F00897"/>
    <w:rsid w:val="00F01375"/>
    <w:rsid w:val="00F01560"/>
    <w:rsid w:val="00F01D81"/>
    <w:rsid w:val="00F01E5F"/>
    <w:rsid w:val="00F0208F"/>
    <w:rsid w:val="00F027F3"/>
    <w:rsid w:val="00F02D24"/>
    <w:rsid w:val="00F03E5D"/>
    <w:rsid w:val="00F044EB"/>
    <w:rsid w:val="00F055A3"/>
    <w:rsid w:val="00F05CF7"/>
    <w:rsid w:val="00F064D1"/>
    <w:rsid w:val="00F11602"/>
    <w:rsid w:val="00F11AD7"/>
    <w:rsid w:val="00F12CF6"/>
    <w:rsid w:val="00F14512"/>
    <w:rsid w:val="00F151F6"/>
    <w:rsid w:val="00F161F7"/>
    <w:rsid w:val="00F16E06"/>
    <w:rsid w:val="00F16F57"/>
    <w:rsid w:val="00F2068D"/>
    <w:rsid w:val="00F20A35"/>
    <w:rsid w:val="00F20E0F"/>
    <w:rsid w:val="00F23031"/>
    <w:rsid w:val="00F2489B"/>
    <w:rsid w:val="00F309B5"/>
    <w:rsid w:val="00F30E61"/>
    <w:rsid w:val="00F312B3"/>
    <w:rsid w:val="00F3253E"/>
    <w:rsid w:val="00F3336C"/>
    <w:rsid w:val="00F3403E"/>
    <w:rsid w:val="00F35A24"/>
    <w:rsid w:val="00F3678A"/>
    <w:rsid w:val="00F3741A"/>
    <w:rsid w:val="00F377B8"/>
    <w:rsid w:val="00F37F15"/>
    <w:rsid w:val="00F37F17"/>
    <w:rsid w:val="00F403AB"/>
    <w:rsid w:val="00F42756"/>
    <w:rsid w:val="00F431B8"/>
    <w:rsid w:val="00F4332F"/>
    <w:rsid w:val="00F43FFA"/>
    <w:rsid w:val="00F442F6"/>
    <w:rsid w:val="00F44E3B"/>
    <w:rsid w:val="00F4527D"/>
    <w:rsid w:val="00F46517"/>
    <w:rsid w:val="00F50F73"/>
    <w:rsid w:val="00F50F94"/>
    <w:rsid w:val="00F51356"/>
    <w:rsid w:val="00F514E1"/>
    <w:rsid w:val="00F515AB"/>
    <w:rsid w:val="00F52851"/>
    <w:rsid w:val="00F5298F"/>
    <w:rsid w:val="00F52C3A"/>
    <w:rsid w:val="00F53427"/>
    <w:rsid w:val="00F538E1"/>
    <w:rsid w:val="00F55EAC"/>
    <w:rsid w:val="00F56066"/>
    <w:rsid w:val="00F564EF"/>
    <w:rsid w:val="00F57753"/>
    <w:rsid w:val="00F57A3D"/>
    <w:rsid w:val="00F600C9"/>
    <w:rsid w:val="00F600D5"/>
    <w:rsid w:val="00F60314"/>
    <w:rsid w:val="00F6100E"/>
    <w:rsid w:val="00F61522"/>
    <w:rsid w:val="00F6382F"/>
    <w:rsid w:val="00F653FD"/>
    <w:rsid w:val="00F655C4"/>
    <w:rsid w:val="00F65C28"/>
    <w:rsid w:val="00F66857"/>
    <w:rsid w:val="00F67274"/>
    <w:rsid w:val="00F67A31"/>
    <w:rsid w:val="00F67EE6"/>
    <w:rsid w:val="00F71FEB"/>
    <w:rsid w:val="00F721A3"/>
    <w:rsid w:val="00F73702"/>
    <w:rsid w:val="00F7465F"/>
    <w:rsid w:val="00F75E31"/>
    <w:rsid w:val="00F76E9D"/>
    <w:rsid w:val="00F807C7"/>
    <w:rsid w:val="00F832CE"/>
    <w:rsid w:val="00F8416C"/>
    <w:rsid w:val="00F841DC"/>
    <w:rsid w:val="00F85808"/>
    <w:rsid w:val="00F86CE8"/>
    <w:rsid w:val="00F86F87"/>
    <w:rsid w:val="00F9055C"/>
    <w:rsid w:val="00F91B13"/>
    <w:rsid w:val="00F92F59"/>
    <w:rsid w:val="00F96243"/>
    <w:rsid w:val="00F97A35"/>
    <w:rsid w:val="00FA0A34"/>
    <w:rsid w:val="00FA21D0"/>
    <w:rsid w:val="00FA21D4"/>
    <w:rsid w:val="00FA3A7B"/>
    <w:rsid w:val="00FA450F"/>
    <w:rsid w:val="00FA47E6"/>
    <w:rsid w:val="00FA5580"/>
    <w:rsid w:val="00FA57E1"/>
    <w:rsid w:val="00FA5917"/>
    <w:rsid w:val="00FA5A4D"/>
    <w:rsid w:val="00FA672C"/>
    <w:rsid w:val="00FA7023"/>
    <w:rsid w:val="00FA7785"/>
    <w:rsid w:val="00FB10F9"/>
    <w:rsid w:val="00FB1ABC"/>
    <w:rsid w:val="00FB3414"/>
    <w:rsid w:val="00FB408C"/>
    <w:rsid w:val="00FB412C"/>
    <w:rsid w:val="00FB4C33"/>
    <w:rsid w:val="00FB663C"/>
    <w:rsid w:val="00FB7FA6"/>
    <w:rsid w:val="00FC0DCB"/>
    <w:rsid w:val="00FC1D6E"/>
    <w:rsid w:val="00FC2180"/>
    <w:rsid w:val="00FC2917"/>
    <w:rsid w:val="00FC2FA6"/>
    <w:rsid w:val="00FC3EA9"/>
    <w:rsid w:val="00FC66CB"/>
    <w:rsid w:val="00FC6EB0"/>
    <w:rsid w:val="00FD0210"/>
    <w:rsid w:val="00FD03E2"/>
    <w:rsid w:val="00FD159A"/>
    <w:rsid w:val="00FD380B"/>
    <w:rsid w:val="00FD476E"/>
    <w:rsid w:val="00FD4784"/>
    <w:rsid w:val="00FD57EF"/>
    <w:rsid w:val="00FD5F53"/>
    <w:rsid w:val="00FD772D"/>
    <w:rsid w:val="00FE0667"/>
    <w:rsid w:val="00FE1101"/>
    <w:rsid w:val="00FE1458"/>
    <w:rsid w:val="00FE199A"/>
    <w:rsid w:val="00FE2515"/>
    <w:rsid w:val="00FE274C"/>
    <w:rsid w:val="00FE2DB1"/>
    <w:rsid w:val="00FE33F0"/>
    <w:rsid w:val="00FE609B"/>
    <w:rsid w:val="00FE73BE"/>
    <w:rsid w:val="00FE7905"/>
    <w:rsid w:val="00FF0A60"/>
    <w:rsid w:val="00FF1496"/>
    <w:rsid w:val="00FF28A8"/>
    <w:rsid w:val="00FF342D"/>
    <w:rsid w:val="00FF49AC"/>
    <w:rsid w:val="00FF4C9D"/>
    <w:rsid w:val="00FF5B70"/>
    <w:rsid w:val="00FF7431"/>
    <w:rsid w:val="00FF7E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5C6E166-F32C-4DB5-96E3-06406F83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A40"/>
    <w:pPr>
      <w:spacing w:after="160" w:line="259"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
    <w:link w:val="Heading1Char"/>
    <w:qFormat/>
    <w:rsid w:val="00C8483D"/>
    <w:pPr>
      <w:numPr>
        <w:numId w:val="1"/>
      </w:numPr>
      <w:ind w:left="567" w:hanging="567"/>
      <w:outlineLvl w:val="0"/>
    </w:pPr>
    <w:rPr>
      <w:kern w:val="28"/>
    </w:rPr>
  </w:style>
  <w:style w:type="paragraph" w:styleId="Heading2">
    <w:name w:val="heading 2"/>
    <w:basedOn w:val="Normal"/>
    <w:next w:val="Normal"/>
    <w:link w:val="Heading2Char"/>
    <w:qFormat/>
    <w:rsid w:val="00C8483D"/>
    <w:pPr>
      <w:numPr>
        <w:ilvl w:val="1"/>
        <w:numId w:val="1"/>
      </w:numPr>
      <w:ind w:left="567" w:hanging="567"/>
      <w:outlineLvl w:val="1"/>
    </w:pPr>
  </w:style>
  <w:style w:type="paragraph" w:styleId="Heading3">
    <w:name w:val="heading 3"/>
    <w:basedOn w:val="Normal"/>
    <w:next w:val="Normal"/>
    <w:link w:val="Heading3Char"/>
    <w:qFormat/>
    <w:rsid w:val="00C8483D"/>
    <w:pPr>
      <w:numPr>
        <w:ilvl w:val="2"/>
        <w:numId w:val="1"/>
      </w:numPr>
      <w:ind w:left="567" w:hanging="567"/>
      <w:outlineLvl w:val="2"/>
    </w:pPr>
  </w:style>
  <w:style w:type="paragraph" w:styleId="Heading4">
    <w:name w:val="heading 4"/>
    <w:basedOn w:val="Normal"/>
    <w:next w:val="Normal"/>
    <w:qFormat/>
    <w:rsid w:val="00C8483D"/>
    <w:pPr>
      <w:numPr>
        <w:ilvl w:val="3"/>
        <w:numId w:val="1"/>
      </w:numPr>
      <w:ind w:left="567" w:hanging="567"/>
      <w:outlineLvl w:val="3"/>
    </w:pPr>
  </w:style>
  <w:style w:type="paragraph" w:styleId="Heading5">
    <w:name w:val="heading 5"/>
    <w:basedOn w:val="Normal"/>
    <w:next w:val="Normal"/>
    <w:qFormat/>
    <w:rsid w:val="00C8483D"/>
    <w:pPr>
      <w:numPr>
        <w:ilvl w:val="4"/>
        <w:numId w:val="1"/>
      </w:numPr>
      <w:ind w:left="567" w:hanging="567"/>
      <w:outlineLvl w:val="4"/>
    </w:pPr>
  </w:style>
  <w:style w:type="paragraph" w:styleId="Heading6">
    <w:name w:val="heading 6"/>
    <w:basedOn w:val="Normal"/>
    <w:next w:val="Normal"/>
    <w:qFormat/>
    <w:rsid w:val="00C8483D"/>
    <w:pPr>
      <w:numPr>
        <w:ilvl w:val="5"/>
        <w:numId w:val="1"/>
      </w:numPr>
      <w:ind w:left="567" w:hanging="567"/>
      <w:outlineLvl w:val="5"/>
    </w:pPr>
  </w:style>
  <w:style w:type="paragraph" w:styleId="Heading7">
    <w:name w:val="heading 7"/>
    <w:basedOn w:val="Normal"/>
    <w:next w:val="Normal"/>
    <w:qFormat/>
    <w:rsid w:val="00C8483D"/>
    <w:pPr>
      <w:numPr>
        <w:ilvl w:val="6"/>
        <w:numId w:val="1"/>
      </w:numPr>
      <w:ind w:left="567" w:hanging="567"/>
      <w:outlineLvl w:val="6"/>
    </w:pPr>
  </w:style>
  <w:style w:type="paragraph" w:styleId="Heading8">
    <w:name w:val="heading 8"/>
    <w:basedOn w:val="Normal"/>
    <w:next w:val="Normal"/>
    <w:qFormat/>
    <w:rsid w:val="00C8483D"/>
    <w:pPr>
      <w:numPr>
        <w:ilvl w:val="7"/>
        <w:numId w:val="1"/>
      </w:numPr>
      <w:ind w:left="567" w:hanging="567"/>
      <w:outlineLvl w:val="7"/>
    </w:pPr>
  </w:style>
  <w:style w:type="paragraph" w:styleId="Heading9">
    <w:name w:val="heading 9"/>
    <w:basedOn w:val="Normal"/>
    <w:next w:val="Normal"/>
    <w:qFormat/>
    <w:rsid w:val="00C8483D"/>
    <w:pPr>
      <w:numPr>
        <w:ilvl w:val="8"/>
        <w:numId w:val="1"/>
      </w:numPr>
      <w:ind w:left="567" w:hanging="567"/>
      <w:outlineLvl w:val="8"/>
    </w:pPr>
  </w:style>
  <w:style w:type="character" w:default="1" w:styleId="DefaultParagraphFont">
    <w:name w:val="Default Paragraph Font"/>
    <w:uiPriority w:val="1"/>
    <w:semiHidden/>
    <w:unhideWhenUsed/>
    <w:rsid w:val="001F2A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2A40"/>
  </w:style>
  <w:style w:type="paragraph" w:styleId="Footer">
    <w:name w:val="footer"/>
    <w:basedOn w:val="Normal"/>
    <w:link w:val="FooterChar"/>
    <w:qFormat/>
    <w:rsid w:val="00C8483D"/>
  </w:style>
  <w:style w:type="paragraph" w:styleId="FootnoteText">
    <w:name w:val="footnote text"/>
    <w:basedOn w:val="Normal"/>
    <w:link w:val="FootnoteTextChar"/>
    <w:qFormat/>
    <w:rsid w:val="00C8483D"/>
    <w:pPr>
      <w:keepLines/>
      <w:spacing w:after="60" w:line="240" w:lineRule="auto"/>
      <w:ind w:left="567" w:hanging="567"/>
    </w:pPr>
    <w:rPr>
      <w:sz w:val="16"/>
    </w:rPr>
  </w:style>
  <w:style w:type="paragraph" w:styleId="Header">
    <w:name w:val="header"/>
    <w:basedOn w:val="Normal"/>
    <w:qFormat/>
    <w:rsid w:val="00C8483D"/>
  </w:style>
  <w:style w:type="paragraph" w:customStyle="1" w:styleId="quotes">
    <w:name w:val="quotes"/>
    <w:basedOn w:val="Normal"/>
    <w:next w:val="Normal"/>
    <w:rsid w:val="00C8483D"/>
    <w:pPr>
      <w:ind w:left="720"/>
    </w:pPr>
    <w:rPr>
      <w:i/>
    </w:rPr>
  </w:style>
  <w:style w:type="character" w:styleId="Hyperlink">
    <w:name w:val="Hyperlink"/>
    <w:rPr>
      <w:color w:val="0000FF"/>
      <w:u w:val="single"/>
    </w:rPr>
  </w:style>
  <w:style w:type="character" w:styleId="FootnoteReference">
    <w:name w:val="footnote reference"/>
    <w:basedOn w:val="DefaultParagraphFont"/>
    <w:unhideWhenUsed/>
    <w:qFormat/>
    <w:rsid w:val="00C8483D"/>
    <w:rPr>
      <w:sz w:val="24"/>
      <w:vertAlign w:val="superscript"/>
    </w:rPr>
  </w:style>
  <w:style w:type="character" w:styleId="FollowedHyperlink">
    <w:name w:val="FollowedHyperlink"/>
    <w:rPr>
      <w:color w:val="800080"/>
      <w:u w:val="single"/>
    </w:rPr>
  </w:style>
  <w:style w:type="character" w:customStyle="1" w:styleId="Heading2Char">
    <w:name w:val="Heading 2 Char"/>
    <w:link w:val="Heading2"/>
    <w:rsid w:val="003C5BE1"/>
    <w:rPr>
      <w:sz w:val="22"/>
      <w:szCs w:val="22"/>
      <w:lang w:val="sv-SE" w:eastAsia="sv-SE" w:bidi="sv-SE"/>
    </w:rPr>
  </w:style>
  <w:style w:type="paragraph" w:customStyle="1" w:styleId="LOGO">
    <w:name w:val="LOGO"/>
    <w:basedOn w:val="Normal"/>
    <w:pPr>
      <w:jc w:val="center"/>
    </w:pPr>
    <w:rPr>
      <w:rFonts w:ascii="Arial" w:hAnsi="Arial"/>
      <w:b/>
      <w:i/>
      <w:sz w:val="20"/>
    </w:rPr>
  </w:style>
  <w:style w:type="character" w:customStyle="1" w:styleId="FootnoteTextChar">
    <w:name w:val="Footnote Text Char"/>
    <w:link w:val="FootnoteText"/>
    <w:locked/>
    <w:rsid w:val="00F2068D"/>
    <w:rPr>
      <w:sz w:val="16"/>
      <w:szCs w:val="22"/>
      <w:lang w:val="sv-SE" w:eastAsia="sv-SE" w:bidi="sv-SE"/>
    </w:rPr>
  </w:style>
  <w:style w:type="character" w:customStyle="1" w:styleId="Heading1Char">
    <w:name w:val="Heading 1 Char"/>
    <w:link w:val="Heading1"/>
    <w:rsid w:val="004B4154"/>
    <w:rPr>
      <w:kern w:val="28"/>
      <w:sz w:val="22"/>
      <w:szCs w:val="22"/>
      <w:lang w:val="sv-SE" w:eastAsia="sv-SE" w:bidi="sv-SE"/>
    </w:rPr>
  </w:style>
  <w:style w:type="paragraph" w:styleId="Revision">
    <w:name w:val="Revision"/>
    <w:hidden/>
    <w:uiPriority w:val="99"/>
    <w:semiHidden/>
    <w:rsid w:val="0008272A"/>
    <w:rPr>
      <w:sz w:val="22"/>
      <w:szCs w:val="22"/>
    </w:rPr>
  </w:style>
  <w:style w:type="character" w:customStyle="1" w:styleId="FooterChar">
    <w:name w:val="Footer Char"/>
    <w:basedOn w:val="DefaultParagraphFont"/>
    <w:link w:val="Footer"/>
    <w:locked/>
    <w:rsid w:val="002D7E84"/>
    <w:rPr>
      <w:sz w:val="22"/>
      <w:szCs w:val="22"/>
      <w:lang w:eastAsia="sv-SE" w:bidi="sv-SE"/>
    </w:rPr>
  </w:style>
  <w:style w:type="paragraph" w:styleId="ListParagraph">
    <w:name w:val="List Paragraph"/>
    <w:basedOn w:val="Normal"/>
    <w:uiPriority w:val="34"/>
    <w:qFormat/>
    <w:rsid w:val="00052CAA"/>
    <w:pPr>
      <w:ind w:left="720"/>
      <w:contextualSpacing/>
    </w:pPr>
  </w:style>
  <w:style w:type="character" w:customStyle="1" w:styleId="Heading3Char">
    <w:name w:val="Heading 3 Char"/>
    <w:basedOn w:val="DefaultParagraphFont"/>
    <w:link w:val="Heading3"/>
    <w:rsid w:val="00070673"/>
    <w:rPr>
      <w:sz w:val="22"/>
      <w:szCs w:val="22"/>
      <w:lang w:val="sv-SE" w:eastAsia="sv-SE" w:bidi="sv-SE"/>
    </w:rPr>
  </w:style>
  <w:style w:type="paragraph" w:styleId="BalloonText">
    <w:name w:val="Balloon Text"/>
    <w:basedOn w:val="Normal"/>
    <w:link w:val="BalloonTextChar"/>
    <w:rsid w:val="00C8483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8483D"/>
    <w:rPr>
      <w:rFonts w:ascii="Tahoma" w:hAnsi="Tahoma" w:cs="Tahoma"/>
      <w:sz w:val="16"/>
      <w:szCs w:val="16"/>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9887">
      <w:bodyDiv w:val="1"/>
      <w:marLeft w:val="0"/>
      <w:marRight w:val="0"/>
      <w:marTop w:val="0"/>
      <w:marBottom w:val="0"/>
      <w:divBdr>
        <w:top w:val="none" w:sz="0" w:space="0" w:color="auto"/>
        <w:left w:val="none" w:sz="0" w:space="0" w:color="auto"/>
        <w:bottom w:val="none" w:sz="0" w:space="0" w:color="auto"/>
        <w:right w:val="none" w:sz="0" w:space="0" w:color="auto"/>
      </w:divBdr>
    </w:div>
    <w:div w:id="408357408">
      <w:bodyDiv w:val="1"/>
      <w:marLeft w:val="0"/>
      <w:marRight w:val="0"/>
      <w:marTop w:val="0"/>
      <w:marBottom w:val="0"/>
      <w:divBdr>
        <w:top w:val="none" w:sz="0" w:space="0" w:color="auto"/>
        <w:left w:val="none" w:sz="0" w:space="0" w:color="auto"/>
        <w:bottom w:val="none" w:sz="0" w:space="0" w:color="auto"/>
        <w:right w:val="none" w:sz="0" w:space="0" w:color="auto"/>
      </w:divBdr>
    </w:div>
    <w:div w:id="530336448">
      <w:bodyDiv w:val="1"/>
      <w:marLeft w:val="0"/>
      <w:marRight w:val="0"/>
      <w:marTop w:val="0"/>
      <w:marBottom w:val="0"/>
      <w:divBdr>
        <w:top w:val="none" w:sz="0" w:space="0" w:color="auto"/>
        <w:left w:val="none" w:sz="0" w:space="0" w:color="auto"/>
        <w:bottom w:val="none" w:sz="0" w:space="0" w:color="auto"/>
        <w:right w:val="none" w:sz="0" w:space="0" w:color="auto"/>
      </w:divBdr>
      <w:divsChild>
        <w:div w:id="989409624">
          <w:marLeft w:val="0"/>
          <w:marRight w:val="0"/>
          <w:marTop w:val="0"/>
          <w:marBottom w:val="0"/>
          <w:divBdr>
            <w:top w:val="none" w:sz="0" w:space="0" w:color="auto"/>
            <w:left w:val="none" w:sz="0" w:space="0" w:color="auto"/>
            <w:bottom w:val="none" w:sz="0" w:space="0" w:color="auto"/>
            <w:right w:val="none" w:sz="0" w:space="0" w:color="auto"/>
          </w:divBdr>
        </w:div>
        <w:div w:id="1086069653">
          <w:marLeft w:val="0"/>
          <w:marRight w:val="0"/>
          <w:marTop w:val="0"/>
          <w:marBottom w:val="0"/>
          <w:divBdr>
            <w:top w:val="none" w:sz="0" w:space="0" w:color="auto"/>
            <w:left w:val="none" w:sz="0" w:space="0" w:color="auto"/>
            <w:bottom w:val="none" w:sz="0" w:space="0" w:color="auto"/>
            <w:right w:val="none" w:sz="0" w:space="0" w:color="auto"/>
          </w:divBdr>
        </w:div>
        <w:div w:id="1283267824">
          <w:marLeft w:val="0"/>
          <w:marRight w:val="0"/>
          <w:marTop w:val="0"/>
          <w:marBottom w:val="0"/>
          <w:divBdr>
            <w:top w:val="none" w:sz="0" w:space="0" w:color="auto"/>
            <w:left w:val="none" w:sz="0" w:space="0" w:color="auto"/>
            <w:bottom w:val="none" w:sz="0" w:space="0" w:color="auto"/>
            <w:right w:val="none" w:sz="0" w:space="0" w:color="auto"/>
          </w:divBdr>
        </w:div>
      </w:divsChild>
    </w:div>
    <w:div w:id="531309980">
      <w:bodyDiv w:val="1"/>
      <w:marLeft w:val="0"/>
      <w:marRight w:val="0"/>
      <w:marTop w:val="0"/>
      <w:marBottom w:val="0"/>
      <w:divBdr>
        <w:top w:val="none" w:sz="0" w:space="0" w:color="auto"/>
        <w:left w:val="none" w:sz="0" w:space="0" w:color="auto"/>
        <w:bottom w:val="none" w:sz="0" w:space="0" w:color="auto"/>
        <w:right w:val="none" w:sz="0" w:space="0" w:color="auto"/>
      </w:divBdr>
    </w:div>
    <w:div w:id="1329559208">
      <w:bodyDiv w:val="1"/>
      <w:marLeft w:val="0"/>
      <w:marRight w:val="0"/>
      <w:marTop w:val="0"/>
      <w:marBottom w:val="0"/>
      <w:divBdr>
        <w:top w:val="none" w:sz="0" w:space="0" w:color="auto"/>
        <w:left w:val="none" w:sz="0" w:space="0" w:color="auto"/>
        <w:bottom w:val="none" w:sz="0" w:space="0" w:color="auto"/>
        <w:right w:val="none" w:sz="0" w:space="0" w:color="auto"/>
      </w:divBdr>
    </w:div>
    <w:div w:id="19681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5:230:SOM:SV:HTML" TargetMode="External"/><Relationship Id="rId13" Type="http://schemas.openxmlformats.org/officeDocument/2006/relationships/hyperlink" Target="http://eur-lex.europa.eu/legal-content/SV/TXT/?uri=uriserv:OJ.C_.2016.487.01.0051.01.SWE&amp;toc=OJ:C:2016:487:TOC" TargetMode="External"/><Relationship Id="rId18" Type="http://schemas.openxmlformats.org/officeDocument/2006/relationships/hyperlink" Target="http://eur-lex.europa.eu/LexUriServ/LexUriServ.do?uri=OJ:C:2016:303:SOM:SV:HTML" TargetMode="External"/><Relationship Id="rId26" Type="http://schemas.openxmlformats.org/officeDocument/2006/relationships/hyperlink" Target="http://eur-lex.europa.eu/LexUriServ/LexUriServ.do?uri=OJ:C:2011:018:SOM:SV:HTML" TargetMode="External"/><Relationship Id="rId3" Type="http://schemas.openxmlformats.org/officeDocument/2006/relationships/hyperlink" Target="http://eur-lex.europa.eu/LexUriServ/LexUriServ.do?uri=OJ:C:2009:277:SOM:SV:HTML" TargetMode="External"/><Relationship Id="rId21" Type="http://schemas.openxmlformats.org/officeDocument/2006/relationships/hyperlink" Target="http://eur-lex.europa.eu/legal-content/SV/TXT/?uri=uriserv:OJ.C_.2016.487.01.0051.01.SWE&amp;toc=OJ:C:2016:487:TOC" TargetMode="External"/><Relationship Id="rId34" Type="http://schemas.openxmlformats.org/officeDocument/2006/relationships/hyperlink" Target="http://eur-lex.europa.eu/LexUriServ/LexUriServ.do?uri=OJ:C:2010:347:SOM:SV:HTML" TargetMode="External"/><Relationship Id="rId7" Type="http://schemas.openxmlformats.org/officeDocument/2006/relationships/hyperlink" Target="http://eur-lex.europa.eu/LexUriServ/LexUriServ.do?uri=OJ:C:2012:043:SOM:SV:HTML" TargetMode="External"/><Relationship Id="rId12" Type="http://schemas.openxmlformats.org/officeDocument/2006/relationships/hyperlink" Target="http://eur-lex.europa.eu/LexUriServ/LexUriServ.do?uri=OJ:C:2016:487:SOM:SV:HTML" TargetMode="External"/><Relationship Id="rId17" Type="http://schemas.openxmlformats.org/officeDocument/2006/relationships/hyperlink" Target="http://eur-lex.europa.eu/LexUriServ/LexUriServ.do?uri=OJ:C:2016:303:SOM:SV:HTML" TargetMode="External"/><Relationship Id="rId25" Type="http://schemas.openxmlformats.org/officeDocument/2006/relationships/hyperlink" Target="http://eur-lex.europa.eu/LexUriServ/LexUriServ.do?uri=OJ:C:2016:013:SOM:SV:HTML" TargetMode="External"/><Relationship Id="rId33" Type="http://schemas.openxmlformats.org/officeDocument/2006/relationships/hyperlink" Target="http://eur-lex.europa.eu/LexUriServ/LexUriServ.do?uri=OJ:C:2008:204:SOM:SV:HTML" TargetMode="External"/><Relationship Id="rId38" Type="http://schemas.openxmlformats.org/officeDocument/2006/relationships/hyperlink" Target="http://eur-lex.europa.eu/LexUriServ/LexUriServ.do?uri=OJ:C:2006:325:SOM:SV:HTML" TargetMode="External"/><Relationship Id="rId2" Type="http://schemas.openxmlformats.org/officeDocument/2006/relationships/hyperlink" Target="http://eur-lex.europa.eu/LexUriServ/LexUriServ.do?uri=OJ:C:2011:018:SOM:SV:HTML" TargetMode="External"/><Relationship Id="rId16" Type="http://schemas.openxmlformats.org/officeDocument/2006/relationships/hyperlink" Target="http://eur-lex.europa.eu/LexUriServ/LexUriServ.do?uri=OJ:C:2015:383:SOM:SV:HTML" TargetMode="External"/><Relationship Id="rId20" Type="http://schemas.openxmlformats.org/officeDocument/2006/relationships/hyperlink" Target="http://eur-lex.europa.eu/LexUriServ/LexUriServ.do?uri=OJ:C:2016:303:SOM:SV:HTML" TargetMode="External"/><Relationship Id="rId29" Type="http://schemas.openxmlformats.org/officeDocument/2006/relationships/hyperlink" Target="http://eur-lex.europa.eu/LexUriServ/LexUriServ.do?uri=OJ:C:2015:383:SOM:SV:HTML" TargetMode="External"/><Relationship Id="rId1" Type="http://schemas.openxmlformats.org/officeDocument/2006/relationships/hyperlink" Target="http://eur-lex.europa.eu/LexUriServ/LexUriServ.do?uri=OJ:C:2011:132:SOM:SV:HTML" TargetMode="External"/><Relationship Id="rId6" Type="http://schemas.openxmlformats.org/officeDocument/2006/relationships/hyperlink" Target="http://eur-lex.europa.eu/LexUriServ/LexUriServ.do?uri=OJ:C:2006:325:SOM:SV:HTML" TargetMode="External"/><Relationship Id="rId11" Type="http://schemas.openxmlformats.org/officeDocument/2006/relationships/hyperlink" Target="http://eur-lex.europa.eu/LexUriServ/LexUriServ.do?uri=OJ:C:2016:303:SOM:SV:HTML" TargetMode="External"/><Relationship Id="rId24" Type="http://schemas.openxmlformats.org/officeDocument/2006/relationships/hyperlink" Target="http://eur-lex.europa.eu/LexUriServ/LexUriServ.do?uri=OJ:C:2015:383:SOM:SV:HTML" TargetMode="External"/><Relationship Id="rId32" Type="http://schemas.openxmlformats.org/officeDocument/2006/relationships/hyperlink" Target="http://eur-lex.europa.eu/LexUriServ/LexUriServ.do?uri=OJ:C:2015:230:SOM:SV:HTML" TargetMode="External"/><Relationship Id="rId37" Type="http://schemas.openxmlformats.org/officeDocument/2006/relationships/hyperlink" Target="http://eur-lex.europa.eu/LexUriServ/LexUriServ.do?uri=OJ:C:2008:204:SOM:SV:HTML" TargetMode="External"/><Relationship Id="rId5" Type="http://schemas.openxmlformats.org/officeDocument/2006/relationships/hyperlink" Target="http://eur-lex.europa.eu/LexUriServ/LexUriServ.do?uri=OJ:C:2006:024:SOM:SV:HTML" TargetMode="External"/><Relationship Id="rId15" Type="http://schemas.openxmlformats.org/officeDocument/2006/relationships/hyperlink" Target="http://eur-lex.europa.eu/LexUriServ/LexUriServ.do?uri=OJ:C:2016:013:SOM:SV:HTML" TargetMode="External"/><Relationship Id="rId23" Type="http://schemas.openxmlformats.org/officeDocument/2006/relationships/hyperlink" Target="http://eur-lex.europa.eu/LexUriServ/LexUriServ.do?uri=OJ:C:2008:204:SOM:SV:HTML" TargetMode="External"/><Relationship Id="rId28" Type="http://schemas.openxmlformats.org/officeDocument/2006/relationships/hyperlink" Target="http://eur-lex.europa.eu/LexUriServ/LexUriServ.do?uri=OJ:C:2015:230:SOM:SV:HTML" TargetMode="External"/><Relationship Id="rId36" Type="http://schemas.openxmlformats.org/officeDocument/2006/relationships/hyperlink" Target="http://eur-lex.europa.eu/LexUriServ/LexUriServ.do?uri=OJ:C:2016:303:SOM:SV:HTML" TargetMode="External"/><Relationship Id="rId10" Type="http://schemas.openxmlformats.org/officeDocument/2006/relationships/hyperlink" Target="http://eur-lex.europa.eu/LexUriServ/LexUriServ.do?uri=OJ:C:2016:013:SOM:SV:HTML" TargetMode="External"/><Relationship Id="rId19" Type="http://schemas.openxmlformats.org/officeDocument/2006/relationships/hyperlink" Target="http://eur-lex.europa.eu/LexUriServ/LexUriServ.do?uri=OJ:C:2016:013:SOM:SV:HTML" TargetMode="External"/><Relationship Id="rId31" Type="http://schemas.openxmlformats.org/officeDocument/2006/relationships/hyperlink" Target="http://eur-lex.europa.eu/LexUriServ/LexUriServ.do?uri=OJ:C:2016:013:SOM:SV:HTML" TargetMode="External"/><Relationship Id="rId4" Type="http://schemas.openxmlformats.org/officeDocument/2006/relationships/hyperlink" Target="http://eur-lex.europa.eu/LexUriServ/LexUriServ.do?uri=OJ:C:2011:248:SOM:SV:HTML" TargetMode="External"/><Relationship Id="rId9" Type="http://schemas.openxmlformats.org/officeDocument/2006/relationships/hyperlink" Target="http://eur-lex.europa.eu/LexUriServ/LexUriServ.do?uri=OJ:C:2015:383:SOM:SV:HTML" TargetMode="External"/><Relationship Id="rId14" Type="http://schemas.openxmlformats.org/officeDocument/2006/relationships/hyperlink" Target="http://eur-lex.europa.eu/LexUriServ/LexUriServ.do?uri=OJ:C:2017:018:SOM:SV:HTML" TargetMode="External"/><Relationship Id="rId22" Type="http://schemas.openxmlformats.org/officeDocument/2006/relationships/hyperlink" Target="http://eur-lex.europa.eu/LexUriServ/LexUriServ.do?uri=OJ:C:2011:248:SOM:SV:HTML" TargetMode="External"/><Relationship Id="rId27" Type="http://schemas.openxmlformats.org/officeDocument/2006/relationships/hyperlink" Target="http://eur-lex.europa.eu/legal-content/SV/TXT/?uri=uriserv:OJ.C_.2016.487.01.0051.01.SWE&amp;toc=OJ:C:2016:487:TOC" TargetMode="External"/><Relationship Id="rId30" Type="http://schemas.openxmlformats.org/officeDocument/2006/relationships/hyperlink" Target="http://eur-lex.europa.eu/LexUriServ/LexUriServ.do?uri=OJ:C:2011:132:SOM:SV:HTML" TargetMode="External"/><Relationship Id="rId35" Type="http://schemas.openxmlformats.org/officeDocument/2006/relationships/hyperlink" Target="http://eur-lex.europa.eu/LexUriServ/LexUriServ.do?uri=OJ:C:2010:347:SOM:S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WorkflowChangePath"><![CDATA[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LongProp>
</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WTPCSN73YJ26-7-4400</_dlc_DocId>
    <_dlc_DocIdUrl xmlns="8a3471f6-0f36-4ccf-b5ee-1ca67ea797ef">
      <Url>http://dm/EESC/2017/_layouts/DocIdRedir.aspx?ID=WTPCSN73YJ26-7-4400</Url>
      <Description>WTPCSN73YJ26-7-4400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f5b869d2-addc-441a-a17c-05e3e333473c" xsi:nil="true"/>
    <Procedure xmlns="8a3471f6-0f36-4ccf-b5ee-1ca67ea797ef"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2017-10-24T12:00:00+00:00</ProductionDate>
    <DocumentNumber xmlns="f5b869d2-addc-441a-a17c-05e3e333473c">4279</DocumentNumber>
    <FicheYear xmlns="8a3471f6-0f36-4ccf-b5ee-1ca67ea797ef">2017</FicheYear>
    <DocumentVersion xmlns="8a3471f6-0f36-4ccf-b5ee-1ca67ea797ef">0</DocumentVersion>
    <DossierNumber xmlns="8a3471f6-0f36-4ccf-b5ee-1ca67ea797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a3471f6-0f36-4ccf-b5ee-1ca67ea797ef" xsi:nil="true"/>
    <TaxCatchAll xmlns="8a3471f6-0f36-4ccf-b5ee-1ca67ea797ef">
      <Value>38</Value>
      <Value>37</Value>
      <Value>36</Value>
      <Value>35</Value>
      <Value>34</Value>
      <Value>33</Value>
      <Value>32</Value>
      <Value>31</Value>
      <Value>30</Value>
      <Value>29</Value>
      <Value>28</Value>
      <Value>27</Value>
      <Value>26</Value>
      <Value>25</Value>
      <Value>24</Value>
      <Value>23</Value>
      <Value>22</Value>
      <Value>18</Value>
      <Value>15</Value>
      <Value>14</Value>
      <Value>12</Value>
      <Value>8</Value>
      <Value>96</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a3471f6-0f36-4ccf-b5ee-1ca67ea797ef" xsi:nil="true"/>
    <FicheNumber xmlns="8a3471f6-0f36-4ccf-b5ee-1ca67ea797ef">11536</FicheNumber>
    <DocumentYear xmlns="8a3471f6-0f36-4ccf-b5ee-1ca67ea797ef">2017</DocumentYear>
    <AdoptionDate xmlns="8a3471f6-0f36-4ccf-b5ee-1ca67ea797ef">2017-10-18T12:00:00+00:00</AdoptionDate>
    <DocumentPart xmlns="8a3471f6-0f36-4ccf-b5ee-1ca67ea797ef">0</DocumentPart>
    <MeetingName_0 xmlns="http://schemas.microsoft.com/sharepoint/v3/fields">
      <Terms xmlns="http://schemas.microsoft.com/office/infopath/2007/PartnerControls"/>
    </MeetingName_0>
    <RequestingService xmlns="8a3471f6-0f36-4ccf-b5ee-1ca67ea797ef">Evaluation des politiques</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OriginalSender xmlns="8a3471f6-0f36-4ccf-b5ee-1ca67ea797ef">
      <UserInfo>
        <DisplayName/>
        <AccountId xsi:nil="true"/>
        <AccountType/>
      </UserInfo>
    </OriginalSender>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C97235EC7FCE745BC5B366FF1DC5038" ma:contentTypeVersion="8" ma:contentTypeDescription="Defines the documents for Document Manager V2" ma:contentTypeScope="" ma:versionID="9727dfd7de01a7e1b4d46df46fcbc986">
  <xsd:schema xmlns:xsd="http://www.w3.org/2001/XMLSchema" xmlns:xs="http://www.w3.org/2001/XMLSchema" xmlns:p="http://schemas.microsoft.com/office/2006/metadata/properties" xmlns:ns2="8a3471f6-0f36-4ccf-b5ee-1ca67ea797ef" xmlns:ns3="http://schemas.microsoft.com/sharepoint/v3/fields" xmlns:ns4="f5b869d2-addc-441a-a17c-05e3e333473c" targetNamespace="http://schemas.microsoft.com/office/2006/metadata/properties" ma:root="true" ma:fieldsID="b68e505a3c0689fd31992365e56ca502" ns2:_="" ns3:_="" ns4:_="">
    <xsd:import namespace="8a3471f6-0f36-4ccf-b5ee-1ca67ea797ef"/>
    <xsd:import namespace="http://schemas.microsoft.com/sharepoint/v3/fields"/>
    <xsd:import namespace="f5b869d2-addc-441a-a17c-05e3e333473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b869d2-addc-441a-a17c-05e3e333473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1BE1-BD4A-4860-A524-4E3B2C657803}"/>
</file>

<file path=customXml/itemProps2.xml><?xml version="1.0" encoding="utf-8"?>
<ds:datastoreItem xmlns:ds="http://schemas.openxmlformats.org/officeDocument/2006/customXml" ds:itemID="{907BE44C-61F5-4B64-AEFF-7AD3B9F7CCC4}"/>
</file>

<file path=customXml/itemProps3.xml><?xml version="1.0" encoding="utf-8"?>
<ds:datastoreItem xmlns:ds="http://schemas.openxmlformats.org/officeDocument/2006/customXml" ds:itemID="{7B44964E-29A1-46A9-B89E-07AC56F83C2F}"/>
</file>

<file path=customXml/itemProps4.xml><?xml version="1.0" encoding="utf-8"?>
<ds:datastoreItem xmlns:ds="http://schemas.openxmlformats.org/officeDocument/2006/customXml" ds:itemID="{C8B3A6DF-E029-4049-ACEF-5AE08EF266FC}"/>
</file>

<file path=customXml/itemProps5.xml><?xml version="1.0" encoding="utf-8"?>
<ds:datastoreItem xmlns:ds="http://schemas.openxmlformats.org/officeDocument/2006/customXml" ds:itemID="{84198DBC-49DD-42DD-B6E8-E82116803110}"/>
</file>

<file path=customXml/itemProps6.xml><?xml version="1.0" encoding="utf-8"?>
<ds:datastoreItem xmlns:ds="http://schemas.openxmlformats.org/officeDocument/2006/customXml" ds:itemID="{9DE78864-F611-4580-BB2F-2D06332ADC9D}"/>
</file>

<file path=docProps/app.xml><?xml version="1.0" encoding="utf-8"?>
<Properties xmlns="http://schemas.openxmlformats.org/officeDocument/2006/extended-properties" xmlns:vt="http://schemas.openxmlformats.org/officeDocument/2006/docPropsVTypes">
  <Template>Normal</Template>
  <TotalTime>9</TotalTime>
  <Pages>2</Pages>
  <Words>3134</Words>
  <Characters>17866</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Demande de la Cour des Comptes - contrôle de l'application de la législation de l'UE</vt:lpstr>
      <vt:lpstr>Tourisme nautique et maritime</vt:lpstr>
    </vt:vector>
  </TitlesOfParts>
  <Company>CESE-CdR</Company>
  <LinksUpToDate>false</LinksUpToDate>
  <CharactersWithSpaces>20959</CharactersWithSpaces>
  <SharedDoc>false</SharedDoc>
  <HLinks>
    <vt:vector size="30" baseType="variant">
      <vt:variant>
        <vt:i4>5898269</vt:i4>
      </vt:variant>
      <vt:variant>
        <vt:i4>9</vt:i4>
      </vt:variant>
      <vt:variant>
        <vt:i4>0</vt:i4>
      </vt:variant>
      <vt:variant>
        <vt:i4>5</vt:i4>
      </vt:variant>
      <vt:variant>
        <vt:lpwstr>http://eur-lex.europa.eu/LexUriServ/LexUriServ.do?uri=OJ:C:2009:318:0022:0028:EN:PDF</vt:lpwstr>
      </vt:variant>
      <vt:variant>
        <vt:lpwstr/>
      </vt:variant>
      <vt:variant>
        <vt:i4>917512</vt:i4>
      </vt:variant>
      <vt:variant>
        <vt:i4>6</vt:i4>
      </vt:variant>
      <vt:variant>
        <vt:i4>0</vt:i4>
      </vt:variant>
      <vt:variant>
        <vt:i4>5</vt:i4>
      </vt:variant>
      <vt:variant>
        <vt:lpwstr>http://eur-lex.europa.eu/legal-content/EN/TXT/?uri=OJ:C:2016:013:FULL</vt:lpwstr>
      </vt:variant>
      <vt:variant>
        <vt:lpwstr/>
      </vt:variant>
      <vt:variant>
        <vt:i4>6684747</vt:i4>
      </vt:variant>
      <vt:variant>
        <vt:i4>3</vt:i4>
      </vt:variant>
      <vt:variant>
        <vt:i4>0</vt:i4>
      </vt:variant>
      <vt:variant>
        <vt:i4>5</vt:i4>
      </vt:variant>
      <vt:variant>
        <vt:lpwstr>http://eur-lex.europa.eu/legal-content/EN/TXT/?uri=uriserv:OJ.C_.2014.170.01.0018.01.ENG</vt:lpwstr>
      </vt:variant>
      <vt:variant>
        <vt:lpwstr/>
      </vt:variant>
      <vt:variant>
        <vt:i4>6553716</vt:i4>
      </vt:variant>
      <vt:variant>
        <vt:i4>0</vt:i4>
      </vt:variant>
      <vt:variant>
        <vt:i4>0</vt:i4>
      </vt:variant>
      <vt:variant>
        <vt:i4>5</vt:i4>
      </vt:variant>
      <vt:variant>
        <vt:lpwstr>https://hbr.org/2011/01/the-big-idea-creating-shared-value/ar/1</vt:lpwstr>
      </vt:variant>
      <vt:variant>
        <vt:lpwstr/>
      </vt:variant>
      <vt:variant>
        <vt:i4>2228330</vt:i4>
      </vt:variant>
      <vt:variant>
        <vt:i4>0</vt:i4>
      </vt:variant>
      <vt:variant>
        <vt:i4>0</vt:i4>
      </vt:variant>
      <vt:variant>
        <vt:i4>5</vt:i4>
      </vt:variant>
      <vt:variant>
        <vt:lpwstr>http://www.eesc.europa.eu/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Begäran från revisionsrätten - Övervakningen av genomförandet av EU:s lagstiftning</dc:title>
  <dc:subject>Kommitténs yttrande</dc:subject>
  <dc:creator>Alexandra Seidenberg</dc:creator>
  <cp:keywords>EESC-2017-04279-00-00-AC-TRA-FR</cp:keywords>
  <dc:description>Rapporteur:  - Original language: FR - Date of document: 24/10/2017 - Date of meeting:  - External documents:  - Administrator:  CUISSON Philippe</dc:description>
  <cp:lastModifiedBy>TDriveSVCUserAccpt</cp:lastModifiedBy>
  <cp:revision>8</cp:revision>
  <cp:lastPrinted>2017-09-18T13:44:00Z</cp:lastPrinted>
  <dcterms:created xsi:type="dcterms:W3CDTF">2017-10-23T15:10:00Z</dcterms:created>
  <dcterms:modified xsi:type="dcterms:W3CDTF">2022-03-31T21:42:00Z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23/10/2017, 10/10/2017, 06/10/2017, 25/09/2017, 16/11/2016, 16/11/2016, 21/09/2016, 21/09/2016, 21/09/2016, 20/09/2016, 20/09/2016, 26/08/2016, 26/08/2016, 17/06/2016, 17/06/2016</vt:lpwstr>
  </property>
  <property fmtid="{D5CDD505-2E9C-101B-9397-08002B2CF9AE}" pid="4" name="Pref_Time">
    <vt:lpwstr>17:06:39, 18:12:53, 14:16:54, 10:26:39, 15:57:25, 15:35:06, 14:59:46, 12:28:00, 12:21:20, 10:46:53, 06:58:50, 16:37:44, 16:11:00, 11:03:48, 10:24:37</vt:lpwstr>
  </property>
  <property fmtid="{D5CDD505-2E9C-101B-9397-08002B2CF9AE}" pid="5" name="Pref_User">
    <vt:lpwstr>enied, tvoc, mreg, jhvi, jhvi, htoo, enied, enied, hnic, enied, enied, enied, htoo, mreg, YMUR</vt:lpwstr>
  </property>
  <property fmtid="{D5CDD505-2E9C-101B-9397-08002B2CF9AE}" pid="6" name="Pref_FileName">
    <vt:lpwstr>EESC-2017-04279-00-00-AC-TRA-FR-CRR.docx, EESC-2017-04279-00-02-PAC-TRA-FR-CRR.docx, EESC-2017-04279-00-01-PAC-TRA-FR-CRR.docx, EESC-2017-04279-00-00-PAC-TRA-FR-CRR.docx, EESC-2016-05923-00-00-DT-TRA-EN-CRR.docx, EESC-2016-05923-00-00-DT-CRR-EN.docx, EESC</vt:lpwstr>
  </property>
  <property fmtid="{D5CDD505-2E9C-101B-9397-08002B2CF9AE}" pid="7" name="ContentTypeId">
    <vt:lpwstr>0x010100EA97B91038054C99906057A708A1480A00FC97235EC7FCE745BC5B366FF1DC5038</vt:lpwstr>
  </property>
  <property fmtid="{D5CDD505-2E9C-101B-9397-08002B2CF9AE}" pid="8" name="_dlc_DocIdItemGuid">
    <vt:lpwstr>9b0a8182-17ab-4c9f-b7ba-4e3340b2a77c</vt:lpwstr>
  </property>
  <property fmtid="{D5CDD505-2E9C-101B-9397-08002B2CF9AE}" pid="9" name="DocumentType_0">
    <vt:lpwstr>AC|a4cc1d15-fb08-4679-ad46-e4e0cba5fe92</vt:lpwstr>
  </property>
  <property fmtid="{D5CDD505-2E9C-101B-9397-08002B2CF9AE}" pid="10" name="AvailableTranslations">
    <vt:lpwstr>35;#SL|98a412ae-eb01-49e9-ae3d-585a81724cfc;#29;#HU|6b229040-c589-4408-b4c1-4285663d20a8;#22;#IT|0774613c-01ed-4e5d-a25d-11d2388de825;#27;#CS|72f9705b-0217-4fd3-bea2-cbc7ed80e26e;#26;#SV|c2ed69e7-a339-43d7-8f22-d93680a92aa0;#18;#DE|f6b31e5a-26fa-4935-b661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FicheYear">
    <vt:i4>2017</vt:i4>
  </property>
  <property fmtid="{D5CDD505-2E9C-101B-9397-08002B2CF9AE}" pid="14" name="DocumentNumber">
    <vt:i4>4279</vt:i4>
  </property>
  <property fmtid="{D5CDD505-2E9C-101B-9397-08002B2CF9AE}" pid="15" name="DocumentVersion">
    <vt:i4>0</vt:i4>
  </property>
  <property fmtid="{D5CDD505-2E9C-101B-9397-08002B2CF9AE}" pid="16" name="DocumentSource">
    <vt:lpwstr>1;#EESC|422833ec-8d7e-4e65-8e4e-8bed07ffb729</vt:lpwstr>
  </property>
  <property fmtid="{D5CDD505-2E9C-101B-9397-08002B2CF9AE}" pid="17" name="AdoptionDate">
    <vt:filetime>2017-10-18T12:00:00Z</vt:filetime>
  </property>
  <property fmtid="{D5CDD505-2E9C-101B-9397-08002B2CF9AE}" pid="18" name="DocumentType">
    <vt:lpwstr>96;#AC|a4cc1d15-fb08-4679-ad46-e4e0cba5fe92</vt:lpwstr>
  </property>
  <property fmtid="{D5CDD505-2E9C-101B-9397-08002B2CF9AE}" pid="19" name="DocumentStatus">
    <vt:lpwstr>2;#TRA|150d2a88-1431-44e6-a8ca-0bb753ab8672</vt:lpwstr>
  </property>
  <property fmtid="{D5CDD505-2E9C-101B-9397-08002B2CF9AE}" pid="20" name="DossierName">
    <vt:lpwstr/>
  </property>
  <property fmtid="{D5CDD505-2E9C-101B-9397-08002B2CF9AE}" pid="21" name="DocumentPart">
    <vt:i4>0</vt:i4>
  </property>
  <property fmtid="{D5CDD505-2E9C-101B-9397-08002B2CF9AE}" pid="22" name="RequestingService">
    <vt:lpwstr>Evaluation des politiques</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
  </property>
  <property fmtid="{D5CDD505-2E9C-101B-9397-08002B2CF9AE}" pid="26" name="OriginalLanguage">
    <vt:lpwstr>8;#FR|d2afafd3-4c81-4f60-8f52-ee33f2f54ff3</vt:lpwstr>
  </property>
  <property fmtid="{D5CDD505-2E9C-101B-9397-08002B2CF9AE}" pid="27" name="MeetingName">
    <vt:lpwstr/>
  </property>
  <property fmtid="{D5CDD505-2E9C-101B-9397-08002B2CF9AE}" pid="28" name="DocumentStatus_0">
    <vt:lpwstr>TRA|150d2a88-1431-44e6-a8ca-0bb753ab8672</vt:lpwstr>
  </property>
  <property fmtid="{D5CDD505-2E9C-101B-9397-08002B2CF9AE}" pid="29" name="OriginalLanguage_0">
    <vt:lpwstr>FR|d2afafd3-4c81-4f60-8f52-ee33f2f54ff3</vt:lpwstr>
  </property>
  <property fmtid="{D5CDD505-2E9C-101B-9397-08002B2CF9AE}" pid="30" name="TaxCatchAll">
    <vt:lpwstr>22;#IT|0774613c-01ed-4e5d-a25d-11d2388de825;#38;#HR|2f555653-ed1a-4fe6-8362-9082d95989e5;#14;#ES|e7a6b05b-ae16-40c8-add9-68b64b03aeba;#12;#NL|55c6556c-b4f4-441d-9acf-c498d4f838bd;#8;#FR|d2afafd3-4c81-4f60-8f52-ee33f2f54ff3;#6;#Final|ea5e6674-7b27-4bac-b09</vt:lpwstr>
  </property>
  <property fmtid="{D5CDD505-2E9C-101B-9397-08002B2CF9AE}" pid="31" name="AvailableTranslations_0">
    <vt:lpwstr>IT|0774613c-01ed-4e5d-a25d-11d2388de825;HR|2f555653-ed1a-4fe6-8362-9082d95989e5;FR|d2afafd3-4c81-4f60-8f52-ee33f2f54ff3;ES|e7a6b05b-ae16-40c8-add9-68b64b03aeba;NL|55c6556c-b4f4-441d-9acf-c498d4f838bd</vt:lpwstr>
  </property>
  <property fmtid="{D5CDD505-2E9C-101B-9397-08002B2CF9AE}" pid="32" name="VersionStatus">
    <vt:lpwstr>6;#Final|ea5e6674-7b27-4bac-b091-73adbb394efe</vt:lpwstr>
  </property>
  <property fmtid="{D5CDD505-2E9C-101B-9397-08002B2CF9AE}" pid="33" name="VersionStatus_0">
    <vt:lpwstr>Final|ea5e6674-7b27-4bac-b091-73adbb394efe</vt:lpwstr>
  </property>
  <property fmtid="{D5CDD505-2E9C-101B-9397-08002B2CF9AE}" pid="34" name="FicheNumber">
    <vt:i4>11536</vt:i4>
  </property>
  <property fmtid="{D5CDD505-2E9C-101B-9397-08002B2CF9AE}" pid="35" name="DocumentYear">
    <vt:i4>2017</vt:i4>
  </property>
  <property fmtid="{D5CDD505-2E9C-101B-9397-08002B2CF9AE}" pid="36" name="DocumentLanguage">
    <vt:lpwstr>26;#SV|c2ed69e7-a339-43d7-8f22-d93680a92aa0</vt:lpwstr>
  </property>
</Properties>
</file>