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70E50" w14:textId="7B7C2A37" w:rsidR="00931F76" w:rsidRPr="00DA5119" w:rsidRDefault="00FC1C79" w:rsidP="00931F76">
      <w:pPr>
        <w:jc w:val="center"/>
      </w:pPr>
      <w:bookmarkStart w:id="0" w:name="_GoBack"/>
      <w:bookmarkEnd w:id="0"/>
      <w:r>
        <w:rPr>
          <w:noProof/>
        </w:rPr>
        <w:drawing>
          <wp:inline distT="0" distB="0" distL="0" distR="0" wp14:anchorId="49CB205B" wp14:editId="2DCBB8C5">
            <wp:extent cx="1792605" cy="1241425"/>
            <wp:effectExtent l="0" t="0" r="0" b="0"/>
            <wp:docPr id="1" name="Picture 1" title="EESCLogo_F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92605" cy="1241425"/>
                    </a:xfrm>
                    <a:prstGeom prst="rect">
                      <a:avLst/>
                    </a:prstGeom>
                  </pic:spPr>
                </pic:pic>
              </a:graphicData>
            </a:graphic>
          </wp:inline>
        </w:drawing>
      </w:r>
      <w:r w:rsidR="00931F76">
        <w:rPr>
          <w:noProof/>
          <w:sz w:val="20"/>
        </w:rPr>
        <mc:AlternateContent>
          <mc:Choice Requires="wps">
            <w:drawing>
              <wp:anchor distT="0" distB="0" distL="114300" distR="114300" simplePos="0" relativeHeight="251660288" behindDoc="1" locked="0" layoutInCell="0" allowOverlap="1" wp14:anchorId="57108336" wp14:editId="656C7936">
                <wp:simplePos x="0" y="0"/>
                <wp:positionH relativeFrom="page">
                  <wp:posOffset>6769100</wp:posOffset>
                </wp:positionH>
                <wp:positionV relativeFrom="page">
                  <wp:posOffset>10081260</wp:posOffset>
                </wp:positionV>
                <wp:extent cx="647700" cy="396240"/>
                <wp:effectExtent l="0" t="3810" r="317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CA1FC" w14:textId="77777777" w:rsidR="00931F76" w:rsidRPr="00260E65" w:rsidRDefault="00931F76" w:rsidP="00931F76">
                            <w:pPr>
                              <w:jc w:val="center"/>
                              <w:rPr>
                                <w:rFonts w:ascii="Arial" w:hAnsi="Arial" w:cs="Arial"/>
                                <w:b/>
                                <w:bCs/>
                                <w:sz w:val="48"/>
                              </w:rPr>
                            </w:pPr>
                            <w:r>
                              <w:rPr>
                                <w:rFonts w:ascii="Arial" w:hAnsi="Arial"/>
                                <w:b/>
                                <w:bCs/>
                                <w:sz w:val="48"/>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8336" id="_x0000_t202" coordsize="21600,21600" o:spt="202" path="m,l,21600r21600,l21600,xe">
                <v:stroke joinstyle="miter"/>
                <v:path gradientshapeok="t" o:connecttype="rect"/>
              </v:shapetype>
              <v:shape id="Text Box 21" o:spid="_x0000_s1026" type="#_x0000_t202" style="position:absolute;left:0;text-align:left;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tQ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D/IEqmtQIAALoF&#10;AAAOAAAAAAAAAAAAAAAAAC4CAABkcnMvZTJvRG9jLnhtbFBLAQItABQABgAIAAAAIQDrVDFa3gAA&#10;AA8BAAAPAAAAAAAAAAAAAAAAAA8FAABkcnMvZG93bnJldi54bWxQSwUGAAAAAAQABADzAAAAGgYA&#10;AAAA&#10;" o:allowincell="f" filled="f" stroked="f">
                <v:textbox>
                  <w:txbxContent>
                    <w:p w14:paraId="541CA1FC" w14:textId="77777777" w:rsidR="00931F76" w:rsidRPr="00260E65" w:rsidRDefault="00931F76" w:rsidP="00931F76">
                      <w:pPr>
                        <w:jc w:val="center"/>
                        <w:rPr>
                          <w:rFonts w:ascii="Arial" w:hAnsi="Arial" w:cs="Arial"/>
                          <w:b/>
                          <w:bCs/>
                          <w:sz w:val="48"/>
                        </w:rPr>
                      </w:pPr>
                      <w:r>
                        <w:rPr>
                          <w:rFonts w:ascii="Arial" w:hAnsi="Arial"/>
                          <w:b/>
                          <w:bCs/>
                          <w:sz w:val="48"/>
                        </w:rPr>
                        <w:t>FI</w:t>
                      </w:r>
                    </w:p>
                  </w:txbxContent>
                </v:textbox>
                <w10:wrap anchorx="page" anchory="page"/>
              </v:shape>
            </w:pict>
          </mc:Fallback>
        </mc:AlternateContent>
      </w:r>
    </w:p>
    <w:p w14:paraId="4570DF1C" w14:textId="77777777" w:rsidR="008A69A1" w:rsidRPr="00DA5119" w:rsidRDefault="008A69A1" w:rsidP="00480AEE"/>
    <w:p w14:paraId="4570DF1D" w14:textId="5E125F17" w:rsidR="00AF2C2A" w:rsidRPr="00DA5119" w:rsidRDefault="00BB1F3E" w:rsidP="00480AEE">
      <w:pPr>
        <w:jc w:val="right"/>
      </w:pPr>
      <w:r>
        <w:rPr>
          <w:b/>
        </w:rPr>
        <w:t>INT/910</w:t>
      </w:r>
    </w:p>
    <w:p w14:paraId="4570DF1E" w14:textId="0B825584" w:rsidR="00AF2C2A" w:rsidRPr="00DA5119" w:rsidRDefault="00BB1F3E" w:rsidP="00BB1F3E">
      <w:pPr>
        <w:jc w:val="right"/>
        <w:rPr>
          <w:b/>
        </w:rPr>
      </w:pPr>
      <w:r>
        <w:rPr>
          <w:b/>
        </w:rPr>
        <w:t>Päästöt ja tyyppihyväksyntä:</w:t>
      </w:r>
      <w:r>
        <w:rPr>
          <w:b/>
        </w:rPr>
        <w:br/>
        <w:t>covid-19-kriisin vaikutukset</w:t>
      </w:r>
    </w:p>
    <w:p w14:paraId="4570DF1F" w14:textId="77777777" w:rsidR="008A69A1" w:rsidRPr="00DA5119" w:rsidRDefault="008A69A1" w:rsidP="00480AEE"/>
    <w:p w14:paraId="4570DF20" w14:textId="77777777" w:rsidR="008A69A1" w:rsidRPr="00DA5119" w:rsidRDefault="008A69A1" w:rsidP="00480AEE"/>
    <w:p w14:paraId="4570DF21" w14:textId="09975064" w:rsidR="009443A1" w:rsidRPr="00DA5119" w:rsidRDefault="009443A1" w:rsidP="00BB1F3E">
      <w:pPr>
        <w:jc w:val="center"/>
        <w:rPr>
          <w:b/>
        </w:rPr>
      </w:pPr>
      <w:r>
        <w:rPr>
          <w:b/>
          <w:sz w:val="28"/>
          <w:szCs w:val="28"/>
        </w:rPr>
        <w:t>LAUSUNTO</w:t>
      </w:r>
      <w:r>
        <w:rPr>
          <w:b/>
          <w:sz w:val="28"/>
          <w:szCs w:val="28"/>
        </w:rPr>
        <w:br/>
      </w:r>
      <w:r>
        <w:br/>
        <w:t>Euroopan talous- ja sosiaalikomitea</w:t>
      </w:r>
      <w:r>
        <w:br/>
      </w:r>
      <w:r>
        <w:rPr>
          <w:b/>
        </w:rPr>
        <w:br/>
        <w:t xml:space="preserve">Ehdotus – Euroopan parlamentin ja neuvoston asetus asetuksen (EU) 2016/1628 muuttamisesta sen siirtymäsäännösten osalta covid-19-kriisin vaikutusten huomioon ottamiseksi </w:t>
      </w:r>
      <w:r>
        <w:rPr>
          <w:b/>
        </w:rPr>
        <w:br/>
      </w:r>
      <w:r>
        <w:t>[COM(2020) 233 final – 2020/0113 (COD)]</w:t>
      </w:r>
    </w:p>
    <w:p w14:paraId="4570DF22" w14:textId="77777777" w:rsidR="009443A1" w:rsidRPr="00DA5119" w:rsidRDefault="009443A1" w:rsidP="00480AEE">
      <w:pPr>
        <w:jc w:val="center"/>
      </w:pPr>
    </w:p>
    <w:p w14:paraId="4570DF23" w14:textId="0CF3D23D" w:rsidR="009443A1" w:rsidRPr="00DA5119" w:rsidRDefault="009443A1" w:rsidP="00480AEE">
      <w:pPr>
        <w:jc w:val="center"/>
        <w:rPr>
          <w:b/>
        </w:rPr>
      </w:pPr>
      <w:r>
        <w:t xml:space="preserve">Esittelijä: </w:t>
      </w:r>
      <w:r>
        <w:rPr>
          <w:b/>
        </w:rPr>
        <w:t>Gerardo Larghi</w:t>
      </w:r>
    </w:p>
    <w:p w14:paraId="4570DF24" w14:textId="77777777" w:rsidR="009443A1" w:rsidRPr="00DA5119" w:rsidRDefault="009443A1" w:rsidP="00480AEE">
      <w:pPr>
        <w:jc w:val="center"/>
      </w:pPr>
    </w:p>
    <w:p w14:paraId="4570DF2B" w14:textId="77777777" w:rsidR="009443A1" w:rsidRPr="00DA5119" w:rsidRDefault="009443A1" w:rsidP="00480AEE"/>
    <w:p w14:paraId="4570DF2C" w14:textId="77777777" w:rsidR="008A69A1" w:rsidRPr="00DA5119" w:rsidRDefault="008A69A1" w:rsidP="00480AEE">
      <w:pPr>
        <w:sectPr w:rsidR="008A69A1" w:rsidRPr="00DA5119" w:rsidSect="00F3488C">
          <w:footerReference w:type="default" r:id="rId12"/>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9443A1" w:rsidRPr="00DA5119" w14:paraId="4570DF2F" w14:textId="77777777" w:rsidTr="005075AF">
        <w:tc>
          <w:tcPr>
            <w:tcW w:w="3085" w:type="dxa"/>
          </w:tcPr>
          <w:p w14:paraId="4570DF2D" w14:textId="77777777" w:rsidR="009443A1" w:rsidRPr="00DA5119" w:rsidRDefault="009443A1" w:rsidP="00480AEE">
            <w:r>
              <w:lastRenderedPageBreak/>
              <w:t>Lausuntopyyntö</w:t>
            </w:r>
          </w:p>
        </w:tc>
        <w:tc>
          <w:tcPr>
            <w:tcW w:w="6204" w:type="dxa"/>
          </w:tcPr>
          <w:p w14:paraId="34E96086" w14:textId="1BE155F7" w:rsidR="009443A1" w:rsidRDefault="007E48C8" w:rsidP="007E48C8">
            <w:r>
              <w:t>Euroopan unionin neuvosto, 08/06/2020</w:t>
            </w:r>
          </w:p>
          <w:p w14:paraId="4570DF2E" w14:textId="39269AB0" w:rsidR="003B5E45" w:rsidRPr="00DA5119" w:rsidRDefault="003B5E45" w:rsidP="007E48C8">
            <w:r>
              <w:t>Euroopan parlamentti, 17/06/2020</w:t>
            </w:r>
          </w:p>
        </w:tc>
      </w:tr>
      <w:tr w:rsidR="009443A1" w:rsidRPr="00DA5119" w14:paraId="4570DF32" w14:textId="77777777" w:rsidTr="005075AF">
        <w:trPr>
          <w:trHeight w:val="251"/>
        </w:trPr>
        <w:tc>
          <w:tcPr>
            <w:tcW w:w="3085" w:type="dxa"/>
          </w:tcPr>
          <w:p w14:paraId="4570DF30" w14:textId="77777777" w:rsidR="009443A1" w:rsidRPr="00DA5119" w:rsidRDefault="009443A1" w:rsidP="00480AEE">
            <w:r>
              <w:t>Oikeusperusta</w:t>
            </w:r>
          </w:p>
        </w:tc>
        <w:tc>
          <w:tcPr>
            <w:tcW w:w="6204" w:type="dxa"/>
          </w:tcPr>
          <w:p w14:paraId="4570DF31" w14:textId="2842B772" w:rsidR="009443A1" w:rsidRPr="00DA5119" w:rsidRDefault="009443A1" w:rsidP="00BB1F3E">
            <w:r>
              <w:t>Euroopan unionin toiminnasta tehdyn sopimuksen 114 artikla</w:t>
            </w:r>
          </w:p>
        </w:tc>
      </w:tr>
      <w:tr w:rsidR="009443A1" w:rsidRPr="00DA5119" w14:paraId="4570DF35" w14:textId="77777777" w:rsidTr="005075AF">
        <w:tc>
          <w:tcPr>
            <w:tcW w:w="3085" w:type="dxa"/>
          </w:tcPr>
          <w:p w14:paraId="4570DF33" w14:textId="77777777" w:rsidR="009443A1" w:rsidRPr="00DA5119" w:rsidRDefault="009443A1" w:rsidP="00480AEE">
            <w:r>
              <w:t>Vastaava jaosto</w:t>
            </w:r>
          </w:p>
        </w:tc>
        <w:tc>
          <w:tcPr>
            <w:tcW w:w="6204" w:type="dxa"/>
          </w:tcPr>
          <w:p w14:paraId="4570DF34" w14:textId="3463C9AC" w:rsidR="009443A1" w:rsidRPr="00DA5119" w:rsidRDefault="00BB1F3E" w:rsidP="00BB1F3E">
            <w:r>
              <w:t>”yhtenäismarkkinat, tuotanto ja kulutus”</w:t>
            </w:r>
          </w:p>
        </w:tc>
      </w:tr>
      <w:tr w:rsidR="009443A1" w:rsidRPr="00DA5119" w14:paraId="4570DF38" w14:textId="77777777" w:rsidTr="005075AF">
        <w:tc>
          <w:tcPr>
            <w:tcW w:w="3085" w:type="dxa"/>
          </w:tcPr>
          <w:p w14:paraId="4570DF36" w14:textId="5761176F" w:rsidR="009443A1" w:rsidRPr="00DA5119" w:rsidRDefault="009D0B3F" w:rsidP="00480AEE">
            <w:r>
              <w:t>Komitean työvaliokunnan päätös</w:t>
            </w:r>
          </w:p>
        </w:tc>
        <w:tc>
          <w:tcPr>
            <w:tcW w:w="6204" w:type="dxa"/>
          </w:tcPr>
          <w:p w14:paraId="4570DF37" w14:textId="347076F9" w:rsidR="009443A1" w:rsidRPr="00DA5119" w:rsidRDefault="00BB1F3E" w:rsidP="00BB1F3E">
            <w:r>
              <w:t>09/06/2020</w:t>
            </w:r>
          </w:p>
        </w:tc>
      </w:tr>
      <w:tr w:rsidR="009443A1" w:rsidRPr="00DA5119" w14:paraId="4570DF3B" w14:textId="77777777" w:rsidTr="005075AF">
        <w:tc>
          <w:tcPr>
            <w:tcW w:w="3085" w:type="dxa"/>
          </w:tcPr>
          <w:p w14:paraId="4570DF39" w14:textId="77777777" w:rsidR="009443A1" w:rsidRPr="00DA5119" w:rsidRDefault="009443A1" w:rsidP="00480AEE">
            <w:r>
              <w:t>Hyväksyminen täysistunnossa</w:t>
            </w:r>
          </w:p>
        </w:tc>
        <w:tc>
          <w:tcPr>
            <w:tcW w:w="6204" w:type="dxa"/>
          </w:tcPr>
          <w:p w14:paraId="4570DF3A" w14:textId="2EAB9762" w:rsidR="009443A1" w:rsidRPr="00DA5119" w:rsidRDefault="00BB1F3E" w:rsidP="00BB1F3E">
            <w:r>
              <w:t>11/06/2020</w:t>
            </w:r>
          </w:p>
        </w:tc>
      </w:tr>
      <w:tr w:rsidR="009443A1" w:rsidRPr="00DA5119" w14:paraId="4570DF3E" w14:textId="77777777" w:rsidTr="005075AF">
        <w:tc>
          <w:tcPr>
            <w:tcW w:w="3085" w:type="dxa"/>
          </w:tcPr>
          <w:p w14:paraId="4570DF3C" w14:textId="1D326287" w:rsidR="009443A1" w:rsidRPr="00DA5119" w:rsidRDefault="009D0B3F" w:rsidP="00480AEE">
            <w:r>
              <w:t>Täysistunnon nro</w:t>
            </w:r>
          </w:p>
        </w:tc>
        <w:tc>
          <w:tcPr>
            <w:tcW w:w="6204" w:type="dxa"/>
          </w:tcPr>
          <w:p w14:paraId="4570DF3D" w14:textId="44FA4594" w:rsidR="009443A1" w:rsidRPr="00DA5119" w:rsidRDefault="00F65EC6" w:rsidP="00480AEE">
            <w:r>
              <w:t>552</w:t>
            </w:r>
          </w:p>
        </w:tc>
      </w:tr>
      <w:tr w:rsidR="009443A1" w:rsidRPr="00DA5119" w14:paraId="4570DF41" w14:textId="77777777" w:rsidTr="005075AF">
        <w:tc>
          <w:tcPr>
            <w:tcW w:w="3085" w:type="dxa"/>
          </w:tcPr>
          <w:p w14:paraId="4570DF3F" w14:textId="77777777" w:rsidR="009443A1" w:rsidRPr="00DA5119" w:rsidRDefault="009443A1" w:rsidP="00480AEE">
            <w:r>
              <w:t>Äänestystulos</w:t>
            </w:r>
            <w:r>
              <w:br/>
              <w:t>(puolesta / vastaan / pidättyi äänestämästä)</w:t>
            </w:r>
          </w:p>
        </w:tc>
        <w:tc>
          <w:tcPr>
            <w:tcW w:w="6204" w:type="dxa"/>
            <w:vAlign w:val="bottom"/>
          </w:tcPr>
          <w:p w14:paraId="4570DF40" w14:textId="19D82A68" w:rsidR="009443A1" w:rsidRPr="00DA5119" w:rsidRDefault="008B5785" w:rsidP="00480AEE">
            <w:r>
              <w:t>226/0/2</w:t>
            </w:r>
          </w:p>
        </w:tc>
      </w:tr>
    </w:tbl>
    <w:p w14:paraId="4570DF42" w14:textId="77777777" w:rsidR="009443A1" w:rsidRPr="00DA5119" w:rsidRDefault="009443A1" w:rsidP="00480AEE"/>
    <w:p w14:paraId="4570DF43" w14:textId="77777777" w:rsidR="009443A1" w:rsidRPr="00DA5119" w:rsidRDefault="009443A1" w:rsidP="00480AEE">
      <w:r>
        <w:br w:type="page"/>
      </w:r>
    </w:p>
    <w:p w14:paraId="4570DF44" w14:textId="77777777" w:rsidR="00514191" w:rsidRPr="00DA5119" w:rsidRDefault="00514191" w:rsidP="00480AEE">
      <w:pPr>
        <w:pStyle w:val="Heading1"/>
        <w:keepNext/>
        <w:numPr>
          <w:ilvl w:val="0"/>
          <w:numId w:val="4"/>
        </w:numPr>
        <w:overflowPunct w:val="0"/>
        <w:autoSpaceDE w:val="0"/>
        <w:autoSpaceDN w:val="0"/>
        <w:adjustRightInd w:val="0"/>
        <w:rPr>
          <w:b/>
        </w:rPr>
      </w:pPr>
      <w:r>
        <w:rPr>
          <w:b/>
        </w:rPr>
        <w:t>Päätelmät ja suositukset</w:t>
      </w:r>
    </w:p>
    <w:p w14:paraId="4570DF45" w14:textId="77777777" w:rsidR="00514191" w:rsidRPr="00DA5119" w:rsidRDefault="00514191" w:rsidP="00480AEE">
      <w:pPr>
        <w:keepNext/>
        <w:ind w:left="142" w:hanging="142"/>
      </w:pPr>
    </w:p>
    <w:p w14:paraId="1047411D" w14:textId="2CB4522E" w:rsidR="00BB1F3E" w:rsidRPr="00DA5119" w:rsidRDefault="00BB1F3E" w:rsidP="00BB1F3E">
      <w:pPr>
        <w:pStyle w:val="Heading2"/>
        <w:numPr>
          <w:ilvl w:val="1"/>
          <w:numId w:val="4"/>
        </w:numPr>
        <w:overflowPunct w:val="0"/>
        <w:autoSpaceDE w:val="0"/>
        <w:autoSpaceDN w:val="0"/>
        <w:adjustRightInd w:val="0"/>
      </w:pPr>
      <w:r>
        <w:t>ETSK kannattaa asetusehdotusta ja pitää sitä asianmukaisena ja oikeasuhtaisena vastauksena covid-19-kriisin vaikutuksiin.</w:t>
      </w:r>
    </w:p>
    <w:p w14:paraId="18999D06" w14:textId="77777777" w:rsidR="00BB1F3E" w:rsidRPr="00DA5119" w:rsidRDefault="00BB1F3E">
      <w:pPr>
        <w:pStyle w:val="Heading2"/>
        <w:numPr>
          <w:ilvl w:val="0"/>
          <w:numId w:val="0"/>
        </w:numPr>
      </w:pPr>
    </w:p>
    <w:p w14:paraId="4570DF46" w14:textId="17AD6086" w:rsidR="00514191" w:rsidRPr="00DA5119" w:rsidRDefault="00BB1F3E" w:rsidP="00BB1F3E">
      <w:pPr>
        <w:pStyle w:val="Heading2"/>
        <w:numPr>
          <w:ilvl w:val="1"/>
          <w:numId w:val="4"/>
        </w:numPr>
      </w:pPr>
      <w:r>
        <w:t>Ehdotuksella täytetään kaksi tavoitetta: varmistetaan sisämarkkinoiden moitteeton toiminta ja taataan samalla korkeatasoinen suoja yleiselle turvallisuudelle ja ympäristölle.</w:t>
      </w:r>
    </w:p>
    <w:p w14:paraId="4570DF47" w14:textId="77777777" w:rsidR="00514191" w:rsidRPr="00DA5119" w:rsidRDefault="00514191" w:rsidP="00480AEE"/>
    <w:p w14:paraId="4570DF4C" w14:textId="25BB5F66" w:rsidR="00514191" w:rsidRPr="00DA5119" w:rsidRDefault="00D33391" w:rsidP="00480AEE">
      <w:pPr>
        <w:pStyle w:val="Heading1"/>
        <w:keepNext/>
        <w:numPr>
          <w:ilvl w:val="0"/>
          <w:numId w:val="4"/>
        </w:numPr>
        <w:overflowPunct w:val="0"/>
        <w:autoSpaceDE w:val="0"/>
        <w:autoSpaceDN w:val="0"/>
        <w:adjustRightInd w:val="0"/>
        <w:rPr>
          <w:b/>
        </w:rPr>
      </w:pPr>
      <w:r>
        <w:rPr>
          <w:b/>
        </w:rPr>
        <w:t>Komission ehdotuksen sisältö</w:t>
      </w:r>
    </w:p>
    <w:p w14:paraId="4570DF4D" w14:textId="77777777" w:rsidR="00514191" w:rsidRPr="00DA5119" w:rsidRDefault="00514191" w:rsidP="00480AEE">
      <w:pPr>
        <w:keepNext/>
      </w:pPr>
    </w:p>
    <w:p w14:paraId="5223274B" w14:textId="2382CAF6" w:rsidR="00BB1F3E" w:rsidRPr="00DA5119" w:rsidRDefault="00BB1F3E" w:rsidP="00BB1F3E">
      <w:pPr>
        <w:pStyle w:val="Heading2"/>
        <w:numPr>
          <w:ilvl w:val="1"/>
          <w:numId w:val="4"/>
        </w:numPr>
        <w:overflowPunct w:val="0"/>
        <w:autoSpaceDE w:val="0"/>
        <w:autoSpaceDN w:val="0"/>
        <w:adjustRightInd w:val="0"/>
      </w:pPr>
      <w:r>
        <w:t>Asetuksessa (EU) 2016/1628</w:t>
      </w:r>
      <w:r w:rsidR="00A51544" w:rsidRPr="00126B3D">
        <w:rPr>
          <w:rStyle w:val="FootnoteReference"/>
        </w:rPr>
        <w:footnoteReference w:id="1"/>
      </w:r>
      <w:r>
        <w:t xml:space="preserve"> vahvistetaan uudet päästörajat (vaihe V), joilla on tarkoitus vähentää liikkuviin työkoneisiin tarkoitettujen moottoreiden ilmaa pilaavia epäpuhtauspäästöjä, ja annetaan määräaika siirtymän toteuttamiselle. </w:t>
      </w:r>
    </w:p>
    <w:p w14:paraId="29A741DD" w14:textId="77777777" w:rsidR="00BB1F3E" w:rsidRPr="00DA5119" w:rsidRDefault="00BB1F3E">
      <w:pPr>
        <w:pStyle w:val="Heading2"/>
        <w:numPr>
          <w:ilvl w:val="0"/>
          <w:numId w:val="0"/>
        </w:numPr>
      </w:pPr>
    </w:p>
    <w:p w14:paraId="1096780E" w14:textId="6BB0FD68" w:rsidR="00BB1F3E" w:rsidRPr="00DA5119" w:rsidRDefault="00BB1F3E" w:rsidP="00BB1F3E">
      <w:pPr>
        <w:pStyle w:val="Heading2"/>
        <w:numPr>
          <w:ilvl w:val="1"/>
          <w:numId w:val="4"/>
        </w:numPr>
      </w:pPr>
      <w:r>
        <w:t>Covid-19-pandemia aiheuttaa toimitusketjuun merkittäviä häiriöitä, joiden vuoksi liikkuvien työkoneiden valmistajien on ollut vaikea noudattaa joitakin asetuksessa vahvistetuista määräajoista.</w:t>
      </w:r>
    </w:p>
    <w:p w14:paraId="77887079" w14:textId="77777777" w:rsidR="00BB1F3E" w:rsidRPr="00DA5119" w:rsidRDefault="00BB1F3E">
      <w:pPr>
        <w:pStyle w:val="Heading2"/>
        <w:numPr>
          <w:ilvl w:val="0"/>
          <w:numId w:val="0"/>
        </w:numPr>
      </w:pPr>
    </w:p>
    <w:p w14:paraId="484FC56C" w14:textId="0DF5E88E" w:rsidR="00BB1F3E" w:rsidRPr="00DA5119" w:rsidRDefault="00BB1F3E" w:rsidP="00BB1F3E">
      <w:pPr>
        <w:pStyle w:val="Heading2"/>
        <w:numPr>
          <w:ilvl w:val="1"/>
          <w:numId w:val="4"/>
        </w:numPr>
      </w:pPr>
      <w:r>
        <w:t>Ehdotuksen tarkoituksena on pidentää siirtymävaiheen moottoreilla varustettujen liikkuvien koneiden ja traktorien valmistamiseen ja markkinoille saattamiseen sovellettavia määräaikoja kahdellatoista kuukaudella ja auttaa näin valmistajia selviytymään häiriöstä, joihin ei ollut voitu varautua ennakolta.</w:t>
      </w:r>
    </w:p>
    <w:p w14:paraId="4570DF4E" w14:textId="4595E2EC" w:rsidR="00514191" w:rsidRPr="00DA5119" w:rsidRDefault="00514191">
      <w:pPr>
        <w:pStyle w:val="Heading2"/>
        <w:numPr>
          <w:ilvl w:val="0"/>
          <w:numId w:val="0"/>
        </w:numPr>
        <w:overflowPunct w:val="0"/>
        <w:autoSpaceDE w:val="0"/>
        <w:autoSpaceDN w:val="0"/>
        <w:adjustRightInd w:val="0"/>
      </w:pPr>
    </w:p>
    <w:p w14:paraId="5F00571C" w14:textId="77777777" w:rsidR="00D33391" w:rsidRPr="00DA5119" w:rsidRDefault="00D33391" w:rsidP="00D33391">
      <w:pPr>
        <w:pStyle w:val="Heading1"/>
        <w:keepNext/>
        <w:numPr>
          <w:ilvl w:val="0"/>
          <w:numId w:val="4"/>
        </w:numPr>
        <w:overflowPunct w:val="0"/>
        <w:autoSpaceDE w:val="0"/>
        <w:autoSpaceDN w:val="0"/>
        <w:adjustRightInd w:val="0"/>
        <w:rPr>
          <w:b/>
        </w:rPr>
      </w:pPr>
      <w:r>
        <w:rPr>
          <w:b/>
        </w:rPr>
        <w:t>Yleistä</w:t>
      </w:r>
    </w:p>
    <w:p w14:paraId="4570DF4F" w14:textId="77777777" w:rsidR="00514191" w:rsidRPr="00DA5119" w:rsidRDefault="00514191" w:rsidP="00480AEE"/>
    <w:p w14:paraId="391CCBD3" w14:textId="1E899F04" w:rsidR="00D33391" w:rsidRPr="00DA5119" w:rsidRDefault="00D33391" w:rsidP="00D33391">
      <w:pPr>
        <w:pStyle w:val="Heading2"/>
      </w:pPr>
      <w:r>
        <w:t>ETSK toistaa kantansa, jonka mukaan maatalous- ja metsätraktoreissa käytettävien moottoreiden haitallisten hiilimonoksidi-, typen oksidi-, hiilivety- ja hiukkaspäästöjen vähentäminen on välttämätöntä, jotta edistetään EU:n ilmanlaatutavoitteiden saavuttamista.</w:t>
      </w:r>
    </w:p>
    <w:p w14:paraId="20C42151" w14:textId="758529E1" w:rsidR="00D33391" w:rsidRPr="00DA5119" w:rsidRDefault="00D33391">
      <w:pPr>
        <w:pStyle w:val="Heading2"/>
        <w:numPr>
          <w:ilvl w:val="0"/>
          <w:numId w:val="0"/>
        </w:numPr>
      </w:pPr>
    </w:p>
    <w:p w14:paraId="1F3ED4BA" w14:textId="595F61D4" w:rsidR="00D33391" w:rsidRPr="00DA5119" w:rsidRDefault="00D33391" w:rsidP="00D33391">
      <w:pPr>
        <w:pStyle w:val="Heading2"/>
      </w:pPr>
      <w:r>
        <w:t>Lausunnossaan</w:t>
      </w:r>
      <w:r w:rsidR="00A51544" w:rsidRPr="00DA5119">
        <w:rPr>
          <w:rStyle w:val="FootnoteReference"/>
        </w:rPr>
        <w:footnoteReference w:id="2"/>
      </w:r>
      <w:r>
        <w:t xml:space="preserve"> asetuksesta (EU) 2016/1628 ETSK kehotti hyväksymään uuden asetuksen nopeasti, kun otetaan huomioon vakava kansanterveydellinen huoli palamisprosesseissa syntyvistä nanohiukkasista sekä korkea suojelun taso, joka voidaan saavuttaa ottamalla käyttöön liikkuvien työkoneiden moottoreille ehdotettu vaihe V.</w:t>
      </w:r>
    </w:p>
    <w:p w14:paraId="4873B52B" w14:textId="77777777" w:rsidR="00D33391" w:rsidRPr="00DA5119" w:rsidRDefault="00D33391">
      <w:pPr>
        <w:pStyle w:val="Heading2"/>
        <w:numPr>
          <w:ilvl w:val="0"/>
          <w:numId w:val="0"/>
        </w:numPr>
      </w:pPr>
    </w:p>
    <w:p w14:paraId="19FA050B" w14:textId="014092D3" w:rsidR="00D33391" w:rsidRPr="00DA5119" w:rsidRDefault="00D33391" w:rsidP="00D33391">
      <w:pPr>
        <w:pStyle w:val="Heading2"/>
      </w:pPr>
      <w:r>
        <w:t>ETSK on kuitenkin hyvin tietoinen siitä, että covid-19-kriisi on aiheuttanut poikkeuksellisen tilanteen, joka vaikuttaa moniin eri aloihin. Kriisi on muun muassa aiheuttanut täydellisiä katkoksia osien ja komponenttien toimituksiin, minkä vuoksi valmistajille on jäänyt varastoon moottoreita ja keskeneräisiä tuotteita.</w:t>
      </w:r>
    </w:p>
    <w:p w14:paraId="27A04958" w14:textId="77777777" w:rsidR="00D33391" w:rsidRPr="00DA5119" w:rsidRDefault="00D33391">
      <w:pPr>
        <w:pStyle w:val="Heading2"/>
        <w:numPr>
          <w:ilvl w:val="0"/>
          <w:numId w:val="0"/>
        </w:numPr>
      </w:pPr>
    </w:p>
    <w:p w14:paraId="4B2A8059" w14:textId="3B38FAE0" w:rsidR="00D33391" w:rsidRPr="00DA5119" w:rsidRDefault="00D33391" w:rsidP="00D33391">
      <w:pPr>
        <w:pStyle w:val="Heading2"/>
      </w:pPr>
      <w:r>
        <w:t>Tämän seurauksena monet moottoreiden ja koneiden valmistajat eivät pysty noudattamaan asetuksessa vahvistettuja määräaikoja kärsimättä vakavaa taloudellista vahinkoa.</w:t>
      </w:r>
    </w:p>
    <w:p w14:paraId="388AA5D5" w14:textId="77777777" w:rsidR="00D33391" w:rsidRPr="00DA5119" w:rsidRDefault="00D33391">
      <w:pPr>
        <w:pStyle w:val="Heading2"/>
        <w:numPr>
          <w:ilvl w:val="0"/>
          <w:numId w:val="0"/>
        </w:numPr>
      </w:pPr>
    </w:p>
    <w:p w14:paraId="3A08AB81" w14:textId="42D58B2F" w:rsidR="00D33391" w:rsidRPr="00DA5119" w:rsidRDefault="00D33391" w:rsidP="00D33391">
      <w:pPr>
        <w:pStyle w:val="Heading2"/>
      </w:pPr>
      <w:r>
        <w:t>Lisäksi ETSK tiedostaa täysin, että kriisiä ei voitu eikä olisi voitu ennakoida.</w:t>
      </w:r>
    </w:p>
    <w:p w14:paraId="79A84682" w14:textId="77777777" w:rsidR="00D33391" w:rsidRPr="00DA5119" w:rsidRDefault="00D33391" w:rsidP="001F0289">
      <w:pPr>
        <w:pStyle w:val="Heading2"/>
        <w:numPr>
          <w:ilvl w:val="0"/>
          <w:numId w:val="0"/>
        </w:numPr>
      </w:pPr>
    </w:p>
    <w:p w14:paraId="47A5D07A" w14:textId="13FD3CB1" w:rsidR="00D33391" w:rsidRPr="00DA5119" w:rsidRDefault="00D33391" w:rsidP="00D33391">
      <w:pPr>
        <w:pStyle w:val="Heading2"/>
      </w:pPr>
      <w:r>
        <w:t>Näin ollen ETSK kannattaa määräajan pidentämistä yhdellä vuodella ehdotuksen mukaisesti ja pitää tätä kohtuullisena ja oikeasuhtaisena toimenpiteenä, jolla varmistetaan sisämarkkinoiden moitteeton toiminta ja taataan korkeatasoinen suoja yleiselle turvallisuudelle ja ympäristölle.</w:t>
      </w:r>
    </w:p>
    <w:p w14:paraId="4570DF56" w14:textId="2D5FB3DE" w:rsidR="009443A1" w:rsidRDefault="009443A1" w:rsidP="00480AEE"/>
    <w:p w14:paraId="4B840ABD" w14:textId="335B30F9" w:rsidR="008D73C4" w:rsidRPr="00DA5119" w:rsidRDefault="008D73C4" w:rsidP="00480AEE">
      <w:r>
        <w:t>Bryssel 11. kesäkuuta 2020</w:t>
      </w:r>
    </w:p>
    <w:p w14:paraId="4570DF57" w14:textId="42C480C7" w:rsidR="009443A1" w:rsidRDefault="009443A1" w:rsidP="00480AEE"/>
    <w:p w14:paraId="078D185B" w14:textId="77777777" w:rsidR="008D73C4" w:rsidRPr="00DA5119" w:rsidRDefault="008D73C4" w:rsidP="00480AEE"/>
    <w:p w14:paraId="4570DF58" w14:textId="3CEB9FF5" w:rsidR="009443A1" w:rsidRPr="00DA5119" w:rsidRDefault="009443A1" w:rsidP="00480AEE"/>
    <w:p w14:paraId="36644B4D" w14:textId="77777777" w:rsidR="00D55FA8" w:rsidRPr="00DA5119" w:rsidRDefault="00D55FA8" w:rsidP="00480AEE"/>
    <w:p w14:paraId="4570DF59" w14:textId="4E60C69B" w:rsidR="009443A1" w:rsidRPr="00DA5119" w:rsidRDefault="00E713A2" w:rsidP="00480AEE">
      <w:pPr>
        <w:tabs>
          <w:tab w:val="left" w:pos="4618"/>
        </w:tabs>
      </w:pPr>
      <w:r>
        <w:t>Luca Jahier</w:t>
      </w:r>
    </w:p>
    <w:p w14:paraId="4570DF5A" w14:textId="08A5799A" w:rsidR="00514191" w:rsidRPr="00DA5119" w:rsidRDefault="00E713A2" w:rsidP="00480AEE">
      <w:r>
        <w:t>Euroopan talous- ja sosiaalikomitean puheenjohtaja</w:t>
      </w:r>
    </w:p>
    <w:p w14:paraId="4570DF5B" w14:textId="77777777" w:rsidR="008A69A1" w:rsidRPr="00DA5119" w:rsidRDefault="008A69A1" w:rsidP="00480AEE"/>
    <w:p w14:paraId="4570DF5C" w14:textId="77777777" w:rsidR="008A69A1" w:rsidRPr="00DA5119" w:rsidRDefault="008A69A1" w:rsidP="00480AEE">
      <w:pPr>
        <w:jc w:val="center"/>
      </w:pPr>
      <w:r>
        <w:t>_____________</w:t>
      </w:r>
    </w:p>
    <w:sectPr w:rsidR="008A69A1" w:rsidRPr="00DA5119" w:rsidSect="00F3488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A708F" w14:textId="77777777" w:rsidR="00487C67" w:rsidRDefault="00487C67">
      <w:r>
        <w:separator/>
      </w:r>
    </w:p>
  </w:endnote>
  <w:endnote w:type="continuationSeparator" w:id="0">
    <w:p w14:paraId="14BF3DC5" w14:textId="77777777" w:rsidR="00487C67" w:rsidRDefault="0048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F68" w14:textId="48E27918" w:rsidR="00AA713C" w:rsidRPr="00F3488C" w:rsidRDefault="00F3488C" w:rsidP="00F3488C">
    <w:pPr>
      <w:pStyle w:val="Footer"/>
    </w:pPr>
    <w:r>
      <w:t xml:space="preserve">INT/910 – EESC-2020-02619-00-00-AC-TRA (FR) </w:t>
    </w:r>
    <w:r>
      <w:fldChar w:fldCharType="begin"/>
    </w:r>
    <w:r>
      <w:instrText xml:space="preserve"> PAGE  \* Arabic  \* MERGEFORMAT </w:instrText>
    </w:r>
    <w:r>
      <w:fldChar w:fldCharType="separate"/>
    </w:r>
    <w:r w:rsidR="00680E2D">
      <w:rPr>
        <w:noProof/>
      </w:rPr>
      <w:t>1</w:t>
    </w:r>
    <w:r>
      <w:fldChar w:fldCharType="end"/>
    </w:r>
    <w:r>
      <w:t>/</w:t>
    </w:r>
    <w:r>
      <w:fldChar w:fldCharType="begin"/>
    </w:r>
    <w:r>
      <w:instrText xml:space="preserve"> = </w:instrText>
    </w:r>
    <w:r w:rsidR="0049385B">
      <w:fldChar w:fldCharType="begin"/>
    </w:r>
    <w:r w:rsidR="0049385B">
      <w:instrText xml:space="preserve"> NUMPAGES </w:instrText>
    </w:r>
    <w:r w:rsidR="0049385B">
      <w:fldChar w:fldCharType="separate"/>
    </w:r>
    <w:r w:rsidR="00680E2D">
      <w:rPr>
        <w:noProof/>
      </w:rPr>
      <w:instrText>1</w:instrText>
    </w:r>
    <w:r w:rsidR="0049385B">
      <w:rPr>
        <w:noProof/>
      </w:rPr>
      <w:fldChar w:fldCharType="end"/>
    </w:r>
    <w:r>
      <w:instrText xml:space="preserve"> </w:instrText>
    </w:r>
    <w:r>
      <w:fldChar w:fldCharType="separate"/>
    </w:r>
    <w:r w:rsidR="00680E2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F6D" w14:textId="77777777" w:rsidR="00062D18" w:rsidRPr="00F3488C" w:rsidRDefault="00062D18" w:rsidP="00F34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F6E" w14:textId="2F9CB692" w:rsidR="00062D18" w:rsidRPr="00F3488C" w:rsidRDefault="00F3488C" w:rsidP="00F3488C">
    <w:pPr>
      <w:pStyle w:val="Footer"/>
    </w:pPr>
    <w:r>
      <w:t xml:space="preserve">INT/910 – EESC-2020-02619-00-00-AC-TRA (FR) </w:t>
    </w:r>
    <w:r>
      <w:fldChar w:fldCharType="begin"/>
    </w:r>
    <w:r>
      <w:instrText xml:space="preserve"> PAGE  \* Arabic  \* MERGEFORMAT </w:instrText>
    </w:r>
    <w:r>
      <w:fldChar w:fldCharType="separate"/>
    </w:r>
    <w:r w:rsidR="00914030">
      <w:rPr>
        <w:noProof/>
      </w:rPr>
      <w:t>3</w:t>
    </w:r>
    <w:r>
      <w:fldChar w:fldCharType="end"/>
    </w:r>
    <w:r>
      <w:t>/</w:t>
    </w:r>
    <w:r>
      <w:fldChar w:fldCharType="begin"/>
    </w:r>
    <w:r>
      <w:instrText xml:space="preserve"> = </w:instrText>
    </w:r>
    <w:r w:rsidR="0049385B">
      <w:fldChar w:fldCharType="begin"/>
    </w:r>
    <w:r w:rsidR="0049385B">
      <w:instrText xml:space="preserve"> NUMPAGES </w:instrText>
    </w:r>
    <w:r w:rsidR="0049385B">
      <w:fldChar w:fldCharType="separate"/>
    </w:r>
    <w:r w:rsidR="00914030">
      <w:rPr>
        <w:noProof/>
      </w:rPr>
      <w:instrText>4</w:instrText>
    </w:r>
    <w:r w:rsidR="0049385B">
      <w:rPr>
        <w:noProof/>
      </w:rPr>
      <w:fldChar w:fldCharType="end"/>
    </w:r>
    <w:r>
      <w:instrText xml:space="preserve"> </w:instrText>
    </w:r>
    <w:r>
      <w:fldChar w:fldCharType="separate"/>
    </w:r>
    <w:r w:rsidR="00914030">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F70" w14:textId="77777777" w:rsidR="00062D18" w:rsidRPr="00F3488C" w:rsidRDefault="00062D18" w:rsidP="00F34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9958" w14:textId="77777777" w:rsidR="00487C67" w:rsidRDefault="00487C67">
      <w:r>
        <w:separator/>
      </w:r>
    </w:p>
  </w:footnote>
  <w:footnote w:type="continuationSeparator" w:id="0">
    <w:p w14:paraId="5179D231" w14:textId="77777777" w:rsidR="00487C67" w:rsidRDefault="00487C67">
      <w:r>
        <w:continuationSeparator/>
      </w:r>
    </w:p>
  </w:footnote>
  <w:footnote w:id="1">
    <w:p w14:paraId="54A71A89" w14:textId="4E575FF4" w:rsidR="00A51544" w:rsidRPr="00A51544" w:rsidRDefault="00A51544">
      <w:pPr>
        <w:pStyle w:val="FootnoteText"/>
      </w:pPr>
      <w:r>
        <w:rPr>
          <w:rStyle w:val="FootnoteReference"/>
        </w:rPr>
        <w:footnoteRef/>
      </w:r>
      <w:r>
        <w:t xml:space="preserve"> </w:t>
      </w:r>
      <w:r>
        <w:tab/>
        <w:t>Euroopan parlamentin ja neuvoston asetus (EU) 2016/1628, annettu 14 päivänä syyskuuta 2016, liikkuviin työkoneisiin tarkoitettujen polttomoottoreiden kaasu- ja hiukkaspäästöjen raja-arvoihin ja tyyppihyväksyntään liittyvistä vaatimuksista, asetusten (EU) N:o 1024/2012 ja (EU) N:o 167/2013 muuttamisesta ja direktiivin 97/68/EY muuttamisesta ja kumoamisesta (</w:t>
      </w:r>
      <w:hyperlink r:id="rId1" w:history="1">
        <w:r>
          <w:rPr>
            <w:rStyle w:val="Hyperlink"/>
          </w:rPr>
          <w:t>EUVL L 252, 16.9.2016, s. 53</w:t>
        </w:r>
      </w:hyperlink>
      <w:r>
        <w:t xml:space="preserve">) – ETSK:n lausunto: </w:t>
      </w:r>
      <w:hyperlink r:id="rId2" w:history="1">
        <w:r>
          <w:rPr>
            <w:rStyle w:val="Hyperlink"/>
          </w:rPr>
          <w:t>EUVL C 251, 31.7.2015, s. 31</w:t>
        </w:r>
      </w:hyperlink>
    </w:p>
  </w:footnote>
  <w:footnote w:id="2">
    <w:p w14:paraId="4BEBDD43" w14:textId="34DC2CC1" w:rsidR="00A51544" w:rsidRPr="00A51544" w:rsidRDefault="00A51544">
      <w:pPr>
        <w:pStyle w:val="FootnoteText"/>
      </w:pPr>
      <w:r>
        <w:rPr>
          <w:rStyle w:val="FootnoteReference"/>
        </w:rPr>
        <w:footnoteRef/>
      </w:r>
      <w:r>
        <w:t xml:space="preserve"> </w:t>
      </w:r>
      <w:r>
        <w:tab/>
      </w:r>
      <w:hyperlink r:id="rId3" w:history="1">
        <w:r>
          <w:rPr>
            <w:rStyle w:val="Hyperlink"/>
          </w:rPr>
          <w:t>EUVL C 251, 31.7.2015, s. 31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F6B" w14:textId="77777777" w:rsidR="00062D18" w:rsidRPr="00F3488C" w:rsidRDefault="00062D18" w:rsidP="00F3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F6C" w14:textId="5D3B59E5" w:rsidR="00062D18" w:rsidRPr="00F3488C" w:rsidRDefault="00062D18" w:rsidP="00F34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F6F" w14:textId="77777777" w:rsidR="00062D18" w:rsidRPr="00F3488C" w:rsidRDefault="00062D18" w:rsidP="00F3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6FE337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6D"/>
    <w:rsid w:val="000262F4"/>
    <w:rsid w:val="00027CB2"/>
    <w:rsid w:val="00062D18"/>
    <w:rsid w:val="000631C2"/>
    <w:rsid w:val="00087DDD"/>
    <w:rsid w:val="000903CE"/>
    <w:rsid w:val="001028CD"/>
    <w:rsid w:val="00113118"/>
    <w:rsid w:val="00126B3D"/>
    <w:rsid w:val="00160640"/>
    <w:rsid w:val="001E0F1C"/>
    <w:rsid w:val="001F0289"/>
    <w:rsid w:val="002005E1"/>
    <w:rsid w:val="00250800"/>
    <w:rsid w:val="002565CD"/>
    <w:rsid w:val="00275CB9"/>
    <w:rsid w:val="00287B0E"/>
    <w:rsid w:val="002B3689"/>
    <w:rsid w:val="003017E6"/>
    <w:rsid w:val="0031743D"/>
    <w:rsid w:val="003348DA"/>
    <w:rsid w:val="00341828"/>
    <w:rsid w:val="00361534"/>
    <w:rsid w:val="00364015"/>
    <w:rsid w:val="00372528"/>
    <w:rsid w:val="003828E4"/>
    <w:rsid w:val="003B5E45"/>
    <w:rsid w:val="003D790A"/>
    <w:rsid w:val="00425171"/>
    <w:rsid w:val="00432098"/>
    <w:rsid w:val="00461596"/>
    <w:rsid w:val="00480AEE"/>
    <w:rsid w:val="004811BD"/>
    <w:rsid w:val="00487C67"/>
    <w:rsid w:val="0049385B"/>
    <w:rsid w:val="00514191"/>
    <w:rsid w:val="00534FE2"/>
    <w:rsid w:val="005D23A1"/>
    <w:rsid w:val="005E3A77"/>
    <w:rsid w:val="006378CB"/>
    <w:rsid w:val="00641BAE"/>
    <w:rsid w:val="00642C91"/>
    <w:rsid w:val="00651F6C"/>
    <w:rsid w:val="00680E2D"/>
    <w:rsid w:val="006F0B60"/>
    <w:rsid w:val="00705D58"/>
    <w:rsid w:val="007867B6"/>
    <w:rsid w:val="00790CA3"/>
    <w:rsid w:val="007D73F4"/>
    <w:rsid w:val="007E48C8"/>
    <w:rsid w:val="007E7286"/>
    <w:rsid w:val="007E7FF7"/>
    <w:rsid w:val="007F5D67"/>
    <w:rsid w:val="008024F9"/>
    <w:rsid w:val="008042F0"/>
    <w:rsid w:val="00823135"/>
    <w:rsid w:val="0082334D"/>
    <w:rsid w:val="008279E7"/>
    <w:rsid w:val="008328A3"/>
    <w:rsid w:val="00840299"/>
    <w:rsid w:val="00851445"/>
    <w:rsid w:val="00856B60"/>
    <w:rsid w:val="00875104"/>
    <w:rsid w:val="0088322C"/>
    <w:rsid w:val="008900E5"/>
    <w:rsid w:val="008A69A1"/>
    <w:rsid w:val="008B3B4D"/>
    <w:rsid w:val="008B5785"/>
    <w:rsid w:val="008D73C4"/>
    <w:rsid w:val="008D7EB0"/>
    <w:rsid w:val="00914030"/>
    <w:rsid w:val="00931F76"/>
    <w:rsid w:val="0094082D"/>
    <w:rsid w:val="00941447"/>
    <w:rsid w:val="00942AE6"/>
    <w:rsid w:val="009443A1"/>
    <w:rsid w:val="00982760"/>
    <w:rsid w:val="009A6C2A"/>
    <w:rsid w:val="009D0B3F"/>
    <w:rsid w:val="009F150F"/>
    <w:rsid w:val="00A07CFC"/>
    <w:rsid w:val="00A51544"/>
    <w:rsid w:val="00AA713C"/>
    <w:rsid w:val="00AD6B9C"/>
    <w:rsid w:val="00AF2C2A"/>
    <w:rsid w:val="00B26098"/>
    <w:rsid w:val="00B4545F"/>
    <w:rsid w:val="00B736B4"/>
    <w:rsid w:val="00B8126C"/>
    <w:rsid w:val="00BA49E0"/>
    <w:rsid w:val="00BB1F3E"/>
    <w:rsid w:val="00C1075D"/>
    <w:rsid w:val="00C13E64"/>
    <w:rsid w:val="00C21AA9"/>
    <w:rsid w:val="00C50322"/>
    <w:rsid w:val="00C959B1"/>
    <w:rsid w:val="00CC2443"/>
    <w:rsid w:val="00CD4A61"/>
    <w:rsid w:val="00CF3A8C"/>
    <w:rsid w:val="00CF460E"/>
    <w:rsid w:val="00D2016D"/>
    <w:rsid w:val="00D33391"/>
    <w:rsid w:val="00D361B7"/>
    <w:rsid w:val="00D50BBE"/>
    <w:rsid w:val="00D55FA8"/>
    <w:rsid w:val="00D73AB0"/>
    <w:rsid w:val="00D941A3"/>
    <w:rsid w:val="00DA5119"/>
    <w:rsid w:val="00DA5835"/>
    <w:rsid w:val="00DC083E"/>
    <w:rsid w:val="00DD0699"/>
    <w:rsid w:val="00DD47B6"/>
    <w:rsid w:val="00E221A8"/>
    <w:rsid w:val="00E24886"/>
    <w:rsid w:val="00E713A2"/>
    <w:rsid w:val="00E82DCA"/>
    <w:rsid w:val="00E914BB"/>
    <w:rsid w:val="00ED125E"/>
    <w:rsid w:val="00ED18BB"/>
    <w:rsid w:val="00ED650D"/>
    <w:rsid w:val="00F3488C"/>
    <w:rsid w:val="00F35FE1"/>
    <w:rsid w:val="00F606A3"/>
    <w:rsid w:val="00F65EC6"/>
    <w:rsid w:val="00F673B7"/>
    <w:rsid w:val="00F67504"/>
    <w:rsid w:val="00F71844"/>
    <w:rsid w:val="00FC1C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0DF19"/>
  <w15:docId w15:val="{146733B7-4447-4A40-9E8B-A7067849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5B"/>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qFormat/>
    <w:rsid w:val="002005E1"/>
    <w:pPr>
      <w:numPr>
        <w:numId w:val="1"/>
      </w:numPr>
      <w:ind w:left="567" w:hanging="567"/>
      <w:outlineLvl w:val="0"/>
    </w:pPr>
    <w:rPr>
      <w:kern w:val="28"/>
    </w:rPr>
  </w:style>
  <w:style w:type="paragraph" w:styleId="Heading2">
    <w:name w:val="heading 2"/>
    <w:basedOn w:val="Normal"/>
    <w:next w:val="Normal"/>
    <w:link w:val="Heading2Char"/>
    <w:qFormat/>
    <w:rsid w:val="002005E1"/>
    <w:pPr>
      <w:numPr>
        <w:ilvl w:val="1"/>
        <w:numId w:val="1"/>
      </w:numPr>
      <w:ind w:left="567" w:hanging="567"/>
      <w:outlineLvl w:val="1"/>
    </w:pPr>
  </w:style>
  <w:style w:type="paragraph" w:styleId="Heading3">
    <w:name w:val="heading 3"/>
    <w:basedOn w:val="Normal"/>
    <w:next w:val="Normal"/>
    <w:link w:val="Heading3Char"/>
    <w:qFormat/>
    <w:rsid w:val="002005E1"/>
    <w:pPr>
      <w:numPr>
        <w:ilvl w:val="2"/>
        <w:numId w:val="1"/>
      </w:numPr>
      <w:ind w:left="567" w:hanging="567"/>
      <w:outlineLvl w:val="2"/>
    </w:pPr>
  </w:style>
  <w:style w:type="paragraph" w:styleId="Heading4">
    <w:name w:val="heading 4"/>
    <w:basedOn w:val="Normal"/>
    <w:next w:val="Normal"/>
    <w:link w:val="Heading4Char"/>
    <w:qFormat/>
    <w:rsid w:val="002005E1"/>
    <w:pPr>
      <w:numPr>
        <w:ilvl w:val="3"/>
        <w:numId w:val="1"/>
      </w:numPr>
      <w:ind w:left="567" w:hanging="567"/>
      <w:outlineLvl w:val="3"/>
    </w:pPr>
  </w:style>
  <w:style w:type="paragraph" w:styleId="Heading5">
    <w:name w:val="heading 5"/>
    <w:basedOn w:val="Normal"/>
    <w:next w:val="Normal"/>
    <w:link w:val="Heading5Char"/>
    <w:qFormat/>
    <w:rsid w:val="002005E1"/>
    <w:pPr>
      <w:numPr>
        <w:ilvl w:val="4"/>
        <w:numId w:val="1"/>
      </w:numPr>
      <w:ind w:left="567" w:hanging="567"/>
      <w:outlineLvl w:val="4"/>
    </w:pPr>
  </w:style>
  <w:style w:type="paragraph" w:styleId="Heading6">
    <w:name w:val="heading 6"/>
    <w:basedOn w:val="Normal"/>
    <w:next w:val="Normal"/>
    <w:link w:val="Heading6Char"/>
    <w:qFormat/>
    <w:rsid w:val="002005E1"/>
    <w:pPr>
      <w:numPr>
        <w:ilvl w:val="5"/>
        <w:numId w:val="1"/>
      </w:numPr>
      <w:ind w:left="567" w:hanging="567"/>
      <w:outlineLvl w:val="5"/>
    </w:pPr>
  </w:style>
  <w:style w:type="paragraph" w:styleId="Heading7">
    <w:name w:val="heading 7"/>
    <w:basedOn w:val="Normal"/>
    <w:next w:val="Normal"/>
    <w:link w:val="Heading7Char"/>
    <w:qFormat/>
    <w:rsid w:val="002005E1"/>
    <w:pPr>
      <w:numPr>
        <w:ilvl w:val="6"/>
        <w:numId w:val="1"/>
      </w:numPr>
      <w:ind w:left="567" w:hanging="567"/>
      <w:outlineLvl w:val="6"/>
    </w:pPr>
  </w:style>
  <w:style w:type="paragraph" w:styleId="Heading8">
    <w:name w:val="heading 8"/>
    <w:basedOn w:val="Normal"/>
    <w:next w:val="Normal"/>
    <w:link w:val="Heading8Char"/>
    <w:qFormat/>
    <w:rsid w:val="002005E1"/>
    <w:pPr>
      <w:numPr>
        <w:ilvl w:val="7"/>
        <w:numId w:val="1"/>
      </w:numPr>
      <w:ind w:left="567" w:hanging="567"/>
      <w:outlineLvl w:val="7"/>
    </w:pPr>
  </w:style>
  <w:style w:type="paragraph" w:styleId="Heading9">
    <w:name w:val="heading 9"/>
    <w:basedOn w:val="Normal"/>
    <w:next w:val="Normal"/>
    <w:link w:val="Heading9Char"/>
    <w:qFormat/>
    <w:rsid w:val="002005E1"/>
    <w:pPr>
      <w:numPr>
        <w:ilvl w:val="8"/>
        <w:numId w:val="1"/>
      </w:numPr>
      <w:ind w:left="567" w:hanging="567"/>
      <w:outlineLvl w:val="8"/>
    </w:pPr>
  </w:style>
  <w:style w:type="character" w:default="1" w:styleId="DefaultParagraphFont">
    <w:name w:val="Default Paragraph Font"/>
    <w:uiPriority w:val="1"/>
    <w:semiHidden/>
    <w:unhideWhenUsed/>
    <w:rsid w:val="004938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385B"/>
  </w:style>
  <w:style w:type="character" w:customStyle="1" w:styleId="Heading1Char">
    <w:name w:val="Heading 1 Char"/>
    <w:basedOn w:val="DefaultParagraphFont"/>
    <w:link w:val="Heading1"/>
    <w:rsid w:val="004F5363"/>
    <w:rPr>
      <w:kern w:val="28"/>
      <w:sz w:val="22"/>
      <w:szCs w:val="22"/>
      <w:lang w:val="fi-FI" w:eastAsia="en-US" w:bidi="ar-SA"/>
    </w:rPr>
  </w:style>
  <w:style w:type="character" w:customStyle="1" w:styleId="Heading2Char">
    <w:name w:val="Heading 2 Char"/>
    <w:basedOn w:val="DefaultParagraphFont"/>
    <w:link w:val="Heading2"/>
    <w:rsid w:val="004F5363"/>
    <w:rPr>
      <w:sz w:val="22"/>
      <w:szCs w:val="22"/>
      <w:lang w:val="fi-FI" w:eastAsia="en-US" w:bidi="ar-SA"/>
    </w:rPr>
  </w:style>
  <w:style w:type="character" w:customStyle="1" w:styleId="Heading3Char">
    <w:name w:val="Heading 3 Char"/>
    <w:basedOn w:val="DefaultParagraphFont"/>
    <w:link w:val="Heading3"/>
    <w:rsid w:val="004F5363"/>
    <w:rPr>
      <w:sz w:val="22"/>
      <w:szCs w:val="22"/>
      <w:lang w:val="fi-FI" w:eastAsia="en-US" w:bidi="ar-SA"/>
    </w:rPr>
  </w:style>
  <w:style w:type="character" w:customStyle="1" w:styleId="Heading4Char">
    <w:name w:val="Heading 4 Char"/>
    <w:basedOn w:val="DefaultParagraphFont"/>
    <w:link w:val="Heading4"/>
    <w:rsid w:val="004F5363"/>
    <w:rPr>
      <w:sz w:val="22"/>
      <w:szCs w:val="22"/>
      <w:lang w:val="fi-FI" w:eastAsia="en-US" w:bidi="ar-SA"/>
    </w:rPr>
  </w:style>
  <w:style w:type="character" w:customStyle="1" w:styleId="Heading5Char">
    <w:name w:val="Heading 5 Char"/>
    <w:basedOn w:val="DefaultParagraphFont"/>
    <w:link w:val="Heading5"/>
    <w:rsid w:val="004F5363"/>
    <w:rPr>
      <w:sz w:val="22"/>
      <w:szCs w:val="22"/>
      <w:lang w:val="fi-FI" w:eastAsia="en-US" w:bidi="ar-SA"/>
    </w:rPr>
  </w:style>
  <w:style w:type="character" w:customStyle="1" w:styleId="Heading6Char">
    <w:name w:val="Heading 6 Char"/>
    <w:basedOn w:val="DefaultParagraphFont"/>
    <w:link w:val="Heading6"/>
    <w:rsid w:val="004F5363"/>
    <w:rPr>
      <w:sz w:val="22"/>
      <w:szCs w:val="22"/>
      <w:lang w:val="fi-FI" w:eastAsia="en-US" w:bidi="ar-SA"/>
    </w:rPr>
  </w:style>
  <w:style w:type="character" w:customStyle="1" w:styleId="Heading7Char">
    <w:name w:val="Heading 7 Char"/>
    <w:basedOn w:val="DefaultParagraphFont"/>
    <w:link w:val="Heading7"/>
    <w:rsid w:val="004F5363"/>
    <w:rPr>
      <w:sz w:val="22"/>
      <w:szCs w:val="22"/>
      <w:lang w:val="fi-FI" w:eastAsia="en-US" w:bidi="ar-SA"/>
    </w:rPr>
  </w:style>
  <w:style w:type="character" w:customStyle="1" w:styleId="Heading8Char">
    <w:name w:val="Heading 8 Char"/>
    <w:basedOn w:val="DefaultParagraphFont"/>
    <w:link w:val="Heading8"/>
    <w:rsid w:val="004F5363"/>
    <w:rPr>
      <w:sz w:val="22"/>
      <w:szCs w:val="22"/>
      <w:lang w:val="fi-FI" w:eastAsia="en-US" w:bidi="ar-SA"/>
    </w:rPr>
  </w:style>
  <w:style w:type="character" w:customStyle="1" w:styleId="Heading9Char">
    <w:name w:val="Heading 9 Char"/>
    <w:basedOn w:val="DefaultParagraphFont"/>
    <w:link w:val="Heading9"/>
    <w:rsid w:val="004F5363"/>
    <w:rPr>
      <w:sz w:val="22"/>
      <w:szCs w:val="22"/>
      <w:lang w:val="fi-FI" w:eastAsia="en-US" w:bidi="ar-SA"/>
    </w:rPr>
  </w:style>
  <w:style w:type="paragraph" w:styleId="Footer">
    <w:name w:val="footer"/>
    <w:basedOn w:val="Normal"/>
    <w:link w:val="FooterChar"/>
    <w:qFormat/>
    <w:rsid w:val="002005E1"/>
  </w:style>
  <w:style w:type="character" w:customStyle="1" w:styleId="FooterChar">
    <w:name w:val="Footer Char"/>
    <w:basedOn w:val="DefaultParagraphFont"/>
    <w:link w:val="Footer"/>
    <w:rsid w:val="004F5363"/>
    <w:rPr>
      <w:sz w:val="22"/>
      <w:szCs w:val="22"/>
      <w:lang w:eastAsia="en-US" w:bidi="ar-SA"/>
    </w:rPr>
  </w:style>
  <w:style w:type="paragraph" w:styleId="FootnoteText">
    <w:name w:val="footnote text"/>
    <w:basedOn w:val="Normal"/>
    <w:link w:val="FootnoteTextChar"/>
    <w:qFormat/>
    <w:rsid w:val="002005E1"/>
    <w:pPr>
      <w:keepLines/>
      <w:spacing w:after="60" w:line="240" w:lineRule="auto"/>
      <w:ind w:left="567" w:hanging="567"/>
    </w:pPr>
    <w:rPr>
      <w:sz w:val="16"/>
    </w:rPr>
  </w:style>
  <w:style w:type="character" w:customStyle="1" w:styleId="FootnoteTextChar">
    <w:name w:val="Footnote Text Char"/>
    <w:basedOn w:val="DefaultParagraphFont"/>
    <w:link w:val="FootnoteText"/>
    <w:rsid w:val="004F5363"/>
    <w:rPr>
      <w:sz w:val="16"/>
      <w:szCs w:val="22"/>
      <w:lang w:val="fi-FI" w:eastAsia="en-US" w:bidi="ar-SA"/>
    </w:rPr>
  </w:style>
  <w:style w:type="paragraph" w:styleId="Header">
    <w:name w:val="header"/>
    <w:basedOn w:val="Normal"/>
    <w:link w:val="HeaderChar"/>
    <w:qFormat/>
    <w:rsid w:val="002005E1"/>
  </w:style>
  <w:style w:type="character" w:customStyle="1" w:styleId="HeaderChar">
    <w:name w:val="Header Char"/>
    <w:basedOn w:val="DefaultParagraphFont"/>
    <w:link w:val="Header"/>
    <w:rsid w:val="004F5363"/>
    <w:rPr>
      <w:sz w:val="22"/>
      <w:szCs w:val="22"/>
      <w:lang w:eastAsia="en-US" w:bidi="ar-SA"/>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2005E1"/>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2005E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005E1"/>
    <w:rPr>
      <w:rFonts w:ascii="Tahoma" w:hAnsi="Tahoma" w:cs="Tahoma"/>
      <w:sz w:val="16"/>
      <w:szCs w:val="16"/>
      <w:lang w:val="fi-FI" w:eastAsia="en-US" w:bidi="ar-SA"/>
    </w:rPr>
  </w:style>
  <w:style w:type="paragraph" w:customStyle="1" w:styleId="quotes">
    <w:name w:val="quotes"/>
    <w:basedOn w:val="Normal"/>
    <w:next w:val="Normal"/>
    <w:rsid w:val="002005E1"/>
    <w:pPr>
      <w:ind w:left="720"/>
    </w:pPr>
    <w:rPr>
      <w:i/>
    </w:rPr>
  </w:style>
  <w:style w:type="table" w:styleId="TableGrid">
    <w:name w:val="Table Grid"/>
    <w:basedOn w:val="TableNormal"/>
    <w:rsid w:val="00651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31189">
      <w:bodyDiv w:val="1"/>
      <w:marLeft w:val="0"/>
      <w:marRight w:val="0"/>
      <w:marTop w:val="0"/>
      <w:marBottom w:val="0"/>
      <w:divBdr>
        <w:top w:val="none" w:sz="0" w:space="0" w:color="auto"/>
        <w:left w:val="none" w:sz="0" w:space="0" w:color="auto"/>
        <w:bottom w:val="none" w:sz="0" w:space="0" w:color="auto"/>
        <w:right w:val="none" w:sz="0" w:space="0" w:color="auto"/>
      </w:divBdr>
    </w:div>
    <w:div w:id="18216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I/ALL/?uri=CELEX:52014AE6067" TargetMode="External"/><Relationship Id="rId2" Type="http://schemas.openxmlformats.org/officeDocument/2006/relationships/hyperlink" Target="https://eur-lex.europa.eu/LexUriServ/LexUriServ.do?uri=OJ:C:2015:251:SOM:FI:HTML" TargetMode="External"/><Relationship Id="rId1" Type="http://schemas.openxmlformats.org/officeDocument/2006/relationships/hyperlink" Target="https://eur-lex.europa.eu/LexUriServ/LexUriServ.do?uri=OJ:L:2016:252:SOM:F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VV634QRNENMJ-1826176032-4023</_dlc_DocId>
    <_dlc_DocIdUrl xmlns="cda99570-6012-4083-bfeb-7d32ad1ce1a3">
      <Url>http://dm2016/eesc/2020/_layouts/15/DocIdRedir.aspx?ID=VV634QRNENMJ-1826176032-4023</Url>
      <Description>VV634QRNENMJ-1826176032-4023</Description>
    </_dlc_DocIdUrl>
    <Procedure xmlns="cda99570-6012-4083-bfeb-7d32ad1ce1a3">2020/0113(COD)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2020-06-15T12:00:00+00:00</ProductionDate>
    <FicheYear xmlns="cda99570-6012-4083-bfeb-7d32ad1ce1a3">2020</FicheYear>
    <DocumentNumber xmlns="73bac5c4-8a91-4dc7-b814-def809a8194f">2619</DocumentNumber>
    <DocumentVersion xmlns="cda99570-6012-4083-bfeb-7d32ad1ce1a3">0</DocumentVersion>
    <DossierNumber xmlns="cda99570-6012-4083-bfeb-7d32ad1ce1a3">910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94</Value>
      <Value>70</Value>
      <Value>69</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Rapporteur xmlns="cda99570-6012-4083-bfeb-7d32ad1ce1a3">LARGHI </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5998</FicheNumber>
    <DocumentPart xmlns="cda99570-6012-4083-bfeb-7d32ad1ce1a3">0</DocumentPart>
    <AdoptionDate xmlns="cda99570-6012-4083-bfeb-7d32ad1ce1a3">2020-06-11T12:00:00+00:00</AdoptionDate>
    <RequestingService xmlns="cda99570-6012-4083-bfeb-7d32ad1ce1a3">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OriginalSender xmlns="cda99570-6012-4083-bfeb-7d32ad1ce1a3">
      <UserInfo>
        <DisplayName/>
        <AccountId xsi:nil="true"/>
        <AccountType/>
      </UserInfo>
    </OriginalSend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6" ma:contentTypeDescription="Defines the documents for Document Manager V2" ma:contentTypeScope="" ma:versionID="90d1ce4af4993adbdf3a980725a3f5b7">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3e5e7d4e32999ff469c6592f589330b2"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B1380-DED8-4DE1-BEEA-542AAD0524FB}"/>
</file>

<file path=customXml/itemProps2.xml><?xml version="1.0" encoding="utf-8"?>
<ds:datastoreItem xmlns:ds="http://schemas.openxmlformats.org/officeDocument/2006/customXml" ds:itemID="{EF0A27F7-C32D-4BA5-ACCB-71C602158403}"/>
</file>

<file path=customXml/itemProps3.xml><?xml version="1.0" encoding="utf-8"?>
<ds:datastoreItem xmlns:ds="http://schemas.openxmlformats.org/officeDocument/2006/customXml" ds:itemID="{174B9098-6694-4FE2-8276-326711DA7B0A}"/>
</file>

<file path=customXml/itemProps4.xml><?xml version="1.0" encoding="utf-8"?>
<ds:datastoreItem xmlns:ds="http://schemas.openxmlformats.org/officeDocument/2006/customXml" ds:itemID="{ADBB5DB2-CE7C-4004-9D3B-4447F1183C39}"/>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Proposition de règlement du PE et du Conseil modifiant le règlement (UE) 2016/1628 en ce qui concerne ses dispositions transitoires-COVID-19</vt:lpstr>
    </vt:vector>
  </TitlesOfParts>
  <Company>CESE-CdR</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Ehdotus Euroopan parlamentin ja neuvoston asetukseksi asetuksen (EU) 2016/1628 muuttamisesta sen siirtymäsäännösten osalta covid-19-kriisin vaikutusten huomioon ottamiseksi</dc:title>
  <dc:subject>Komitean lausunto</dc:subject>
  <dc:creator>Emma Nieddu</dc:creator>
  <cp:keywords>EESC-2020-02619-00-00-AC-TRA-FR</cp:keywords>
  <dc:description>Rapporteur: LARGHI  - Original language: FR - Date of document: 15/06/2020 - Date of meeting:  - External documents: COM(2020)233 - Administrator: M. RODRIGUES LOBO Luis Antero</dc:description>
  <cp:lastModifiedBy>TDriveSVCUserAccpt</cp:lastModifiedBy>
  <cp:revision>10</cp:revision>
  <cp:lastPrinted>2004-02-16T15:16:00Z</cp:lastPrinted>
  <dcterms:created xsi:type="dcterms:W3CDTF">2020-06-12T16:40:00Z</dcterms:created>
  <dcterms:modified xsi:type="dcterms:W3CDTF">2022-03-19T23:13:00Z</dcterms:modified>
  <cp:category>INT/910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12/06/2020, 05/06/2020, 04/02/2016, 04/02/2016</vt:lpwstr>
  </property>
  <property fmtid="{D5CDD505-2E9C-101B-9397-08002B2CF9AE}" pid="4" name="Pref_Time">
    <vt:lpwstr>18:40:29, 09:32:34, 14:06:24, 11:38:50</vt:lpwstr>
  </property>
  <property fmtid="{D5CDD505-2E9C-101B-9397-08002B2CF9AE}" pid="5" name="Pref_User">
    <vt:lpwstr>hnic, amett, jhvi, htoo</vt:lpwstr>
  </property>
  <property fmtid="{D5CDD505-2E9C-101B-9397-08002B2CF9AE}" pid="6" name="Pref_FileName">
    <vt:lpwstr>EESC-2020-02619-00-00-AC-ORI.docx, EESC-2020-02619-00-00-PAC-TRA-FR-CRR.docx, EESC-2016-00717-00-00-PAC-TRA-EN-CRR.docx, EESC-2016-00717-00-00-PAC-CRR-EN.docx</vt:lpwstr>
  </property>
  <property fmtid="{D5CDD505-2E9C-101B-9397-08002B2CF9AE}" pid="7" name="ContentTypeId">
    <vt:lpwstr>0x010100EA97B91038054C99906057A708A1480A00524A67B585C316428632A8520FD87D85</vt:lpwstr>
  </property>
  <property fmtid="{D5CDD505-2E9C-101B-9397-08002B2CF9AE}" pid="8" name="_dlc_DocIdItemGuid">
    <vt:lpwstr>59ba687b-1d4b-45bd-acfc-40e95da2c1e0</vt:lpwstr>
  </property>
  <property fmtid="{D5CDD505-2E9C-101B-9397-08002B2CF9AE}" pid="9" name="Procedure">
    <vt:lpwstr>2020/0113(COD)</vt:lpwstr>
  </property>
  <property fmtid="{D5CDD505-2E9C-101B-9397-08002B2CF9AE}" pid="10" name="AvailableTranslations">
    <vt:lpwstr>4;#EN|f2175f21-25d7-44a3-96da-d6a61b075e1b;#9;#PL|1e03da61-4678-4e07-b136-b5024ca9197b;#69;#GA|762d2456-c427-4ecb-b312-af3dad8e258c;#13;#IT|0774613c-01ed-4e5d-a25d-11d2388de825;#30;#LT|a7ff5ce7-6123-4f68-865a-a57c31810414;#29;#PT|50ccc04a-eadd-42ae-a0cb-acaf45f812ba;#10;#DE|f6b31e5a-26fa-4935-b661-318e46daf27e;#45;#FI|87606a43-d45f-42d6-b8c9-e1a3457db5b7;#48;#RO|feb747a2-64cd-4299-af12-4833ddc30497;#44;#BG|1a1b3951-7821-4e6a-85f5-5673fc08bd2c;#34;#SL|98a412ae-eb01-49e9-ae3d-585a81724cfc;#16;#ES|e7a6b05b-ae16-40c8-add9-68b64b03aeba;#38;#EL|6d4f4d51-af9b-4650-94b4-4276bee85c91;#24;#LV|46f7e311-5d9f-4663-b433-18aeccb7ace7;#47;#ET|ff6c3f4c-b02c-4c3c-ab07-2c37995a7a0a;#40;#SV|c2ed69e7-a339-43d7-8f22-d93680a92aa0;#41;#NL|55c6556c-b4f4-441d-9acf-c498d4f838bd;#32;#DA|5d49c027-8956-412b-aa16-e85a0f96ad0e;#46;#SK|46d9fce0-ef79-4f71-b89b-cd6aa82426b8;#39;#HU|6b229040-c589-4408-b4c1-4285663d20a8;#31;#CS|72f9705b-0217-4fd3-bea2-cbc7ed80e26e;#11;#FR|d2afafd3-4c81-4f60-8f52-ee33f2f54ff3;#43;#HR|2f555653-ed1a-4fe6-8362-9082d95989e5;#36;#MT|7df99101-6854-4a26-b53a-b88c0da02c26</vt:lpwstr>
  </property>
  <property fmtid="{D5CDD505-2E9C-101B-9397-08002B2CF9AE}" pid="11" name="DocumentType_0">
    <vt:lpwstr>AC|a4cc1d15-fb08-4679-ad46-e4e0cba5fe92</vt:lpwstr>
  </property>
  <property fmtid="{D5CDD505-2E9C-101B-9397-08002B2CF9AE}" pid="12" name="DossierName_0">
    <vt:lpwstr>INT|e1edfecb-ed43-427b-bb02-d45fe6645386</vt:lpwstr>
  </property>
  <property fmtid="{D5CDD505-2E9C-101B-9397-08002B2CF9AE}" pid="13" name="DocumentSource_0">
    <vt:lpwstr>EESC|422833ec-8d7e-4e65-8e4e-8bed07ffb729</vt:lpwstr>
  </property>
  <property fmtid="{D5CDD505-2E9C-101B-9397-08002B2CF9AE}" pid="14" name="DocumentNumber">
    <vt:i4>2619</vt:i4>
  </property>
  <property fmtid="{D5CDD505-2E9C-101B-9397-08002B2CF9AE}" pid="15" name="FicheYear">
    <vt:i4>2020</vt:i4>
  </property>
  <property fmtid="{D5CDD505-2E9C-101B-9397-08002B2CF9AE}" pid="16" name="DocumentVersion">
    <vt:i4>0</vt:i4>
  </property>
  <property fmtid="{D5CDD505-2E9C-101B-9397-08002B2CF9AE}" pid="17" name="DossierNumber">
    <vt:i4>910</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94;#INT|e1edfecb-ed43-427b-bb02-d45fe6645386</vt:lpwstr>
  </property>
  <property fmtid="{D5CDD505-2E9C-101B-9397-08002B2CF9AE}" pid="21" name="DocumentSource">
    <vt:lpwstr>1;#EESC|422833ec-8d7e-4e65-8e4e-8bed07ffb729</vt:lpwstr>
  </property>
  <property fmtid="{D5CDD505-2E9C-101B-9397-08002B2CF9AE}" pid="22" name="AdoptionDate">
    <vt:filetime>2020-06-11T12:00:00Z</vt:filetime>
  </property>
  <property fmtid="{D5CDD505-2E9C-101B-9397-08002B2CF9AE}" pid="23" name="DocumentType">
    <vt:lpwstr>70;#AC|a4cc1d15-fb08-4679-ad46-e4e0cba5fe92</vt:lpwstr>
  </property>
  <property fmtid="{D5CDD505-2E9C-101B-9397-08002B2CF9AE}" pid="24" name="RequestingService">
    <vt:lpwstr>Marché unique, production, consommation</vt:lpwstr>
  </property>
  <property fmtid="{D5CDD505-2E9C-101B-9397-08002B2CF9AE}" pid="25" name="Confidentiality">
    <vt:lpwstr>5;#Unrestricted|826e22d7-d029-4ec0-a450-0c28ff673572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11;#FR|d2afafd3-4c81-4f60-8f52-ee33f2f54ff3</vt:lpwstr>
  </property>
  <property fmtid="{D5CDD505-2E9C-101B-9397-08002B2CF9AE}" pid="29" name="MeetingName">
    <vt:lpwstr/>
  </property>
  <property fmtid="{D5CDD505-2E9C-101B-9397-08002B2CF9AE}" pid="30" name="AvailableTranslations_0">
    <vt:lpwstr>PL|1e03da61-4678-4e07-b136-b5024ca9197b;IT|0774613c-01ed-4e5d-a25d-11d2388de825;LT|a7ff5ce7-6123-4f68-865a-a57c31810414;PT|50ccc04a-eadd-42ae-a0cb-acaf45f812ba;DE|f6b31e5a-26fa-4935-b661-318e46daf27e;SL|98a412ae-eb01-49e9-ae3d-585a81724cfc;EL|6d4f4d51-af9</vt:lpwstr>
  </property>
  <property fmtid="{D5CDD505-2E9C-101B-9397-08002B2CF9AE}" pid="31" name="DocumentStatus_0">
    <vt:lpwstr>TRA|150d2a88-1431-44e6-a8ca-0bb753ab8672</vt:lpwstr>
  </property>
  <property fmtid="{D5CDD505-2E9C-101B-9397-08002B2CF9AE}" pid="32" name="OriginalLanguage_0">
    <vt:lpwstr>FR|d2afafd3-4c81-4f60-8f52-ee33f2f54ff3</vt:lpwstr>
  </property>
  <property fmtid="{D5CDD505-2E9C-101B-9397-08002B2CF9AE}" pid="33" name="TaxCatchAll">
    <vt:lpwstr>36;#MT|7df99101-6854-4a26-b53a-b88c0da02c26;#34;#SL|98a412ae-eb01-49e9-ae3d-585a81724cfc;#70;#AC|a4cc1d15-fb08-4679-ad46-e4e0cba5fe92;#47;#ET|ff6c3f4c-b02c-4c3c-ab07-2c37995a7a0a;#31;#CS|72f9705b-0217-4fd3-bea2-cbc7ed80e26e;#30;#LT|a7ff5ce7-6123-4f68-865a</vt:lpwstr>
  </property>
  <property fmtid="{D5CDD505-2E9C-101B-9397-08002B2CF9AE}" pid="34" name="Rapporteur">
    <vt:lpwstr>LARGHI </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5998</vt:i4>
  </property>
  <property fmtid="{D5CDD505-2E9C-101B-9397-08002B2CF9AE}" pid="39" name="DocumentLanguage">
    <vt:lpwstr>45;#FI|87606a43-d45f-42d6-b8c9-e1a3457db5b7</vt:lpwstr>
  </property>
  <property fmtid="{D5CDD505-2E9C-101B-9397-08002B2CF9AE}" pid="40" name="_docset_NoMedatataSyncRequired">
    <vt:lpwstr>False</vt:lpwstr>
  </property>
</Properties>
</file>