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7.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003E6C87" w14:paraId="51CA4476" w14:textId="77777777">
        <w:trPr>
          <w:jc w:val="center"/>
        </w:trPr>
        <w:tc>
          <w:tcPr>
            <w:tcW w:w="5000" w:type="pct"/>
            <w:vAlign w:val="center"/>
          </w:tcPr>
          <w:p w:rsidRPr="008238CC" w:rsidR="00574C9B" w:rsidP="006125A1" w:rsidRDefault="00574C9B" w14:paraId="22A93E5D" w14:textId="77777777">
            <w:pPr>
              <w:jc w:val="center"/>
              <w:rPr>
                <w:b/>
                <w:sz w:val="72"/>
                <w:szCs w:val="72"/>
              </w:rPr>
            </w:pPr>
            <w:r>
              <w:rPr>
                <w:b/>
                <w:sz w:val="72"/>
              </w:rPr>
              <w:t>СТАНОВИЩЕ</w:t>
            </w:r>
          </w:p>
        </w:tc>
      </w:tr>
      <w:tr w:rsidR="003E6C87" w14:paraId="43DA8FCA" w14:textId="77777777">
        <w:trPr>
          <w:trHeight w:val="567"/>
          <w:jc w:val="center"/>
        </w:trPr>
        <w:tc>
          <w:tcPr>
            <w:tcW w:w="5000" w:type="pct"/>
            <w:vAlign w:val="center"/>
          </w:tcPr>
          <w:p w:rsidRPr="008238CC" w:rsidR="00574C9B" w:rsidP="006125A1" w:rsidRDefault="00574C9B" w14:paraId="57B13211" w14:textId="77777777">
            <w:pPr>
              <w:jc w:val="center"/>
              <w:rPr>
                <w:sz w:val="24"/>
                <w:szCs w:val="24"/>
              </w:rPr>
            </w:pPr>
            <w:r>
              <w:rPr>
                <w:sz w:val="24"/>
              </w:rPr>
              <w:t>Европейски икономически и социален комитет</w:t>
            </w:r>
          </w:p>
        </w:tc>
      </w:tr>
      <w:tr w:rsidR="003E6C87" w14:paraId="34EB5658" w14:textId="77777777">
        <w:trPr>
          <w:jc w:val="center"/>
        </w:trPr>
        <w:tc>
          <w:tcPr>
            <w:tcW w:w="5000" w:type="pct"/>
            <w:vAlign w:val="center"/>
          </w:tcPr>
          <w:p w:rsidRPr="008238CC" w:rsidR="00574C9B" w:rsidP="006125A1" w:rsidRDefault="009C4100" w14:paraId="32CB1B84" w14:textId="77777777">
            <w:pPr>
              <w:jc w:val="center"/>
              <w:rPr>
                <w:b/>
                <w:sz w:val="44"/>
                <w:szCs w:val="44"/>
              </w:rPr>
            </w:pPr>
            <w:r>
              <w:rPr>
                <w:b/>
                <w:sz w:val="44"/>
              </w:rPr>
              <w:t>COVID-19: Ролята на гражданското общество за възстановяването и устойчивостта на Евро-средиземноморския регион</w:t>
            </w:r>
          </w:p>
        </w:tc>
      </w:tr>
      <w:tr w:rsidR="003E6C87" w14:paraId="4452F7DB" w14:textId="77777777">
        <w:trPr>
          <w:jc w:val="center"/>
        </w:trPr>
        <w:tc>
          <w:tcPr>
            <w:tcW w:w="5000" w:type="pct"/>
            <w:vAlign w:val="center"/>
          </w:tcPr>
          <w:p w:rsidRPr="00833285" w:rsidR="00574C9B" w:rsidP="006125A1" w:rsidRDefault="00574C9B" w14:paraId="435C3B12" w14:textId="77777777">
            <w:pPr>
              <w:overflowPunct w:val="0"/>
              <w:autoSpaceDE w:val="0"/>
              <w:autoSpaceDN w:val="0"/>
              <w:adjustRightInd w:val="0"/>
              <w:jc w:val="center"/>
              <w:textAlignment w:val="baseline"/>
              <w:rPr>
                <w:b/>
                <w:position w:val="24"/>
                <w:sz w:val="24"/>
                <w:szCs w:val="24"/>
              </w:rPr>
            </w:pPr>
            <w:r>
              <w:rPr>
                <w:sz w:val="24"/>
              </w:rPr>
              <w:t>_____________</w:t>
            </w:r>
          </w:p>
        </w:tc>
      </w:tr>
      <w:tr w:rsidR="003E6C87" w14:paraId="7204182C" w14:textId="77777777">
        <w:trPr>
          <w:jc w:val="center"/>
        </w:trPr>
        <w:tc>
          <w:tcPr>
            <w:tcW w:w="5000" w:type="pct"/>
            <w:vAlign w:val="center"/>
          </w:tcPr>
          <w:p w:rsidRPr="00833285" w:rsidR="00574C9B" w:rsidP="006125A1" w:rsidRDefault="009C4100" w14:paraId="3DFB6FFD" w14:textId="77777777">
            <w:pPr>
              <w:jc w:val="center"/>
              <w:rPr>
                <w:sz w:val="24"/>
                <w:szCs w:val="24"/>
              </w:rPr>
            </w:pPr>
            <w:r>
              <w:rPr>
                <w:sz w:val="24"/>
              </w:rPr>
              <w:t>COVID-19: Ролята на гражданското общество за възстановяването и устойчивостта на Евро-средиземноморския регион</w:t>
            </w:r>
          </w:p>
        </w:tc>
      </w:tr>
      <w:tr w:rsidR="003E6C87" w14:paraId="4850059F" w14:textId="77777777">
        <w:trPr>
          <w:jc w:val="center"/>
        </w:trPr>
        <w:tc>
          <w:tcPr>
            <w:tcW w:w="5000" w:type="pct"/>
            <w:vAlign w:val="center"/>
          </w:tcPr>
          <w:p w:rsidRPr="00833285" w:rsidR="00574C9B" w:rsidP="006125A1" w:rsidRDefault="00574C9B" w14:paraId="222032F8" w14:textId="77777777">
            <w:pPr>
              <w:jc w:val="center"/>
              <w:rPr>
                <w:sz w:val="24"/>
                <w:szCs w:val="24"/>
              </w:rPr>
            </w:pPr>
          </w:p>
        </w:tc>
      </w:tr>
      <w:tr w:rsidR="003E6C87" w14:paraId="7F088759" w14:textId="77777777">
        <w:trPr>
          <w:jc w:val="center"/>
        </w:trPr>
        <w:tc>
          <w:tcPr>
            <w:tcW w:w="5000" w:type="pct"/>
            <w:vAlign w:val="center"/>
          </w:tcPr>
          <w:p w:rsidRPr="00833285" w:rsidR="00574C9B" w:rsidP="006125A1" w:rsidRDefault="009C4100" w14:paraId="40F48113" w14:textId="77777777">
            <w:pPr>
              <w:jc w:val="center"/>
              <w:rPr>
                <w:b/>
                <w:sz w:val="24"/>
                <w:szCs w:val="24"/>
              </w:rPr>
            </w:pPr>
            <w:r>
              <w:rPr>
                <w:b/>
                <w:sz w:val="24"/>
              </w:rPr>
              <w:t>REX/537</w:t>
            </w:r>
          </w:p>
        </w:tc>
      </w:tr>
      <w:tr w:rsidR="003E6C87" w14:paraId="1BA05B74" w14:textId="77777777">
        <w:trPr>
          <w:jc w:val="center"/>
        </w:trPr>
        <w:tc>
          <w:tcPr>
            <w:tcW w:w="5000" w:type="pct"/>
            <w:vAlign w:val="center"/>
          </w:tcPr>
          <w:p w:rsidRPr="00833285" w:rsidR="00574C9B" w:rsidP="006125A1" w:rsidRDefault="00574C9B" w14:paraId="053D4C2F" w14:textId="77777777">
            <w:pPr>
              <w:jc w:val="center"/>
              <w:rPr>
                <w:sz w:val="24"/>
                <w:szCs w:val="24"/>
              </w:rPr>
            </w:pPr>
          </w:p>
        </w:tc>
      </w:tr>
      <w:tr w:rsidR="003E6C87" w14:paraId="6515B544" w14:textId="77777777">
        <w:trPr>
          <w:jc w:val="center"/>
        </w:trPr>
        <w:tc>
          <w:tcPr>
            <w:tcW w:w="5000" w:type="pct"/>
            <w:vAlign w:val="center"/>
          </w:tcPr>
          <w:p w:rsidRPr="00833285" w:rsidR="00574C9B" w:rsidP="006125A1" w:rsidRDefault="00574C9B" w14:paraId="71E12357" w14:textId="77777777">
            <w:pPr>
              <w:jc w:val="center"/>
              <w:rPr>
                <w:sz w:val="24"/>
                <w:szCs w:val="24"/>
              </w:rPr>
            </w:pPr>
            <w:r>
              <w:rPr>
                <w:sz w:val="24"/>
              </w:rPr>
              <w:t xml:space="preserve">Докладчик: </w:t>
            </w:r>
            <w:r>
              <w:rPr>
                <w:b/>
                <w:color w:val="000000"/>
                <w:sz w:val="24"/>
              </w:rPr>
              <w:t xml:space="preserve">Angelo Pagliara </w:t>
            </w:r>
          </w:p>
        </w:tc>
      </w:tr>
    </w:tbl>
    <w:p w:rsidRPr="008238CC" w:rsidR="00574C9B" w:rsidP="00574C9B" w:rsidRDefault="00574C9B" w14:paraId="5F36E24E" w14:textId="77777777">
      <w:r>
        <w:rPr>
          <w:noProof/>
          <w:sz w:val="20"/>
          <w:lang w:eastAsia="bg-BG"/>
        </w:rPr>
        <mc:AlternateContent>
          <mc:Choice Requires="wps">
            <w:drawing>
              <wp:anchor distT="0" distB="0" distL="114300" distR="114300" simplePos="0" relativeHeight="251659264" behindDoc="1" locked="0" layoutInCell="0" allowOverlap="1" wp14:editId="26DA523B" wp14:anchorId="3465221C">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238CC" w:rsidR="00574C9B" w:rsidP="00574C9B" w:rsidRDefault="00574C9B" w14:paraId="470D743F" w14:textId="77777777">
                            <w:pPr>
                              <w:jc w:val="center"/>
                            </w:pPr>
                            <w:r>
                              <w:rPr>
                                <w:rFonts w:ascii="Arial" w:hAnsi="Arial"/>
                                <w:b/>
                                <w:sz w:val="48"/>
                              </w:rPr>
                              <w:t>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65221C">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i+tw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">
                <v:textbox>
                  <w:txbxContent>
                    <w:p w:rsidRPr="008238CC" w:rsidR="00574C9B" w:rsidP="00574C9B" w:rsidRDefault="00574C9B" w14:paraId="470D743F" w14:textId="77777777">
                      <w:pPr>
                        <w:jc w:val="center"/>
                      </w:pPr>
                      <w:r>
                        <w:rPr>
                          <w:rFonts w:ascii="Arial" w:hAnsi="Arial"/>
                          <w:b/>
                          <w:sz w:val="48"/>
                        </w:rPr>
                        <w:t>BG</w:t>
                      </w:r>
                    </w:p>
                  </w:txbxContent>
                </v:textbox>
                <w10:wrap anchorx="margin" anchory="page"/>
              </v:shape>
            </w:pict>
          </mc:Fallback>
        </mc:AlternateContent>
      </w:r>
    </w:p>
    <w:p w:rsidRPr="008238CC" w:rsidR="00574C9B" w:rsidP="00574C9B" w:rsidRDefault="00574C9B" w14:paraId="5794C212" w14:textId="77777777"/>
    <w:p w:rsidRPr="008238CC" w:rsidR="00574C9B" w:rsidP="00574C9B" w:rsidRDefault="00574C9B" w14:paraId="00E6106C" w14:textId="77777777">
      <w:pPr>
        <w:sectPr w:rsidRPr="008238CC" w:rsidR="00574C9B" w:rsidSect="00833285">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3E6C87" w14:paraId="4B3B7834" w14:textId="77777777">
        <w:tc>
          <w:tcPr>
            <w:tcW w:w="3085" w:type="dxa"/>
          </w:tcPr>
          <w:p w:rsidRPr="008238CC" w:rsidR="00AC5114" w:rsidP="0058411F" w:rsidRDefault="00AC5114" w14:paraId="244900F9" w14:textId="77777777">
            <w:pPr>
              <w:autoSpaceDE w:val="0"/>
              <w:autoSpaceDN w:val="0"/>
              <w:jc w:val="left"/>
              <w:rPr>
                <w:szCs w:val="20"/>
              </w:rPr>
            </w:pPr>
            <w:r>
              <w:lastRenderedPageBreak/>
              <w:t>Решение на Пленарната асамблея</w:t>
            </w:r>
          </w:p>
        </w:tc>
        <w:tc>
          <w:tcPr>
            <w:tcW w:w="6204" w:type="dxa"/>
            <w:vAlign w:val="bottom"/>
          </w:tcPr>
          <w:p w:rsidRPr="008238CC" w:rsidR="00AC5114" w:rsidP="0058411F" w:rsidRDefault="00373016" w14:paraId="1FB704AF" w14:textId="77777777">
            <w:pPr>
              <w:autoSpaceDE w:val="0"/>
              <w:autoSpaceDN w:val="0"/>
              <w:jc w:val="left"/>
              <w:rPr>
                <w:szCs w:val="20"/>
              </w:rPr>
            </w:pPr>
            <w:r>
              <w:t>25.3.2021 г.</w:t>
            </w:r>
          </w:p>
        </w:tc>
      </w:tr>
      <w:tr w:rsidR="003E6C87" w14:paraId="46FC1782" w14:textId="77777777">
        <w:tc>
          <w:tcPr>
            <w:tcW w:w="3085" w:type="dxa"/>
          </w:tcPr>
          <w:p w:rsidRPr="008238CC" w:rsidR="00AC5114" w:rsidP="0058411F" w:rsidRDefault="00AC5114" w14:paraId="437F396F" w14:textId="77777777">
            <w:pPr>
              <w:autoSpaceDE w:val="0"/>
              <w:autoSpaceDN w:val="0"/>
              <w:jc w:val="left"/>
              <w:rPr>
                <w:szCs w:val="20"/>
              </w:rPr>
            </w:pPr>
            <w:r>
              <w:t>Правно основание</w:t>
            </w:r>
          </w:p>
        </w:tc>
        <w:tc>
          <w:tcPr>
            <w:tcW w:w="6204" w:type="dxa"/>
            <w:vAlign w:val="bottom"/>
          </w:tcPr>
          <w:p w:rsidRPr="008238CC" w:rsidR="00AC5114" w:rsidP="0058411F" w:rsidRDefault="00AC5114" w14:paraId="02CB294D" w14:textId="77777777">
            <w:pPr>
              <w:autoSpaceDE w:val="0"/>
              <w:autoSpaceDN w:val="0"/>
              <w:jc w:val="left"/>
              <w:rPr>
                <w:szCs w:val="20"/>
              </w:rPr>
            </w:pPr>
            <w:r>
              <w:t>Член 52, параграф 2 от Правилника за дейността</w:t>
            </w:r>
          </w:p>
        </w:tc>
      </w:tr>
      <w:tr w:rsidR="003E6C87" w14:paraId="1EB97A8B" w14:textId="77777777">
        <w:tc>
          <w:tcPr>
            <w:tcW w:w="3085" w:type="dxa"/>
          </w:tcPr>
          <w:p w:rsidRPr="008238CC" w:rsidR="00AC5114" w:rsidP="0058411F" w:rsidRDefault="00AC5114" w14:paraId="501EBA55" w14:textId="77777777">
            <w:pPr>
              <w:autoSpaceDE w:val="0"/>
              <w:autoSpaceDN w:val="0"/>
              <w:jc w:val="left"/>
              <w:rPr>
                <w:szCs w:val="20"/>
              </w:rPr>
            </w:pPr>
          </w:p>
        </w:tc>
        <w:tc>
          <w:tcPr>
            <w:tcW w:w="6204" w:type="dxa"/>
            <w:vAlign w:val="bottom"/>
          </w:tcPr>
          <w:p w:rsidRPr="008238CC" w:rsidR="00AC5114" w:rsidP="0058411F" w:rsidRDefault="00AC5114" w14:paraId="45DF3322" w14:textId="77777777">
            <w:pPr>
              <w:autoSpaceDE w:val="0"/>
              <w:autoSpaceDN w:val="0"/>
              <w:jc w:val="left"/>
              <w:rPr>
                <w:szCs w:val="20"/>
              </w:rPr>
            </w:pPr>
            <w:r>
              <w:t>Становище по собствена инициатива</w:t>
            </w:r>
          </w:p>
        </w:tc>
      </w:tr>
      <w:tr w:rsidR="003E6C87" w14:paraId="413B8535" w14:textId="77777777">
        <w:tc>
          <w:tcPr>
            <w:tcW w:w="3085" w:type="dxa"/>
          </w:tcPr>
          <w:p w:rsidRPr="008238CC" w:rsidR="00AC5114" w:rsidP="0058411F" w:rsidRDefault="00AC5114" w14:paraId="4C9EDC25" w14:textId="77777777">
            <w:pPr>
              <w:autoSpaceDE w:val="0"/>
              <w:autoSpaceDN w:val="0"/>
              <w:jc w:val="left"/>
            </w:pPr>
            <w:r>
              <w:t>Компетентна секция</w:t>
            </w:r>
          </w:p>
        </w:tc>
        <w:tc>
          <w:tcPr>
            <w:tcW w:w="6204" w:type="dxa"/>
            <w:vAlign w:val="bottom"/>
          </w:tcPr>
          <w:p w:rsidRPr="008238CC" w:rsidR="00AC5114" w:rsidP="0058411F" w:rsidRDefault="00373016" w14:paraId="05705362" w14:textId="77777777">
            <w:pPr>
              <w:autoSpaceDE w:val="0"/>
              <w:autoSpaceDN w:val="0"/>
              <w:jc w:val="left"/>
            </w:pPr>
            <w:r>
              <w:t>„Външни отношения“</w:t>
            </w:r>
          </w:p>
        </w:tc>
      </w:tr>
      <w:tr w:rsidR="003E6C87" w14:paraId="085230D1" w14:textId="77777777">
        <w:tc>
          <w:tcPr>
            <w:tcW w:w="3085" w:type="dxa"/>
          </w:tcPr>
          <w:p w:rsidRPr="008238CC" w:rsidR="00AC5114" w:rsidP="0058411F" w:rsidRDefault="00AC5114" w14:paraId="23721B59" w14:textId="77777777">
            <w:pPr>
              <w:autoSpaceDE w:val="0"/>
              <w:autoSpaceDN w:val="0"/>
              <w:jc w:val="left"/>
            </w:pPr>
            <w:r>
              <w:t>Приемане от секцията</w:t>
            </w:r>
          </w:p>
        </w:tc>
        <w:tc>
          <w:tcPr>
            <w:tcW w:w="6204" w:type="dxa"/>
            <w:vAlign w:val="bottom"/>
          </w:tcPr>
          <w:p w:rsidRPr="008238CC" w:rsidR="00AC5114" w:rsidP="0058411F" w:rsidRDefault="00373016" w14:paraId="6B8FD7AE" w14:textId="77777777">
            <w:pPr>
              <w:autoSpaceDE w:val="0"/>
              <w:autoSpaceDN w:val="0"/>
              <w:jc w:val="left"/>
            </w:pPr>
            <w:r>
              <w:t>20.12.2022 г.</w:t>
            </w:r>
          </w:p>
        </w:tc>
      </w:tr>
      <w:tr w:rsidR="003E6C87" w14:paraId="4539640D" w14:textId="77777777">
        <w:tc>
          <w:tcPr>
            <w:tcW w:w="3085" w:type="dxa"/>
          </w:tcPr>
          <w:p w:rsidRPr="008238CC" w:rsidR="0058411F" w:rsidP="0058411F" w:rsidRDefault="0058411F" w14:paraId="5427661E" w14:textId="77777777">
            <w:pPr>
              <w:autoSpaceDE w:val="0"/>
              <w:autoSpaceDN w:val="0"/>
              <w:jc w:val="left"/>
            </w:pPr>
            <w:r>
              <w:t>Приемане на пленарна сесия</w:t>
            </w:r>
          </w:p>
        </w:tc>
        <w:tc>
          <w:tcPr>
            <w:tcW w:w="6204" w:type="dxa"/>
            <w:vAlign w:val="bottom"/>
          </w:tcPr>
          <w:p w:rsidRPr="008238CC" w:rsidR="0058411F" w:rsidP="0058411F" w:rsidRDefault="00373016" w14:paraId="06855C7A" w14:textId="77777777">
            <w:pPr>
              <w:autoSpaceDE w:val="0"/>
              <w:autoSpaceDN w:val="0"/>
              <w:jc w:val="left"/>
            </w:pPr>
            <w:r>
              <w:t>24.1.2023 г.</w:t>
            </w:r>
          </w:p>
        </w:tc>
      </w:tr>
      <w:tr w:rsidR="003E6C87" w14:paraId="019FF873" w14:textId="77777777">
        <w:tc>
          <w:tcPr>
            <w:tcW w:w="3085" w:type="dxa"/>
          </w:tcPr>
          <w:p w:rsidRPr="008238CC" w:rsidR="0058411F" w:rsidP="0058411F" w:rsidRDefault="0058411F" w14:paraId="45C0153F" w14:textId="77777777">
            <w:pPr>
              <w:autoSpaceDE w:val="0"/>
              <w:autoSpaceDN w:val="0"/>
              <w:jc w:val="left"/>
            </w:pPr>
            <w:r>
              <w:t>Пленарна сесия №</w:t>
            </w:r>
          </w:p>
        </w:tc>
        <w:tc>
          <w:tcPr>
            <w:tcW w:w="6204" w:type="dxa"/>
            <w:vAlign w:val="bottom"/>
          </w:tcPr>
          <w:p w:rsidRPr="008238CC" w:rsidR="0058411F" w:rsidP="0058411F" w:rsidRDefault="00373016" w14:paraId="74FBF982" w14:textId="77777777">
            <w:pPr>
              <w:autoSpaceDE w:val="0"/>
              <w:autoSpaceDN w:val="0"/>
              <w:jc w:val="left"/>
            </w:pPr>
            <w:r>
              <w:t>575</w:t>
            </w:r>
          </w:p>
        </w:tc>
      </w:tr>
      <w:tr w:rsidR="003E6C87" w14:paraId="623F42C3" w14:textId="77777777">
        <w:tc>
          <w:tcPr>
            <w:tcW w:w="3085" w:type="dxa"/>
          </w:tcPr>
          <w:p w:rsidRPr="008238CC" w:rsidR="0058411F" w:rsidP="0058411F" w:rsidRDefault="0058411F" w14:paraId="710B0FF1" w14:textId="77777777">
            <w:pPr>
              <w:autoSpaceDE w:val="0"/>
              <w:autoSpaceDN w:val="0"/>
              <w:jc w:val="left"/>
            </w:pPr>
            <w:r>
              <w:t>Резултат от гласуването</w:t>
            </w:r>
            <w:r>
              <w:br/>
            </w:r>
            <w:r w:rsidRPr="00EF0EED">
              <w:rPr>
                <w:spacing w:val="-4"/>
              </w:rPr>
              <w:t>(„за“/„против“/„въздържал се“)</w:t>
            </w:r>
          </w:p>
        </w:tc>
        <w:tc>
          <w:tcPr>
            <w:tcW w:w="6204" w:type="dxa"/>
            <w:vAlign w:val="bottom"/>
          </w:tcPr>
          <w:p w:rsidRPr="008238CC" w:rsidR="0058411F" w:rsidP="0058411F" w:rsidRDefault="00DA1AA8" w14:paraId="506F8B49" w14:textId="77777777">
            <w:pPr>
              <w:autoSpaceDE w:val="0"/>
              <w:autoSpaceDN w:val="0"/>
              <w:jc w:val="left"/>
            </w:pPr>
            <w:r>
              <w:t>183/0/5</w:t>
            </w:r>
          </w:p>
        </w:tc>
      </w:tr>
    </w:tbl>
    <w:p w:rsidRPr="008238CC" w:rsidR="00AC5114" w:rsidP="00574C9B" w:rsidRDefault="00AC5114" w14:paraId="2FF12B7A" w14:textId="77777777"/>
    <w:p w:rsidRPr="008238CC" w:rsidR="00AC5114" w:rsidP="00574C9B" w:rsidRDefault="00AC5114" w14:paraId="521DABBB" w14:textId="77777777">
      <w:pPr>
        <w:sectPr w:rsidRPr="008238CC" w:rsidR="00AC5114" w:rsidSect="00833285">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rsidRPr="004C2B98" w:rsidR="007915C2" w:rsidP="004C2B98" w:rsidRDefault="007915C2" w14:paraId="5751F88D" w14:textId="77777777">
      <w:pPr>
        <w:pStyle w:val="Heading1"/>
        <w:keepNext/>
        <w:rPr>
          <w:bCs/>
        </w:rPr>
      </w:pPr>
      <w:r>
        <w:rPr>
          <w:b/>
        </w:rPr>
        <w:lastRenderedPageBreak/>
        <w:t>Въведение</w:t>
      </w:r>
    </w:p>
    <w:p w:rsidRPr="008238CC" w:rsidR="007915C2" w:rsidP="007915C2" w:rsidRDefault="007915C2" w14:paraId="7EB92E55" w14:textId="77777777">
      <w:pPr>
        <w:keepNext/>
        <w:rPr>
          <w:color w:val="000000"/>
        </w:rPr>
      </w:pPr>
    </w:p>
    <w:p w:rsidRPr="008238CC" w:rsidR="007915C2" w:rsidP="004C2B98" w:rsidRDefault="007915C2" w14:paraId="21336F69" w14:textId="77777777">
      <w:pPr>
        <w:pStyle w:val="Heading2"/>
        <w:rPr>
          <w:rFonts w:eastAsia="Calibri"/>
        </w:rPr>
      </w:pPr>
      <w:r>
        <w:t>Пандемичната криза засегна сериозно Евро-средиземноморския регион, като изостри вече съществуващите проблеми и създаде нови предизвикателства, които се добавят към предишните. Има вероятност предизвиканите социално-икономически последици да увеличат неравенствата, особено в държавите със слаби икономически и производствени системи.</w:t>
      </w:r>
    </w:p>
    <w:p w:rsidRPr="008238CC" w:rsidR="007915C2" w:rsidP="007915C2" w:rsidRDefault="007915C2" w14:paraId="4D45E4C9" w14:textId="77777777">
      <w:pPr>
        <w:rPr>
          <w:rFonts w:eastAsia="Calibri"/>
          <w:color w:val="000000"/>
        </w:rPr>
      </w:pPr>
    </w:p>
    <w:p w:rsidR="00EF0EED" w:rsidP="004C2B98" w:rsidRDefault="007915C2" w14:paraId="7D89326B" w14:textId="706E38C2">
      <w:pPr>
        <w:pStyle w:val="Heading2"/>
      </w:pPr>
      <w:r>
        <w:t>Комитетът за наблюдение „Евромед“ на ЕИСК реши да съсредоточи вниманието си върху ролята на гражданското общество за възстановяването и устойчивостта в Евро</w:t>
      </w:r>
      <w:r w:rsidR="00EF0EED">
        <w:noBreakHyphen/>
      </w:r>
      <w:r>
        <w:t>средиземноморския регион.</w:t>
      </w:r>
    </w:p>
    <w:p w:rsidRPr="008238CC" w:rsidR="007915C2" w:rsidP="007915C2" w:rsidRDefault="007915C2" w14:paraId="3F575CDB" w14:textId="7FD084F2">
      <w:pPr>
        <w:rPr>
          <w:rFonts w:eastAsia="Calibri"/>
          <w:color w:val="000000"/>
        </w:rPr>
      </w:pPr>
    </w:p>
    <w:p w:rsidR="00EF0EED" w:rsidP="004C2B98" w:rsidRDefault="007915C2" w14:paraId="6C7D32AE" w14:textId="4026E8C8">
      <w:pPr>
        <w:pStyle w:val="Heading2"/>
      </w:pPr>
      <w:r>
        <w:t>В изготвянето на доклада участваха организации на гражданското общество от Евро</w:t>
      </w:r>
      <w:r w:rsidR="00EF0EED">
        <w:noBreakHyphen/>
      </w:r>
      <w:r>
        <w:t>средиземноморския регион и икономическите и социални съвети на различни държави. Беше развито специално и тясно сътрудничество с Икономическия, социален и екологичен съвет на Маpоко, който беше един от домакините на срещата на върха на Евромед през 2021 г.</w:t>
      </w:r>
    </w:p>
    <w:p w:rsidRPr="008238CC" w:rsidR="007915C2" w:rsidP="007915C2" w:rsidRDefault="007915C2" w14:paraId="2175CBC5" w14:textId="1360327A">
      <w:pPr>
        <w:rPr>
          <w:rFonts w:eastAsia="Calibri"/>
          <w:color w:val="000000"/>
        </w:rPr>
      </w:pPr>
    </w:p>
    <w:p w:rsidRPr="008238CC" w:rsidR="007915C2" w:rsidP="004C2B98" w:rsidRDefault="007915C2" w14:paraId="3F17138B" w14:textId="77777777">
      <w:pPr>
        <w:pStyle w:val="Heading2"/>
        <w:rPr>
          <w:rFonts w:eastAsia="Calibri"/>
        </w:rPr>
      </w:pPr>
      <w:r>
        <w:t>Затова информационният доклад има значителна добавена стойност благодарение на участието на гражданското общество от двете страни на Средиземно море.</w:t>
      </w:r>
    </w:p>
    <w:p w:rsidRPr="008238CC" w:rsidR="007915C2" w:rsidP="007915C2" w:rsidRDefault="007915C2" w14:paraId="73558034" w14:textId="77777777">
      <w:pPr>
        <w:rPr>
          <w:rFonts w:eastAsia="Calibri"/>
          <w:color w:val="000000"/>
        </w:rPr>
      </w:pPr>
    </w:p>
    <w:p w:rsidRPr="008238CC" w:rsidR="007915C2" w:rsidP="004C2B98" w:rsidRDefault="007915C2" w14:paraId="32243A63" w14:textId="77777777">
      <w:pPr>
        <w:pStyle w:val="Heading2"/>
        <w:rPr>
          <w:rFonts w:eastAsia="Calibri"/>
        </w:rPr>
      </w:pPr>
      <w:r>
        <w:t>Настоящият доклад допълва предходните информационни доклади по темите „Образованието и професионалното обучение в Евро-средиземноморския регион“, „Цифровизацията и МСП в Средиземноморския регион“ и „Устойчиво развитие в Средиземноморския регион“</w:t>
      </w:r>
      <w:r w:rsidRPr="008238CC">
        <w:rPr>
          <w:rFonts w:eastAsia="Calibri"/>
          <w:sz w:val="24"/>
          <w:vertAlign w:val="superscript"/>
        </w:rPr>
        <w:footnoteReference w:id="1"/>
      </w:r>
      <w:r>
        <w:t>.</w:t>
      </w:r>
    </w:p>
    <w:p w:rsidRPr="008238CC" w:rsidR="007915C2" w:rsidP="007915C2" w:rsidRDefault="007915C2" w14:paraId="32E0A63B" w14:textId="77777777">
      <w:pPr>
        <w:outlineLvl w:val="1"/>
        <w:rPr>
          <w:rFonts w:eastAsia="Calibri"/>
          <w:color w:val="000000"/>
          <w:sz w:val="20"/>
          <w:szCs w:val="20"/>
        </w:rPr>
      </w:pPr>
    </w:p>
    <w:p w:rsidRPr="004C2B98" w:rsidR="007915C2" w:rsidP="004C2B98" w:rsidRDefault="007915C2" w14:paraId="6F55FD19" w14:textId="77777777">
      <w:pPr>
        <w:pStyle w:val="Heading1"/>
        <w:rPr>
          <w:bCs/>
        </w:rPr>
      </w:pPr>
      <w:r>
        <w:rPr>
          <w:b/>
        </w:rPr>
        <w:t>Заключения</w:t>
      </w:r>
    </w:p>
    <w:p w:rsidRPr="008238CC" w:rsidR="007915C2" w:rsidP="007915C2" w:rsidRDefault="007915C2" w14:paraId="50DB95DA" w14:textId="77777777">
      <w:pPr>
        <w:keepNext/>
        <w:rPr>
          <w:color w:val="000000"/>
        </w:rPr>
      </w:pPr>
    </w:p>
    <w:p w:rsidRPr="008238CC" w:rsidR="007915C2" w:rsidP="004C2B98" w:rsidRDefault="007915C2" w14:paraId="1310AA15" w14:textId="77777777">
      <w:pPr>
        <w:pStyle w:val="Heading2"/>
      </w:pPr>
      <w:r>
        <w:t>Гражданското общество в световен мащаб реагира незабавно на пандемията, като действаше на първа линия и оказваше съдействие и помощ на населението. Ролята на гражданското общество беше от решаващо значение за смекчаване на отрицателните последици от COVID-19 и в Евро-средиземноморския регион.</w:t>
      </w:r>
    </w:p>
    <w:p w:rsidRPr="008238CC" w:rsidR="007915C2" w:rsidP="007915C2" w:rsidRDefault="007915C2" w14:paraId="0159B1F6" w14:textId="77777777">
      <w:pPr>
        <w:rPr>
          <w:color w:val="000000"/>
        </w:rPr>
      </w:pPr>
    </w:p>
    <w:p w:rsidR="00EF0EED" w:rsidP="004C2B98" w:rsidRDefault="007915C2" w14:paraId="591479AD" w14:textId="3AFE221B">
      <w:pPr>
        <w:pStyle w:val="Heading2"/>
      </w:pPr>
      <w:r>
        <w:t>В Евро-средиземноморския регион организациите на гражданското общество подпомогнаха действията на правителствата, като предоставяха основни услуги и здравно подпомагане, раздаваха лични предпазни средства и допринесоха за разпространяването на съществена информация, особено в отдалечените райони. Техните действия бяха от първостепенно значение и за смекчаването на последиците от пандемията за най</w:t>
      </w:r>
      <w:r w:rsidR="00EF0EED">
        <w:noBreakHyphen/>
      </w:r>
      <w:r>
        <w:t>уязвимите групи от населението, като жени, млади хора, имигранти и лица с увреждания.</w:t>
      </w:r>
    </w:p>
    <w:p w:rsidRPr="008238CC" w:rsidR="007915C2" w:rsidP="007915C2" w:rsidRDefault="007915C2" w14:paraId="2EBB6CBA" w14:textId="522B1013">
      <w:pPr>
        <w:rPr>
          <w:color w:val="000000"/>
        </w:rPr>
      </w:pPr>
    </w:p>
    <w:p w:rsidRPr="008238CC" w:rsidR="007915C2" w:rsidP="004C2B98" w:rsidRDefault="007915C2" w14:paraId="6746F46F" w14:textId="77777777">
      <w:pPr>
        <w:pStyle w:val="Heading2"/>
      </w:pPr>
      <w:r>
        <w:lastRenderedPageBreak/>
        <w:t>Активността на гражданското общество даде възможност да се укрепи солидарността в Евро-средиземноморския регион; много организации на гражданското общество от държавите от южното съседство се активизираха, като създадоха граждански групи за солидарност, експериментираха с иновативни методологии и засилиха своята информационна и координационна дейност онлайн.</w:t>
      </w:r>
    </w:p>
    <w:p w:rsidRPr="008238CC" w:rsidR="007915C2" w:rsidP="007915C2" w:rsidRDefault="007915C2" w14:paraId="281C3080" w14:textId="77777777">
      <w:pPr>
        <w:rPr>
          <w:rFonts w:eastAsia="Calibri"/>
          <w:color w:val="000000"/>
        </w:rPr>
      </w:pPr>
    </w:p>
    <w:p w:rsidRPr="008238CC" w:rsidR="007915C2" w:rsidP="004C2B98" w:rsidRDefault="007915C2" w14:paraId="5C7D60BC" w14:textId="77777777">
      <w:pPr>
        <w:pStyle w:val="Heading2"/>
        <w:rPr>
          <w:rFonts w:eastAsia="Calibri"/>
        </w:rPr>
      </w:pPr>
      <w:r>
        <w:t>ЕИСК е убеден, че справедливото и равноправно икономическо и социално възстановяване е възможно само чрез участието на социалните партньори и организациите на гражданското общество от частния сектор и по-специално на МСП. Възстановяването на Средиземноморския регион и разработването на устойчиви и издържливи социално-икономически модели трябва да бъдат ръководени от принципи като спазването на върховенството на закона, защитата на демократичните ценности и на социалните и човешките права, прилагането на основните конвенции на МОТ и общия ангажимент за постигане на целите за устойчиво развитие и неутралност по отношение на климата.</w:t>
      </w:r>
    </w:p>
    <w:p w:rsidRPr="008238CC" w:rsidR="007915C2" w:rsidP="007915C2" w:rsidRDefault="007915C2" w14:paraId="50F4FC04" w14:textId="77777777">
      <w:pPr>
        <w:rPr>
          <w:rFonts w:eastAsia="Calibri"/>
          <w:color w:val="000000"/>
        </w:rPr>
      </w:pPr>
    </w:p>
    <w:p w:rsidRPr="008238CC" w:rsidR="007915C2" w:rsidP="004C2B98" w:rsidRDefault="007915C2" w14:paraId="6174F89F" w14:textId="77777777">
      <w:pPr>
        <w:pStyle w:val="Heading2"/>
        <w:rPr>
          <w:rFonts w:eastAsia="Calibri"/>
          <w:kern w:val="28"/>
        </w:rPr>
      </w:pPr>
      <w:r>
        <w:t>ЕИСК приветства приемането на новата програма за Средиземноморието и подчертава, че е необходимо всички действия в подкрепа на възстановяването да бъдат ръководени от двойния принцип на развитието и подобряването на качеството на живота на населението на региона.</w:t>
      </w:r>
    </w:p>
    <w:p w:rsidRPr="008238CC" w:rsidR="007915C2" w:rsidP="007915C2" w:rsidRDefault="007915C2" w14:paraId="5F72DD6D" w14:textId="77777777">
      <w:pPr>
        <w:rPr>
          <w:rFonts w:eastAsia="Calibri"/>
          <w:color w:val="000000"/>
        </w:rPr>
      </w:pPr>
    </w:p>
    <w:p w:rsidRPr="008238CC" w:rsidR="007915C2" w:rsidP="004C2B98" w:rsidRDefault="007915C2" w14:paraId="54A58D7E" w14:textId="77777777">
      <w:pPr>
        <w:pStyle w:val="Heading2"/>
        <w:rPr>
          <w:rFonts w:eastAsia="Calibri"/>
        </w:rPr>
      </w:pPr>
      <w:r>
        <w:t>Понастоящем в Средиземноморието са съсредоточени редица социални, политически, екологични, геополитически и имиграционни предизвикателства, които са ключови не само за Европа, но и за целия свят. ЕИСК счита, че нарастващите многостранни предизвикателства в региона е възможно да бъдат преодолени само чрез обновен и ефективен многостранен подход, подкрепян от Европейския съюз.</w:t>
      </w:r>
    </w:p>
    <w:p w:rsidRPr="008238CC" w:rsidR="007915C2" w:rsidP="007915C2" w:rsidRDefault="007915C2" w14:paraId="6E31EE04" w14:textId="77777777">
      <w:pPr>
        <w:outlineLvl w:val="1"/>
        <w:rPr>
          <w:rFonts w:eastAsia="Calibri"/>
          <w:color w:val="000000"/>
        </w:rPr>
      </w:pPr>
    </w:p>
    <w:p w:rsidRPr="008238CC" w:rsidR="007915C2" w:rsidP="004C2B98" w:rsidRDefault="007915C2" w14:paraId="0C850817" w14:textId="77777777">
      <w:pPr>
        <w:pStyle w:val="Heading2"/>
        <w:rPr>
          <w:rFonts w:eastAsia="Calibri"/>
          <w:kern w:val="28"/>
        </w:rPr>
      </w:pPr>
      <w:r>
        <w:t>Последиците от изменението на климата оказват въздействие и върху Средиземноморския регион чрез процеса на опустиняване, недостига на вода и повишаването на температурите. Настоящата криза изтъкна необходимостта от засилване на общата устойчивост и предприемане на нови инициативи за сътрудничество в областта на околната среда и цифровизацията. ЕИСК счита, че би било полезно, включително с оглед на подобряването на осведомеността на гражданското общество и чрез по-активно участие на социалните партньори, да бъдат разширени и укрепени инициативи като WestMED, с цел да се допринесе за постигането на целите в областта на климата и околната среда чрез модели на синя икономика, насочени към създаването на работни места и към защитата на екосистемата и многообразието.</w:t>
      </w:r>
    </w:p>
    <w:p w:rsidRPr="008238CC" w:rsidR="007915C2" w:rsidP="007915C2" w:rsidRDefault="007915C2" w14:paraId="66941EEA" w14:textId="77777777">
      <w:pPr>
        <w:outlineLvl w:val="1"/>
        <w:rPr>
          <w:rFonts w:eastAsia="Calibri"/>
          <w:color w:val="000000"/>
          <w:kern w:val="28"/>
        </w:rPr>
      </w:pPr>
    </w:p>
    <w:p w:rsidRPr="008238CC" w:rsidR="007915C2" w:rsidP="004C2B98" w:rsidRDefault="007915C2" w14:paraId="5B72D890" w14:textId="77777777">
      <w:pPr>
        <w:pStyle w:val="Heading2"/>
        <w:rPr>
          <w:kern w:val="28"/>
        </w:rPr>
      </w:pPr>
      <w:r>
        <w:t xml:space="preserve">Десет години след Арабската пролет Европейският съюз поднови своята стратегия за сътрудничество с държавите от средиземноморското съседство. В този контекст ЕИСК счита, че новата програма за Средиземноморието е основен инструмент за социалното и икономическото възстановяване на региона след кризата с COVID-19. Подновеният ангажимент за партньорство трябва да бъде тясно свързан не само с икономическите и социалните, но и с екологичните, демографските и имиграционните предизвикателства при пълно зачитане на напредъка и основополагащите ценности на Съюза. Състоянието </w:t>
      </w:r>
      <w:r>
        <w:lastRenderedPageBreak/>
        <w:t>на здравните структури се оказа нестабилно в много части на региона и пандемичната криза е важен тест, който може да повлияе и на политическата стабилност.</w:t>
      </w:r>
    </w:p>
    <w:p w:rsidRPr="008238CC" w:rsidR="007915C2" w:rsidP="007915C2" w:rsidRDefault="007915C2" w14:paraId="5FEAF92F" w14:textId="77777777">
      <w:pPr>
        <w:rPr>
          <w:rFonts w:eastAsia="Calibri"/>
          <w:color w:val="000000"/>
        </w:rPr>
      </w:pPr>
    </w:p>
    <w:p w:rsidRPr="008238CC" w:rsidR="007915C2" w:rsidP="004C2B98" w:rsidRDefault="007915C2" w14:paraId="546656FD" w14:textId="77777777">
      <w:pPr>
        <w:pStyle w:val="Heading2"/>
      </w:pPr>
      <w:r>
        <w:t>В програмите за възстановяване и преустройство на Средиземноморския регион трябва да се обърне специално внимание на бързото възстановяване на туристическия сектор и по-специално на малките и средните предприятия, които осигуряват работни места на повече от половината от работниците в ЕС. Продължаващите последици от кризата, в това число структурната безработица, особено сред младите хора и жените, може да доведат до сериозни социални последствия.</w:t>
      </w:r>
    </w:p>
    <w:p w:rsidRPr="008238CC" w:rsidR="007915C2" w:rsidP="007915C2" w:rsidRDefault="007915C2" w14:paraId="75241CB8" w14:textId="77777777">
      <w:pPr>
        <w:rPr>
          <w:rFonts w:eastAsia="Calibri"/>
          <w:color w:val="000000"/>
        </w:rPr>
      </w:pPr>
    </w:p>
    <w:p w:rsidRPr="008238CC" w:rsidR="007915C2" w:rsidP="004C2B98" w:rsidRDefault="007915C2" w14:paraId="056EC5DE" w14:textId="77777777">
      <w:pPr>
        <w:pStyle w:val="Heading2"/>
        <w:rPr>
          <w:rFonts w:eastAsia="Calibri"/>
        </w:rPr>
      </w:pPr>
      <w:r>
        <w:t>Развитието на човешкия капитал на работната сила е особено важно за устойчивото развитие на средиземноморските партньори на ЕС. Обучението на персонала, особено в туристическия сектор, следва да бъде насърчено. Освен това ЕИСК отбелязва, че проблемът с „изтичането на мозъци“ от южните партньорски държави към силно развитите индустриализирани страни е основна пречка, особено за цифровата трансформация на техните икономики. С оглед на това държавите — членки на Европейския съюз, следва да улеснят издаването на краткосрочни и средносрочни разрешителни за работа в ЕС както за самостоятелно заетите, така и за наетите лица, особено в сектора на информационните технологии. Освен това Комисията следва да подкрепя изпълнението на цифрови проекти в партньорските държави, за да се даде възможност по-специално на компютърните техници да намират добри възможности за работа в своите държави на произход.</w:t>
      </w:r>
    </w:p>
    <w:p w:rsidRPr="008238CC" w:rsidR="007915C2" w:rsidP="007915C2" w:rsidRDefault="007915C2" w14:paraId="05A9956B" w14:textId="77777777">
      <w:pPr>
        <w:outlineLvl w:val="0"/>
        <w:rPr>
          <w:bCs/>
          <w:color w:val="000000"/>
          <w:kern w:val="28"/>
        </w:rPr>
      </w:pPr>
    </w:p>
    <w:p w:rsidRPr="008238CC" w:rsidR="007915C2" w:rsidP="004C2B98" w:rsidRDefault="007915C2" w14:paraId="55D5CD16" w14:textId="77777777">
      <w:pPr>
        <w:pStyle w:val="Heading2"/>
        <w:rPr>
          <w:rFonts w:eastAsia="Calibri"/>
          <w:kern w:val="28"/>
        </w:rPr>
      </w:pPr>
      <w:r>
        <w:t>ЕС ще използва съществуващите инструменти и програми за сътрудничество, за да укрепи диалога с държавите от южното съседство. Европейският икономически и социален комитет препоръчва възможно най-широко участие на организациите на гражданското общество чрез приобщаващ социален и граждански диалог на всички равнища, който да взема под внимание спецификите и ролята на различните участници и да оползотворява техния принос за определянето и изпълнението на политиките и мерките, необходими за управление на въздействието на настоящите промени и кризи, като се започне от последиците от изменението на климата.</w:t>
      </w:r>
    </w:p>
    <w:p w:rsidRPr="008238CC" w:rsidR="007915C2" w:rsidP="007915C2" w:rsidRDefault="007915C2" w14:paraId="0629AD12" w14:textId="77777777">
      <w:pPr>
        <w:rPr>
          <w:color w:val="000000"/>
        </w:rPr>
      </w:pPr>
    </w:p>
    <w:p w:rsidRPr="008238CC" w:rsidR="007915C2" w:rsidP="004C2B98" w:rsidRDefault="007915C2" w14:paraId="07E14A7C" w14:textId="77777777">
      <w:pPr>
        <w:pStyle w:val="Heading2"/>
      </w:pPr>
      <w:r>
        <w:t>Според оценките много държави от южното съседство ще отчетат намаляване на БВП на глава от населението и ще се сблъскат с големи предизвикателства, за да се справят с нарастващите социални, икономически и свързани с бедността рискове. Поради тази причина са необходими планове за икономическо и финансово възстановяване, които да съдържат мерки за справяне и с проблемите, които водят до растяща социална несигурност.</w:t>
      </w:r>
    </w:p>
    <w:p w:rsidRPr="008238CC" w:rsidR="007915C2" w:rsidP="007915C2" w:rsidRDefault="007915C2" w14:paraId="68F31A56" w14:textId="77777777">
      <w:pPr>
        <w:rPr>
          <w:rFonts w:eastAsia="Calibri"/>
          <w:color w:val="000000"/>
        </w:rPr>
      </w:pPr>
    </w:p>
    <w:p w:rsidRPr="008238CC" w:rsidR="007915C2" w:rsidP="004C2B98" w:rsidRDefault="007915C2" w14:paraId="51464449" w14:textId="77777777">
      <w:pPr>
        <w:pStyle w:val="Heading2"/>
        <w:rPr>
          <w:rFonts w:eastAsia="Calibri"/>
        </w:rPr>
      </w:pPr>
      <w:r>
        <w:t xml:space="preserve">Икономическото възстановяване на много държави от средиземноморското съседство е тясно свързано с ефективното провеждане на подходяща ваксинационна кампания, поради което ЕИСК препоръчва укрепване на COVAX и максимална логистична подкрепа и подпомагане на снабдяването от страна на европейските институции, включително чрез двустранни споразумения. ЕИСК подчертава, че е особено важно да се подкрепят усилията на партньорските държави на юг от Средиземно море да изградят самостоятелни производствени съоръжения за ваксини и медицински изделия на </w:t>
      </w:r>
      <w:r>
        <w:lastRenderedPageBreak/>
        <w:t>територията си. Във връзка с това ЕС отново призовава да се обсъди сериозно възможността за безвъзмездно предоставяне на патентите за ваксини и медицински изделия за борба с пандемиите.</w:t>
      </w:r>
    </w:p>
    <w:p w:rsidRPr="008238CC" w:rsidR="007915C2" w:rsidP="007915C2" w:rsidRDefault="007915C2" w14:paraId="0FB685B4" w14:textId="77777777">
      <w:pPr>
        <w:rPr>
          <w:rFonts w:eastAsia="Calibri"/>
          <w:color w:val="000000"/>
        </w:rPr>
      </w:pPr>
    </w:p>
    <w:p w:rsidRPr="008238CC" w:rsidR="007915C2" w:rsidP="004C2B98" w:rsidRDefault="007915C2" w14:paraId="6834146B" w14:textId="77777777">
      <w:pPr>
        <w:pStyle w:val="Heading2"/>
        <w:rPr>
          <w:rFonts w:eastAsia="Calibri"/>
        </w:rPr>
      </w:pPr>
      <w:r>
        <w:t>ЕИСК счита, че в контекста на възстановяването след COVID-19 активното участие на гражданското общество е необходимо за постигането на цели като подобряване на качеството на живота на населението и разработване на нов модел за устойчиво развитие. С оглед на това Комитетът призовава европейските институции за по-нататъшно укрепване, в рамките на партньорството с държавите от южното съседство, на всички инструменти за участие на организациите на гражданското общество.</w:t>
      </w:r>
    </w:p>
    <w:p w:rsidRPr="008238CC" w:rsidR="007915C2" w:rsidP="007915C2" w:rsidRDefault="007915C2" w14:paraId="31003865" w14:textId="77777777">
      <w:pPr>
        <w:rPr>
          <w:rFonts w:eastAsia="Calibri"/>
          <w:color w:val="000000"/>
        </w:rPr>
      </w:pPr>
    </w:p>
    <w:p w:rsidRPr="008238CC" w:rsidR="007915C2" w:rsidP="004C2B98" w:rsidRDefault="007915C2" w14:paraId="70804744" w14:textId="77777777">
      <w:pPr>
        <w:pStyle w:val="Heading2"/>
      </w:pPr>
      <w:r>
        <w:t>Организациите на гражданското общество поеха ангажименти на първа линия в подкрепа на здравните и социални мерки срещу пандемията и тяхната активност даде възможност за смекчаване на социалните и здравни последици за населението. Все пак, както вече беше посочено от ЕИСК, тяхната способност да отговорят на потребностите на обществото е обусловена от факта, че ресурсите често са ограничени и с непостоянен характер. ЕИСК е убеден, че механизмите за подкрепа на организациите на гражданското общество трябва да се укрепят, включително за да бъдат защитени в по-голяма степен особено силно засегнатите от пандемията най-уязвими категории, като млади хора, жени, мигранти и лица с увреждания.</w:t>
      </w:r>
    </w:p>
    <w:p w:rsidRPr="008238CC" w:rsidR="007915C2" w:rsidP="007915C2" w:rsidRDefault="007915C2" w14:paraId="043AEDF9" w14:textId="77777777">
      <w:pPr>
        <w:rPr>
          <w:rFonts w:eastAsia="Calibri"/>
          <w:color w:val="000000"/>
        </w:rPr>
      </w:pPr>
    </w:p>
    <w:p w:rsidRPr="008238CC" w:rsidR="007915C2" w:rsidP="004C2B98" w:rsidRDefault="007915C2" w14:paraId="63C81D15" w14:textId="77777777">
      <w:pPr>
        <w:pStyle w:val="Heading2"/>
        <w:rPr>
          <w:rFonts w:eastAsia="Calibri"/>
        </w:rPr>
      </w:pPr>
      <w:r>
        <w:t>ЕИСК призовава за по-нататъшни действия от страна на европейските институции в подкрепа на мира, демокрацията и зачитането на правата на човека в конфликтните райони на държавите от средиземноморското съседство. Условията на живот на населението на конфликтните райони се влошиха допълнително в резултат на пандемията, поради което са необходими силни инициативи за гарантиране на цялостен мирен план.</w:t>
      </w:r>
    </w:p>
    <w:p w:rsidRPr="008238CC" w:rsidR="007915C2" w:rsidP="007915C2" w:rsidRDefault="007915C2" w14:paraId="0F108E3E" w14:textId="77777777">
      <w:pPr>
        <w:rPr>
          <w:rFonts w:eastAsia="Calibri"/>
          <w:color w:val="000000"/>
          <w:highlight w:val="green"/>
        </w:rPr>
      </w:pPr>
    </w:p>
    <w:p w:rsidRPr="008238CC" w:rsidR="007915C2" w:rsidP="004C2B98" w:rsidRDefault="007915C2" w14:paraId="092D8B50" w14:textId="77777777">
      <w:pPr>
        <w:pStyle w:val="Heading2"/>
      </w:pPr>
      <w:r>
        <w:t>С оглед на вероятно трудното възстановяване от пандемичната криза текущите търговски преговори между ЕС и Мароко и Тунис, както и предстоящите преговори с Йордания, придобиват още по-голяма важност. ЕС следва да обърне по-голямо внимание на съществуващите асиметрии и да възприеме подходящ подход към своите южни търговски партньори. ЕИСК призовава за по-активно участие на организациите на гражданското общество и социалните партньори в преговорните процеси и за официално обвързване с Договорите, за да им се даде възможност да дадат положителен принос за търговските отношения между партньорските държави, по-специално за да се гарантира изпълнението на задължителните глави относно устойчивостта в бъдещите търговски споразумения.</w:t>
      </w:r>
    </w:p>
    <w:p w:rsidRPr="008238CC" w:rsidR="007915C2" w:rsidP="007915C2" w:rsidRDefault="007915C2" w14:paraId="334624AD" w14:textId="77777777">
      <w:pPr>
        <w:outlineLvl w:val="1"/>
        <w:rPr>
          <w:color w:val="000000"/>
        </w:rPr>
      </w:pPr>
    </w:p>
    <w:p w:rsidRPr="008238CC" w:rsidR="007915C2" w:rsidP="004C2B98" w:rsidRDefault="007915C2" w14:paraId="24F9C58F" w14:textId="77777777">
      <w:pPr>
        <w:pStyle w:val="Heading2"/>
      </w:pPr>
      <w:r>
        <w:t>Освен това ЕИСК предлага на ОГО и социалните партньори да бъде възложена отговорност не само за главите относно устойчивостта, но и за целия обхват на търговските и инвестиционните споразумения като част от тяхното официално структурирано участие.</w:t>
      </w:r>
    </w:p>
    <w:p w:rsidRPr="008238CC" w:rsidR="007915C2" w:rsidP="007915C2" w:rsidRDefault="007915C2" w14:paraId="1D1CC815" w14:textId="77777777">
      <w:pPr>
        <w:rPr>
          <w:color w:val="000000"/>
        </w:rPr>
      </w:pPr>
    </w:p>
    <w:p w:rsidRPr="008238CC" w:rsidR="007915C2" w:rsidP="004C2B98" w:rsidRDefault="007915C2" w14:paraId="74348BE4" w14:textId="77777777">
      <w:pPr>
        <w:pStyle w:val="Heading2"/>
        <w:rPr>
          <w:rFonts w:eastAsia="Calibri"/>
        </w:rPr>
      </w:pPr>
      <w:r>
        <w:t xml:space="preserve">ЕИСК отново изразява позицията си, че ЕС следва да насочи част от средствата, предназначени за подпомагане на търговията, към подкрепа за участието на </w:t>
      </w:r>
      <w:r>
        <w:lastRenderedPageBreak/>
        <w:t>организациите на гражданското общество и изграждането на капацитет в рамките на усилията за постигане на устойчива търговия и инвестиции.</w:t>
      </w:r>
    </w:p>
    <w:p w:rsidRPr="008238CC" w:rsidR="007915C2" w:rsidP="007915C2" w:rsidRDefault="007915C2" w14:paraId="1EE7A7DC" w14:textId="77777777">
      <w:pPr>
        <w:rPr>
          <w:rFonts w:eastAsia="Calibri"/>
          <w:color w:val="000000"/>
          <w:highlight w:val="green"/>
        </w:rPr>
      </w:pPr>
    </w:p>
    <w:p w:rsidRPr="008238CC" w:rsidR="007915C2" w:rsidP="004C2B98" w:rsidRDefault="007915C2" w14:paraId="381F6A7B" w14:textId="77777777">
      <w:pPr>
        <w:pStyle w:val="Heading2"/>
      </w:pPr>
      <w:r>
        <w:t>ЕИСК вече препоръча да се повишат цифровите умения от двете страни на Средиземно море. След приемането на новата стратегия за Средиземноморието и с оглед на възстановяването след пандемията ЕИСК припомня необходимостта от увеличаване на инвестициите в цифрови инфраструктури и подкрепата за цифровия преход на МСП като стимул за заетост и социално развитие, включително чрез участието на социалните партньори, като се признаят възможностите на колективното договаряне и социалния диалог на различните равнища.</w:t>
      </w:r>
    </w:p>
    <w:p w:rsidRPr="008238CC" w:rsidR="007915C2" w:rsidP="007915C2" w:rsidRDefault="007915C2" w14:paraId="2844B612" w14:textId="77777777">
      <w:pPr>
        <w:outlineLvl w:val="0"/>
        <w:rPr>
          <w:bCs/>
          <w:color w:val="000000"/>
          <w:kern w:val="28"/>
        </w:rPr>
      </w:pPr>
    </w:p>
    <w:p w:rsidRPr="004C2B98" w:rsidR="007915C2" w:rsidP="004C2B98" w:rsidRDefault="007915C2" w14:paraId="6F098BA8" w14:textId="77777777">
      <w:pPr>
        <w:pStyle w:val="Heading1"/>
        <w:rPr>
          <w:bCs/>
        </w:rPr>
      </w:pPr>
      <w:r>
        <w:rPr>
          <w:b/>
        </w:rPr>
        <w:t>Общи бележки</w:t>
      </w:r>
    </w:p>
    <w:p w:rsidRPr="008238CC" w:rsidR="007915C2" w:rsidP="007915C2" w:rsidRDefault="007915C2" w14:paraId="5C3F91EF" w14:textId="77777777">
      <w:pPr>
        <w:keepNext/>
        <w:keepLines/>
        <w:rPr>
          <w:color w:val="000000"/>
          <w:sz w:val="20"/>
          <w:szCs w:val="20"/>
          <w:highlight w:val="green"/>
        </w:rPr>
      </w:pPr>
    </w:p>
    <w:p w:rsidRPr="008238CC" w:rsidR="007915C2" w:rsidP="004C2B98" w:rsidRDefault="007915C2" w14:paraId="0DCE58DE" w14:textId="77777777">
      <w:pPr>
        <w:pStyle w:val="Heading2"/>
        <w:rPr>
          <w:rFonts w:eastAsia="Calibri"/>
        </w:rPr>
      </w:pPr>
      <w:r>
        <w:t>Пандемичната криза увеличи проблемите на държавите от средиземноморското съседство; 25 години след Декларацията от Барселона и десет години след Арабската пролет предизвикателствата пред Средиземноморието все още са огромни. Европейският съюз и партньорите от Средиземноморския регион неотдавна решиха да подновят и укрепят сътрудничеството чрез амбициозната Нова програма за Средиземноморието.</w:t>
      </w:r>
    </w:p>
    <w:p w:rsidRPr="008238CC" w:rsidR="007915C2" w:rsidP="007915C2" w:rsidRDefault="007915C2" w14:paraId="4033E45C" w14:textId="77777777">
      <w:pPr>
        <w:outlineLvl w:val="1"/>
        <w:rPr>
          <w:rFonts w:eastAsia="Calibri"/>
          <w:color w:val="000000"/>
        </w:rPr>
      </w:pPr>
    </w:p>
    <w:p w:rsidRPr="008238CC" w:rsidR="007915C2" w:rsidP="004C2B98" w:rsidRDefault="007915C2" w14:paraId="21CC819A" w14:textId="77777777">
      <w:pPr>
        <w:pStyle w:val="Heading2"/>
      </w:pPr>
      <w:r>
        <w:t>Новата програма се основава на убеждението, че успешното справяне със стратегическите предизвикателства на бъдещето във взаимен интерес е възможно само като се работи заедно и в дух на партньорство. В програмата се предвижда подходящ план за икономически инвестиции за насърчаване на социално-икономическото възстановяване на държавите от средиземноморското съседство за периода 2021—2027 г. Общата цел, както заяви върховният представител Josep Borrell, е изграждането на мирно, сигурно, по-демократично, по-екологосъобразно, проспериращо и приобщаващо южно съседство.</w:t>
      </w:r>
    </w:p>
    <w:p w:rsidRPr="008238CC" w:rsidR="007915C2" w:rsidP="007915C2" w:rsidRDefault="007915C2" w14:paraId="3D94C52A" w14:textId="77777777">
      <w:pPr>
        <w:rPr>
          <w:rFonts w:eastAsia="Calibri"/>
          <w:color w:val="000000"/>
        </w:rPr>
      </w:pPr>
    </w:p>
    <w:p w:rsidRPr="008238CC" w:rsidR="007915C2" w:rsidP="004C2B98" w:rsidRDefault="007915C2" w14:paraId="0F5CBC65" w14:textId="77777777">
      <w:pPr>
        <w:pStyle w:val="Heading2"/>
      </w:pPr>
      <w:r>
        <w:t xml:space="preserve">Неотдавнашно проучване, публикувано от Med Dialogue for Rights and Equality, озаглавено </w:t>
      </w:r>
      <w:r>
        <w:rPr>
          <w:i/>
        </w:rPr>
        <w:t>„Bridging the Sea“</w:t>
      </w:r>
      <w:r w:rsidRPr="008238CC">
        <w:rPr>
          <w:sz w:val="24"/>
          <w:vertAlign w:val="superscript"/>
        </w:rPr>
        <w:footnoteReference w:id="2"/>
      </w:r>
      <w:r>
        <w:t>, показа, че почти 63 % от организациите на гражданското общество, извършващи дейност в държавите от южното съседство, са ангажирани с теми като укрепване на демокрацията и правата, докато над 53 % се занимават, наред с други неща, с борба срещу социално-икономическите неравенства. В резултат на това нараства значението на осведомеността и повишеното внимание към въпросите, свързани с екологията и околната среда. Тези данни потвърждават наличието на стабилни основи и необходимостта от засилване на подкрепата за гражданското общество за по-успешно справяне с предизвикателствата на бъдещето.</w:t>
      </w:r>
    </w:p>
    <w:p w:rsidRPr="008238CC" w:rsidR="007915C2" w:rsidP="007915C2" w:rsidRDefault="007915C2" w14:paraId="73B423E3" w14:textId="77777777">
      <w:pPr>
        <w:rPr>
          <w:color w:val="000000"/>
        </w:rPr>
      </w:pPr>
    </w:p>
    <w:p w:rsidRPr="008238CC" w:rsidR="007915C2" w:rsidP="004C2B98" w:rsidRDefault="007915C2" w14:paraId="60D1BA51" w14:textId="77777777">
      <w:pPr>
        <w:pStyle w:val="Heading2"/>
      </w:pPr>
      <w:r>
        <w:t>Гражданското общество в държавите от южното съседство укрепи своето присъствие през последните две десетилетия. Активният му подход даде възможност за смекчаване на социалните и здравните последици за населението, но в същото време показа, че са необходими действия, за да се укрепят капацитетът и уменията на гражданското общество да работи по-добре.</w:t>
      </w:r>
    </w:p>
    <w:p w:rsidRPr="008238CC" w:rsidR="007915C2" w:rsidP="007915C2" w:rsidRDefault="007915C2" w14:paraId="68E5A332" w14:textId="77777777">
      <w:pPr>
        <w:outlineLvl w:val="1"/>
        <w:rPr>
          <w:color w:val="000000"/>
        </w:rPr>
      </w:pPr>
    </w:p>
    <w:p w:rsidRPr="008238CC" w:rsidR="007915C2" w:rsidP="004C2B98" w:rsidRDefault="007915C2" w14:paraId="4CB292F9" w14:textId="77777777">
      <w:pPr>
        <w:pStyle w:val="Heading2"/>
      </w:pPr>
      <w:r>
        <w:lastRenderedPageBreak/>
        <w:t>Средиземноморският регион, както и останалата част от света, преживя силно икономическо и социално сътресение вследствие на пандемията от COVID-19. Социалните и здравните последици се изостриха поради липсата на подходящи публични здравни инфраструктури, особено в най-уязвимите държави. Пандемичната криза се добави към вече съществуващите кризи в различни държави, дължащи се на редица фактори като несигурното икономическо и социално развитие, високите равнища на безработица и последствията от конфликтите в някои райони като Либия и Сирия.</w:t>
      </w:r>
    </w:p>
    <w:p w:rsidRPr="008238CC" w:rsidR="007915C2" w:rsidP="007915C2" w:rsidRDefault="007915C2" w14:paraId="79BD442D" w14:textId="77777777">
      <w:pPr>
        <w:outlineLvl w:val="1"/>
        <w:rPr>
          <w:color w:val="000000"/>
        </w:rPr>
      </w:pPr>
    </w:p>
    <w:p w:rsidRPr="008238CC" w:rsidR="007915C2" w:rsidP="004C2B98" w:rsidRDefault="007915C2" w14:paraId="6CED7DDD" w14:textId="77777777">
      <w:pPr>
        <w:pStyle w:val="Heading2"/>
        <w:rPr>
          <w:rFonts w:eastAsia="Calibri"/>
        </w:rPr>
      </w:pPr>
      <w:r>
        <w:t>Правителствата в Средиземноморския регион, макар и със съществени различия, реагираха незабавно за ограничаване на разпространението на пандемията, като въведоха мерки в подкрепа на работниците и предприятията, включително в сътрудничество със социалните партньори и организациите на гражданското общество, въпреки че тяхното участие често беше недостатъчно, а в някои случаи напълно липсваше. За да ограничат последствията от пандемията, почти всички държави от Средиземноморския регион, като Мароко, Египет, Йордания и Ливан, приеха ограничителни мерки, вечерен час и ограничаване на придвижването.</w:t>
      </w:r>
    </w:p>
    <w:p w:rsidRPr="008238CC" w:rsidR="007915C2" w:rsidP="007915C2" w:rsidRDefault="007915C2" w14:paraId="6E026983" w14:textId="77777777">
      <w:pPr>
        <w:outlineLvl w:val="1"/>
        <w:rPr>
          <w:rFonts w:eastAsia="Calibri"/>
          <w:color w:val="000000"/>
        </w:rPr>
      </w:pPr>
    </w:p>
    <w:p w:rsidRPr="008238CC" w:rsidR="007915C2" w:rsidP="004C2B98" w:rsidRDefault="007915C2" w14:paraId="6D96CBE3" w14:textId="77777777">
      <w:pPr>
        <w:pStyle w:val="Heading2"/>
        <w:rPr>
          <w:rFonts w:eastAsia="Calibri"/>
        </w:rPr>
      </w:pPr>
      <w:r>
        <w:t>Заради пандемичната криза много правителства от региона въведоха експанзионистични политики с цел да се справят с икономическата криза и да подкрепят конкретни сектори, като насърчиха производството и въведоха данъчни и икономически облекчения и мерки за привличане на инвестиции.</w:t>
      </w:r>
    </w:p>
    <w:p w:rsidRPr="008238CC" w:rsidR="007915C2" w:rsidP="007915C2" w:rsidRDefault="007915C2" w14:paraId="4D18A2B3" w14:textId="77777777">
      <w:pPr>
        <w:outlineLvl w:val="1"/>
        <w:rPr>
          <w:rFonts w:eastAsia="Calibri"/>
          <w:strike/>
          <w:color w:val="000000"/>
        </w:rPr>
      </w:pPr>
    </w:p>
    <w:p w:rsidRPr="008238CC" w:rsidR="007915C2" w:rsidP="004C2B98" w:rsidRDefault="007915C2" w14:paraId="452681C5" w14:textId="77777777">
      <w:pPr>
        <w:pStyle w:val="Heading2"/>
        <w:rPr>
          <w:rFonts w:eastAsia="Calibri"/>
        </w:rPr>
      </w:pPr>
      <w:r>
        <w:t>Пандемията имаше отрицателни икономически последици в целия Средиземноморски регион, не само поради фактори като намаляването на вътрешното и външното търсене и спада на потреблението, но и поради влошаването на финансовото състояние и държавния дълг. От началото на пандемичната криза правителствата от региона отпуснаха допълнителни средства за здравната и икономическата система с цел да подкрепят някои сектори. Поради тази причина държавният дефицит в почти всички държави от Средиземноморския регион ще се увеличи значително.</w:t>
      </w:r>
    </w:p>
    <w:p w:rsidRPr="008238CC" w:rsidR="007915C2" w:rsidP="007915C2" w:rsidRDefault="007915C2" w14:paraId="714D4D1D" w14:textId="77777777">
      <w:pPr>
        <w:outlineLvl w:val="1"/>
        <w:rPr>
          <w:rFonts w:eastAsia="Calibri"/>
          <w:strike/>
          <w:color w:val="000000"/>
        </w:rPr>
      </w:pPr>
    </w:p>
    <w:p w:rsidRPr="008238CC" w:rsidR="007915C2" w:rsidP="004C2B98" w:rsidRDefault="007915C2" w14:paraId="3D94369D" w14:textId="77777777">
      <w:pPr>
        <w:pStyle w:val="Heading2"/>
        <w:rPr>
          <w:rFonts w:eastAsia="Calibri"/>
        </w:rPr>
      </w:pPr>
      <w:r>
        <w:t>Транспортният сектор беше сериозно засегнат от ограничителните мерки, които възпрепятстваха и намалиха международната мобилност, поради което туризмът беше един от най-силно засегнатите от пандемичната криза сектори. По оценки на ОИСР е налице свиване на сектора с между 45 и 70 % и спад на международния туризъм между 60 и 80 %</w:t>
      </w:r>
      <w:r w:rsidRPr="008238CC">
        <w:rPr>
          <w:rFonts w:eastAsia="Calibri"/>
          <w:sz w:val="24"/>
          <w:vertAlign w:val="superscript"/>
        </w:rPr>
        <w:footnoteReference w:id="3"/>
      </w:r>
      <w:r>
        <w:t>. Туризмът е един от основните икономически сектори за държавите от Средиземноморския регион и според Конференцията на ООН за търговия и развитие (УНКТАД) Египет и Мароко ще бъдат сред най-силно засегнатите държави в световен мащаб</w:t>
      </w:r>
      <w:r w:rsidRPr="008238CC">
        <w:rPr>
          <w:rFonts w:eastAsia="Calibri"/>
          <w:sz w:val="24"/>
          <w:vertAlign w:val="superscript"/>
        </w:rPr>
        <w:footnoteReference w:id="4"/>
      </w:r>
      <w:r>
        <w:t>.</w:t>
      </w:r>
    </w:p>
    <w:p w:rsidRPr="008238CC" w:rsidR="007915C2" w:rsidP="007915C2" w:rsidRDefault="007915C2" w14:paraId="7A000038" w14:textId="77777777">
      <w:pPr>
        <w:outlineLvl w:val="1"/>
        <w:rPr>
          <w:rFonts w:eastAsia="Calibri"/>
          <w:color w:val="000000"/>
        </w:rPr>
      </w:pPr>
    </w:p>
    <w:p w:rsidR="00EF0EED" w:rsidP="004C2B98" w:rsidRDefault="007915C2" w14:paraId="0DEF6D49" w14:textId="77777777">
      <w:pPr>
        <w:pStyle w:val="Heading2"/>
      </w:pPr>
      <w:r>
        <w:t xml:space="preserve">Микро-, малките и средните предприятия и самостоятелно заетите лица са един от важните компоненти на икономиката на държавите по южния бряг. Те намалиха значително оборота си и повечето от тях бяха принудени да ограничат броя на </w:t>
      </w:r>
      <w:r>
        <w:lastRenderedPageBreak/>
        <w:t>работниците. Във връзка с това ще бъде необходимо да се въведат структурни мерки, които да могат да помогнат на МСП да излязат от кризата, да отбележат растеж и да извършват иновации, като се справят с двойното предизвикателство на цифровизацията и декарбонизацията.</w:t>
      </w:r>
    </w:p>
    <w:p w:rsidRPr="008238CC" w:rsidR="007915C2" w:rsidP="007915C2" w:rsidRDefault="007915C2" w14:paraId="69127CC7" w14:textId="018CB459">
      <w:pPr>
        <w:rPr>
          <w:rFonts w:eastAsia="Calibri"/>
          <w:color w:val="000000"/>
        </w:rPr>
      </w:pPr>
    </w:p>
    <w:p w:rsidRPr="008238CC" w:rsidR="007915C2" w:rsidP="004C2B98" w:rsidRDefault="007915C2" w14:paraId="0549D9B4" w14:textId="77777777">
      <w:pPr>
        <w:pStyle w:val="Heading2"/>
      </w:pPr>
      <w:r>
        <w:t>Пандемичната криза в Средиземноморския регион засегна всички социални групи, но най-силно засегнати бяха: младите хора, поради влошаването на пазара на труда и затварянето на училищата и университетите; жените, които в някои райони като държавите от южното съседство работят предимно в неформалната икономика, селското стопанство и туристическия сектор, силно засегнат от противоепидемичните мерки; уязвими категории като работещите в неформалната икономика и бежанците, които често не са обхванати от мерките за социална закрила, и лицата с увреждания, често поради недостиг на услуги.</w:t>
      </w:r>
    </w:p>
    <w:p w:rsidRPr="008238CC" w:rsidR="007915C2" w:rsidP="007915C2" w:rsidRDefault="007915C2" w14:paraId="7D318815" w14:textId="77777777">
      <w:pPr>
        <w:rPr>
          <w:rFonts w:eastAsia="Calibri"/>
          <w:color w:val="000000"/>
        </w:rPr>
      </w:pPr>
    </w:p>
    <w:p w:rsidRPr="008238CC" w:rsidR="007915C2" w:rsidP="004C2B98" w:rsidRDefault="007915C2" w14:paraId="703E8895" w14:textId="77777777">
      <w:pPr>
        <w:pStyle w:val="Heading2"/>
      </w:pPr>
      <w:r>
        <w:t>В определени райони на държавите от южното съседство някои фактори като недостига на вода и ограничения достъп до хигиенно-здравни услуги изострят въздействието на пандемията, особено при по-изолираните в социално отношение слоеве, в конфликтните райони и в бежанските лагери.</w:t>
      </w:r>
    </w:p>
    <w:p w:rsidRPr="008238CC" w:rsidR="007915C2" w:rsidP="007915C2" w:rsidRDefault="007915C2" w14:paraId="2A0ABF2E" w14:textId="77777777">
      <w:pPr>
        <w:rPr>
          <w:color w:val="000000"/>
        </w:rPr>
      </w:pPr>
    </w:p>
    <w:p w:rsidRPr="004C2B98" w:rsidR="007915C2" w:rsidP="004C2B98" w:rsidRDefault="007915C2" w14:paraId="795515B5" w14:textId="77777777">
      <w:pPr>
        <w:pStyle w:val="Heading1"/>
        <w:keepNext/>
        <w:rPr>
          <w:bCs/>
        </w:rPr>
      </w:pPr>
      <w:r>
        <w:rPr>
          <w:b/>
        </w:rPr>
        <w:t>Предизвикателства и възможности</w:t>
      </w:r>
    </w:p>
    <w:p w:rsidRPr="008238CC" w:rsidR="007915C2" w:rsidP="007915C2" w:rsidRDefault="007915C2" w14:paraId="502EC454" w14:textId="77777777">
      <w:pPr>
        <w:keepNext/>
        <w:keepLines/>
        <w:rPr>
          <w:color w:val="000000"/>
          <w:sz w:val="20"/>
          <w:szCs w:val="20"/>
          <w:highlight w:val="green"/>
        </w:rPr>
      </w:pPr>
    </w:p>
    <w:p w:rsidR="00EF0EED" w:rsidP="004C2B98" w:rsidRDefault="007915C2" w14:paraId="7F67BDAA" w14:textId="77777777">
      <w:pPr>
        <w:pStyle w:val="Heading2"/>
      </w:pPr>
      <w:r>
        <w:t>Както подчерта генералният секретар на Съюза за Средиземноморието</w:t>
      </w:r>
      <w:r w:rsidRPr="008238CC">
        <w:rPr>
          <w:sz w:val="24"/>
          <w:vertAlign w:val="superscript"/>
        </w:rPr>
        <w:footnoteReference w:id="5"/>
      </w:r>
      <w:r>
        <w:t>, настоящата здравна криза излага на риск постигнатия през последните години социално-икономически напредък на региона. Кризата обаче е възможност да бъде укрепена интеграцията и икономиките да станат по-устойчиви.</w:t>
      </w:r>
    </w:p>
    <w:p w:rsidRPr="008238CC" w:rsidR="007915C2" w:rsidP="007915C2" w:rsidRDefault="007915C2" w14:paraId="712A8B50" w14:textId="354050C7">
      <w:pPr>
        <w:rPr>
          <w:rFonts w:eastAsia="Calibri"/>
          <w:color w:val="000000"/>
        </w:rPr>
      </w:pPr>
    </w:p>
    <w:p w:rsidRPr="008238CC" w:rsidR="007915C2" w:rsidP="004C2B98" w:rsidRDefault="007915C2" w14:paraId="082F8183" w14:textId="77777777">
      <w:pPr>
        <w:pStyle w:val="Heading2"/>
      </w:pPr>
      <w:r>
        <w:t>Ролята на гражданското общество в Евро-средиземноморския регион е от решаващо значение за изграждането на по-справедливо и приобщаващо общество след пандемията; по същия начин, както беше подчертано по време на социалната среща на върха в Порто</w:t>
      </w:r>
      <w:r w:rsidRPr="008238CC">
        <w:rPr>
          <w:sz w:val="24"/>
          <w:vertAlign w:val="superscript"/>
        </w:rPr>
        <w:footnoteReference w:id="6"/>
      </w:r>
      <w:r>
        <w:t>, активното участие на социалните партньори и организациите на гражданското общество е от ключово значение за това никой да не бъде изоставен и за ефективното прилагане на Европейския стълб на социалните права.</w:t>
      </w:r>
    </w:p>
    <w:p w:rsidRPr="008238CC" w:rsidR="007915C2" w:rsidP="007915C2" w:rsidRDefault="007915C2" w14:paraId="21884566" w14:textId="77777777">
      <w:pPr>
        <w:rPr>
          <w:color w:val="000000"/>
        </w:rPr>
      </w:pPr>
    </w:p>
    <w:p w:rsidRPr="008238CC" w:rsidR="007915C2" w:rsidP="004C2B98" w:rsidRDefault="007915C2" w14:paraId="03DB267C" w14:textId="77777777">
      <w:pPr>
        <w:pStyle w:val="Heading2"/>
      </w:pPr>
      <w:r>
        <w:t xml:space="preserve">COVID-19 и свързаните мерки излагат на риск устойчивостта на гражданското общество. Правителствата и много донори преустановиха отпускането на безвъзмездни средства и замразиха финансирането, пренасочвайки средства към усилията за смекчаване на последиците от COVID-19. В резултат на това бяха застрашени и без това крехката устойчивост на ОГО, възможността им да продължат да служат на общностите и работните места на много работещи в сферата на гражданското общество, въпреки че от тези организации се очаква много. ЕИСК подчертава, че безвъзмездните средства за организационна устойчивост и финансирането в подкрепа на основната дейност са </w:t>
      </w:r>
      <w:r>
        <w:lastRenderedPageBreak/>
        <w:t>жизненоважни, за да се даде възможност на ОГО да се адаптират към бързо променящите се ситуации и да продължат да работят по време на кризи.</w:t>
      </w:r>
    </w:p>
    <w:p w:rsidRPr="008238CC" w:rsidR="007915C2" w:rsidP="007915C2" w:rsidRDefault="007915C2" w14:paraId="09602104" w14:textId="77777777">
      <w:pPr>
        <w:rPr>
          <w:rFonts w:eastAsia="Calibri"/>
          <w:color w:val="000000"/>
        </w:rPr>
      </w:pPr>
    </w:p>
    <w:p w:rsidRPr="008238CC" w:rsidR="007915C2" w:rsidP="004C2B98" w:rsidRDefault="007915C2" w14:paraId="47DF523F" w14:textId="77777777">
      <w:pPr>
        <w:pStyle w:val="Heading2"/>
        <w:rPr>
          <w:rFonts w:eastAsia="Calibri"/>
        </w:rPr>
      </w:pPr>
      <w:r>
        <w:t>ЕИСК подчерта, че Средиземноморието е един от най-уязвимите райони в света по отношение на изменението на климата. COVID-19 се отрази отрицателно на социалното положение и развитието, поради което стана неотложно приемането на стратегия в областта на устойчивото развитие и зелената икономика.</w:t>
      </w:r>
    </w:p>
    <w:p w:rsidRPr="008238CC" w:rsidR="007915C2" w:rsidP="007915C2" w:rsidRDefault="007915C2" w14:paraId="5D6312C7" w14:textId="77777777">
      <w:pPr>
        <w:outlineLvl w:val="1"/>
        <w:rPr>
          <w:rFonts w:eastAsia="Calibri"/>
          <w:color w:val="000000"/>
        </w:rPr>
      </w:pPr>
    </w:p>
    <w:p w:rsidRPr="008238CC" w:rsidR="007915C2" w:rsidP="004C2B98" w:rsidRDefault="007915C2" w14:paraId="3CD4389B" w14:textId="77777777">
      <w:pPr>
        <w:pStyle w:val="Heading2"/>
        <w:rPr>
          <w:rFonts w:eastAsia="Calibri"/>
        </w:rPr>
      </w:pPr>
      <w:r>
        <w:t>Приемането на планове за възстановяване в Средиземноморския регион представлява потенциална възможност за гарантиране на икономическото, социалното и екологичното развитие на региона. От съществено значение е възможностите за развитие да се обвържат със спазването на принципи като солидарност, борба с неравенствата, защита и спазване на принципите на правовата държава. Активното участие на гражданското общество е от решаващо значение за постигането на всички цели.</w:t>
      </w:r>
    </w:p>
    <w:p w:rsidRPr="008238CC" w:rsidR="007915C2" w:rsidP="007915C2" w:rsidRDefault="007915C2" w14:paraId="348C63C2" w14:textId="77777777">
      <w:pPr>
        <w:outlineLvl w:val="1"/>
        <w:rPr>
          <w:rFonts w:eastAsia="Calibri"/>
          <w:color w:val="000000"/>
        </w:rPr>
      </w:pPr>
    </w:p>
    <w:p w:rsidRPr="008238CC" w:rsidR="007915C2" w:rsidP="004C2B98" w:rsidRDefault="007915C2" w14:paraId="08DBCDF7" w14:textId="77777777">
      <w:pPr>
        <w:pStyle w:val="Heading2"/>
      </w:pPr>
      <w:r>
        <w:t>В държавите от южното съседство бъдещите планове за възстановяване след COVID-19, наред с икономическия растеж, следва да имат първостепенно значение в действията за справяне с екологичните проблеми, свързани с изменението на климата, недостига на вода, опустиняването и замърсяването. Действията за опазване и защита на околната среда може да имат положително въздействие в Средиземноморския регион в резултат на диверсифицирането на икономиката и създаването на качествени работни места. В този контекст ЕИСК изтъква изключително големия потенциал за развитие на възобновяемите енергийни източници (особено слънчевата и вятърната енергия) в южните партньорски държави и призовава ЕС и неговите държави членки да настояват за по-устойчиви общи инвестиции в тази област.</w:t>
      </w:r>
    </w:p>
    <w:p w:rsidRPr="008238CC" w:rsidR="007915C2" w:rsidP="007915C2" w:rsidRDefault="007915C2" w14:paraId="737930F4" w14:textId="77777777">
      <w:pPr>
        <w:outlineLvl w:val="1"/>
        <w:rPr>
          <w:rFonts w:eastAsia="Calibri"/>
          <w:color w:val="000000"/>
        </w:rPr>
      </w:pPr>
    </w:p>
    <w:p w:rsidR="00EF0EED" w:rsidP="004C2B98" w:rsidRDefault="007915C2" w14:paraId="502DD871" w14:textId="77777777">
      <w:pPr>
        <w:pStyle w:val="Heading2"/>
      </w:pPr>
      <w:r>
        <w:t>ЕИСК вече подчерта необходимостта от насърчаване на справедлив преход в Средиземноморския регион с цел, наред с останалото, да се създадат ползи по отношение на здравеопазването, образованието и равенството между половете. За да се гарантира възстановяване, което действително да е насочено към принципите на прехода и цифровизацията, от първостепенно значение ще бъде да се насърчат повишаването на осведомеността и развитието на специални предприемачески способности и цифрови умения. ЕИСК подкрепя призива на южните партньорски държави за по-силна ангажираност на ЕС и неговите държави членки със сътрудничеството в областта на научноизследователската и развойната дейност в Средиземноморието.</w:t>
      </w:r>
    </w:p>
    <w:p w:rsidRPr="008238CC" w:rsidR="007915C2" w:rsidP="007915C2" w:rsidRDefault="007915C2" w14:paraId="47DDAA65" w14:textId="49E4235F">
      <w:pPr>
        <w:outlineLvl w:val="1"/>
        <w:rPr>
          <w:color w:val="000000"/>
        </w:rPr>
      </w:pPr>
    </w:p>
    <w:p w:rsidRPr="008238CC" w:rsidR="007915C2" w:rsidP="00EF0EED" w:rsidRDefault="007915C2" w14:paraId="1DDEB6AA" w14:textId="77777777">
      <w:pPr>
        <w:pStyle w:val="Heading2"/>
        <w:pageBreakBefore/>
      </w:pPr>
      <w:r>
        <w:lastRenderedPageBreak/>
        <w:t>Възстановяването на държавите от южното съседство в контекст, характеризиращ се с висок процент на работещите в неформалната икономика, е тясно свързано и с развитието на ефективен модел на професионално обучение и образование. ЕИСК отново подчертава необходимостта от подобряване на професионалните умения, особено сред младите хора и жените, така че те да могат да ги използват в национална и трансгранична среда, в рамките на подход на „движение на мозъци“. ОГО играят важна роля и за укрепването на уменията чрез неформално образование, организиране на семинари и обучение и насърчаване на социалната икономика. Комитетът отбелязва и необходимостта — вече изтъкната, наред с останалото, от регионалния диалог на СзС със социалните партньори — от участие на социалните партньори с оглед на това да се преодолее несъответствието между търсене и предлагане на пазара на труда.</w:t>
      </w:r>
    </w:p>
    <w:p w:rsidRPr="008238CC" w:rsidR="007915C2" w:rsidRDefault="007915C2" w14:paraId="041266A9" w14:textId="77777777">
      <w:pPr>
        <w:overflowPunct w:val="0"/>
        <w:autoSpaceDE w:val="0"/>
        <w:autoSpaceDN w:val="0"/>
        <w:adjustRightInd w:val="0"/>
        <w:textAlignment w:val="baseline"/>
        <w:rPr>
          <w:color w:val="000000"/>
        </w:rPr>
      </w:pPr>
    </w:p>
    <w:p w:rsidRPr="008238CC" w:rsidR="00D95FB9" w:rsidP="004C2B98" w:rsidRDefault="00D95FB9" w14:paraId="50F91F22" w14:textId="77777777">
      <w:pPr>
        <w:jc w:val="left"/>
        <w:rPr>
          <w:color w:val="000000"/>
        </w:rPr>
      </w:pPr>
      <w:r>
        <w:rPr>
          <w:color w:val="000000"/>
        </w:rPr>
        <w:t>Брюксел, 24.1.2023 г.</w:t>
      </w:r>
    </w:p>
    <w:p w:rsidRPr="008238CC" w:rsidR="00D95FB9" w:rsidP="004C2B98" w:rsidRDefault="00D95FB9" w14:paraId="002C4EF8" w14:textId="77777777">
      <w:pPr>
        <w:jc w:val="left"/>
        <w:rPr>
          <w:color w:val="000000"/>
        </w:rPr>
      </w:pPr>
    </w:p>
    <w:p w:rsidRPr="008238CC" w:rsidR="00D95FB9" w:rsidP="004C2B98" w:rsidRDefault="00D95FB9" w14:paraId="3EDE3DFC" w14:textId="77777777">
      <w:pPr>
        <w:jc w:val="left"/>
        <w:rPr>
          <w:color w:val="000000"/>
        </w:rPr>
      </w:pPr>
    </w:p>
    <w:p w:rsidRPr="008238CC" w:rsidR="00D95FB9" w:rsidP="004C2B98" w:rsidRDefault="00D95FB9" w14:paraId="6EFCC7BC" w14:textId="77777777">
      <w:pPr>
        <w:jc w:val="left"/>
        <w:rPr>
          <w:color w:val="000000"/>
        </w:rPr>
      </w:pPr>
    </w:p>
    <w:p w:rsidRPr="008238CC" w:rsidR="00D95FB9" w:rsidP="004C2B98" w:rsidRDefault="00D95FB9" w14:paraId="728761B1" w14:textId="77777777">
      <w:pPr>
        <w:jc w:val="left"/>
        <w:rPr>
          <w:color w:val="000000"/>
        </w:rPr>
      </w:pPr>
      <w:r>
        <w:rPr>
          <w:color w:val="000000"/>
        </w:rPr>
        <w:t>Christa Schweng,</w:t>
      </w:r>
    </w:p>
    <w:p w:rsidRPr="008238CC" w:rsidR="007915C2" w:rsidP="004C2B98" w:rsidRDefault="00D95FB9" w14:paraId="4EBBC0CE" w14:textId="77777777">
      <w:pPr>
        <w:jc w:val="left"/>
        <w:rPr>
          <w:color w:val="000000"/>
        </w:rPr>
      </w:pPr>
      <w:r>
        <w:rPr>
          <w:color w:val="000000"/>
        </w:rPr>
        <w:t>председател на Европейския икономически и социален комитет</w:t>
      </w:r>
    </w:p>
    <w:p w:rsidRPr="008238CC" w:rsidR="007915C2" w:rsidP="007915C2" w:rsidRDefault="007915C2" w14:paraId="13E08245" w14:textId="77777777">
      <w:pPr>
        <w:spacing w:line="240" w:lineRule="auto"/>
        <w:jc w:val="left"/>
        <w:rPr>
          <w:color w:val="000000"/>
        </w:rPr>
      </w:pPr>
      <w:r>
        <w:br w:type="page"/>
      </w:r>
    </w:p>
    <w:p w:rsidRPr="008238CC" w:rsidR="007915C2" w:rsidP="007915C2" w:rsidRDefault="007915C2" w14:paraId="26F245F8" w14:textId="77777777">
      <w:pPr>
        <w:jc w:val="right"/>
        <w:rPr>
          <w:b/>
          <w:color w:val="000000"/>
          <w:sz w:val="28"/>
          <w:szCs w:val="28"/>
        </w:rPr>
      </w:pPr>
      <w:r>
        <w:rPr>
          <w:b/>
          <w:color w:val="000000"/>
          <w:sz w:val="28"/>
        </w:rPr>
        <w:lastRenderedPageBreak/>
        <w:t>Appendix I</w:t>
      </w:r>
    </w:p>
    <w:p w:rsidRPr="008238CC" w:rsidR="007915C2" w:rsidP="007915C2" w:rsidRDefault="007915C2" w14:paraId="3772F7B6" w14:textId="77777777">
      <w:pPr>
        <w:rPr>
          <w:color w:val="000000"/>
        </w:rPr>
      </w:pPr>
    </w:p>
    <w:p w:rsidRPr="008238CC" w:rsidR="007915C2" w:rsidP="004C2B98" w:rsidRDefault="007915C2" w14:paraId="5095D8EF" w14:textId="77777777">
      <w:pPr>
        <w:pStyle w:val="Heading1"/>
        <w:numPr>
          <w:ilvl w:val="0"/>
          <w:numId w:val="6"/>
        </w:numPr>
      </w:pPr>
      <w:r>
        <w:t>Country update</w:t>
      </w:r>
    </w:p>
    <w:p w:rsidRPr="008238CC" w:rsidR="007915C2" w:rsidP="007915C2" w:rsidRDefault="007915C2" w14:paraId="1FB01E2B" w14:textId="77777777">
      <w:pPr>
        <w:keepNext/>
        <w:keepLines/>
        <w:rPr>
          <w:color w:val="000000"/>
        </w:rPr>
      </w:pPr>
    </w:p>
    <w:p w:rsidRPr="008238CC" w:rsidR="007915C2" w:rsidP="004C2B98" w:rsidRDefault="007915C2" w14:paraId="42822D30" w14:textId="77777777">
      <w:pPr>
        <w:pStyle w:val="Heading2"/>
      </w:pPr>
      <w:r>
        <w:t>Egypt</w:t>
      </w:r>
    </w:p>
    <w:p w:rsidRPr="008238CC" w:rsidR="007915C2" w:rsidP="007915C2" w:rsidRDefault="007915C2" w14:paraId="170C74EA" w14:textId="77777777">
      <w:pPr>
        <w:keepNext/>
        <w:keepLines/>
        <w:rPr>
          <w:color w:val="000000"/>
        </w:rPr>
      </w:pPr>
    </w:p>
    <w:p w:rsidRPr="008238CC" w:rsidR="007915C2" w:rsidP="004C2B98" w:rsidRDefault="007915C2" w14:paraId="53EDECC1" w14:textId="77777777">
      <w:pPr>
        <w:pStyle w:val="Heading3"/>
      </w:pPr>
      <w:r>
        <w:t>According to the World Bank, recent structural and macroeconomic reforms have helped stabilise the economy. However, the impact of COVID-19 has undermined progress. Some key sectors such as tourism, manufacturing, the Suez Canal and mining were particularly affected by the restrictive measures adopted. To tackle the impact of the crisis, support measures were put in place for the hardest hit sectors and aid given to irregular workers. The World Bank estimates that Egypt will recover to pre-crisis levels between 2021 and 2023, but much will depend on the vaccination campaign. The multidimensional nature of the crisis has highlighted the need to undertake deeper reforms in the social, digital transformation and green transition spheres .</w:t>
      </w:r>
    </w:p>
    <w:p w:rsidRPr="008238CC" w:rsidR="007915C2" w:rsidP="007915C2" w:rsidRDefault="007915C2" w14:paraId="69A08758" w14:textId="77777777">
      <w:pPr>
        <w:rPr>
          <w:color w:val="000000"/>
        </w:rPr>
      </w:pPr>
    </w:p>
    <w:p w:rsidRPr="008238CC" w:rsidR="007915C2" w:rsidP="004C2B98" w:rsidRDefault="007915C2" w14:paraId="4E753600" w14:textId="77777777">
      <w:pPr>
        <w:pStyle w:val="Heading2"/>
      </w:pPr>
      <w:r>
        <w:t>Libya</w:t>
      </w:r>
    </w:p>
    <w:p w:rsidRPr="008238CC" w:rsidR="007915C2" w:rsidP="007915C2" w:rsidRDefault="007915C2" w14:paraId="01A58195" w14:textId="77777777">
      <w:pPr>
        <w:keepNext/>
        <w:keepLines/>
        <w:rPr>
          <w:color w:val="000000"/>
        </w:rPr>
      </w:pPr>
    </w:p>
    <w:p w:rsidR="00EF0EED" w:rsidP="004C2B98" w:rsidRDefault="007915C2" w14:paraId="5341725B" w14:textId="77777777">
      <w:pPr>
        <w:pStyle w:val="Heading3"/>
      </w:pPr>
      <w:r>
        <w:t>Libya's economy is feeling the effects not only of the pandemic crisis but also of the uncertain political and institutional situation resulting from the ongoing conflict. The country's economy is largely dependent on the production and sale of oil; the fallout from the pandemic crisis and the restrictions imposed saw a sharp decline in mining and refining activities and reduced oil production. The Central Bank in Tripoli has reported that the blockade of key sectors has led to an estimated loss of tax revenue of around USD 11 billion. The World Bank expects a slow recovery from 2021 onwards and has highlighted the urgent need for structural investment and social reforms in particular for the most vulnerable groups .</w:t>
      </w:r>
    </w:p>
    <w:p w:rsidRPr="008238CC" w:rsidR="007915C2" w:rsidP="007915C2" w:rsidRDefault="007915C2" w14:paraId="66642578" w14:textId="09D5343B">
      <w:pPr>
        <w:rPr>
          <w:color w:val="000000"/>
        </w:rPr>
      </w:pPr>
    </w:p>
    <w:p w:rsidR="00EF0EED" w:rsidP="004C2B98" w:rsidRDefault="007915C2" w14:paraId="2094ADCA" w14:textId="77777777">
      <w:pPr>
        <w:pStyle w:val="Heading2"/>
      </w:pPr>
      <w:r>
        <w:t>Tunisia</w:t>
      </w:r>
    </w:p>
    <w:p w:rsidRPr="008238CC" w:rsidR="007915C2" w:rsidP="007915C2" w:rsidRDefault="007915C2" w14:paraId="7967D068" w14:textId="10CCEC5F">
      <w:pPr>
        <w:keepNext/>
        <w:keepLines/>
        <w:rPr>
          <w:color w:val="000000"/>
        </w:rPr>
      </w:pPr>
    </w:p>
    <w:p w:rsidR="00EF0EED" w:rsidP="004C2B98" w:rsidRDefault="007915C2" w14:paraId="46E64CE5" w14:textId="77777777">
      <w:pPr>
        <w:pStyle w:val="Heading3"/>
      </w:pPr>
      <w:r>
        <w:t>The pandemic crisis came on top of an already difficult macroeconomic situation. Civil society and the trade unions are calling for development plans and measures to improve economic and social conditions. The World Bank reports that real GDP contracted by 8.8% in the course of 2020. There were sharp declines in certain sectors such as tourism and transport, with a fall of 80% in the number of passengers arriving into the country. For the current year, the World Bank projects growth of 4%. As in many countries, the recovery will hinge on the success of the vaccination campaign and on the adoption of a recovery plan that takes into account aspects such as social policy, employment and the green and digital transition. It is important to highlight the active role of the social partners, and the proposal put forward by the Tunisian General Labour Union (UGTT) for a national dialogue to address the country's structural problems, which have been exacerbated by the pandemic crisis.</w:t>
      </w:r>
    </w:p>
    <w:p w:rsidRPr="008238CC" w:rsidR="007915C2" w:rsidP="007915C2" w:rsidRDefault="007915C2" w14:paraId="5632EF6B" w14:textId="02DBD77B">
      <w:pPr>
        <w:rPr>
          <w:color w:val="000000"/>
        </w:rPr>
      </w:pPr>
    </w:p>
    <w:p w:rsidRPr="008238CC" w:rsidR="007915C2" w:rsidP="004C2B98" w:rsidRDefault="007915C2" w14:paraId="7B17C25F" w14:textId="77777777">
      <w:pPr>
        <w:pStyle w:val="Heading2"/>
      </w:pPr>
      <w:r>
        <w:t>Algeria</w:t>
      </w:r>
    </w:p>
    <w:p w:rsidRPr="008238CC" w:rsidR="007915C2" w:rsidP="007915C2" w:rsidRDefault="007915C2" w14:paraId="5988A2EF" w14:textId="77777777">
      <w:pPr>
        <w:keepNext/>
        <w:rPr>
          <w:color w:val="000000"/>
        </w:rPr>
      </w:pPr>
    </w:p>
    <w:p w:rsidR="00EF0EED" w:rsidP="004C2B98" w:rsidRDefault="007915C2" w14:paraId="601BCB1B" w14:textId="77777777">
      <w:pPr>
        <w:pStyle w:val="Heading3"/>
      </w:pPr>
      <w:r>
        <w:t xml:space="preserve">Just as in neighbouring countries, Algeria saw its economy contract sharply in 2020. To drive economic recovery, the Algerian authorities have announced plans for public investments and a number of reforms to support the recovery and protect households. The hydrocarbon sector was </w:t>
      </w:r>
      <w:r>
        <w:lastRenderedPageBreak/>
        <w:t>the sector hardest hit by the pandemic crisis, declining by 8.5% according to the World Bank's figures .</w:t>
      </w:r>
    </w:p>
    <w:p w:rsidRPr="008238CC" w:rsidR="007915C2" w:rsidP="007915C2" w:rsidRDefault="007915C2" w14:paraId="3DFFCA4B" w14:textId="0C20C46A">
      <w:pPr>
        <w:rPr>
          <w:color w:val="000000"/>
        </w:rPr>
      </w:pPr>
    </w:p>
    <w:p w:rsidRPr="008238CC" w:rsidR="007915C2" w:rsidP="004C2B98" w:rsidRDefault="007915C2" w14:paraId="1900798A" w14:textId="77777777">
      <w:pPr>
        <w:pStyle w:val="Heading2"/>
      </w:pPr>
      <w:r>
        <w:t>Morocco</w:t>
      </w:r>
    </w:p>
    <w:p w:rsidRPr="008238CC" w:rsidR="007915C2" w:rsidP="007915C2" w:rsidRDefault="007915C2" w14:paraId="424351E3" w14:textId="77777777">
      <w:pPr>
        <w:keepNext/>
        <w:keepLines/>
        <w:rPr>
          <w:color w:val="000000"/>
        </w:rPr>
      </w:pPr>
    </w:p>
    <w:p w:rsidR="00EF0EED" w:rsidP="004C2B98" w:rsidRDefault="007915C2" w14:paraId="64E96417" w14:textId="77777777">
      <w:pPr>
        <w:pStyle w:val="Heading3"/>
      </w:pPr>
      <w:r>
        <w:t>Morocco's economy contracted sharply in the course of 2020, amounting to 7.6% of GDP, according to the World Bank. In response to the pandemic crisis, a number of measures were introduced to mitigate the adverse effects on households, businesses and workers . An economic recovery plan was announced in the summer of 2020 and legislative measures were adopted to strengthen the health sector and extend welfare especially to the most vulnerable sections of the population.</w:t>
      </w:r>
    </w:p>
    <w:p w:rsidRPr="008238CC" w:rsidR="007915C2" w:rsidP="007915C2" w:rsidRDefault="007915C2" w14:paraId="1AB4AA40" w14:textId="254BB848">
      <w:pPr>
        <w:rPr>
          <w:color w:val="000000"/>
        </w:rPr>
      </w:pPr>
    </w:p>
    <w:p w:rsidRPr="008238CC" w:rsidR="007915C2" w:rsidP="004C2B98" w:rsidRDefault="007915C2" w14:paraId="1FF40FE0" w14:textId="77777777">
      <w:pPr>
        <w:pStyle w:val="Heading2"/>
      </w:pPr>
      <w:r>
        <w:t>Jordan</w:t>
      </w:r>
    </w:p>
    <w:p w:rsidRPr="008238CC" w:rsidR="007915C2" w:rsidP="007915C2" w:rsidRDefault="007915C2" w14:paraId="7111C7CF" w14:textId="77777777">
      <w:pPr>
        <w:keepNext/>
        <w:keepLines/>
        <w:rPr>
          <w:color w:val="000000"/>
        </w:rPr>
      </w:pPr>
    </w:p>
    <w:p w:rsidRPr="008238CC" w:rsidR="007915C2" w:rsidP="004C2B98" w:rsidRDefault="007915C2" w14:paraId="522B3C52" w14:textId="77777777">
      <w:pPr>
        <w:pStyle w:val="Heading3"/>
      </w:pPr>
      <w:r>
        <w:t>The pandemic crisis has had a negative effect on Jordan's economy, particularly affecting the tourism sector, which is one of the key sectors for the economy and one of its main sources of employment. Following a GDP contraction of 1.4% in 2020, the World Bank estimates growth of 1.4% in 2021.</w:t>
      </w:r>
    </w:p>
    <w:p w:rsidRPr="008238CC" w:rsidR="007915C2" w:rsidP="007915C2" w:rsidRDefault="007915C2" w14:paraId="5FB5F3D3" w14:textId="77777777">
      <w:pPr>
        <w:rPr>
          <w:color w:val="000000"/>
        </w:rPr>
      </w:pPr>
    </w:p>
    <w:p w:rsidRPr="008238CC" w:rsidR="007915C2" w:rsidP="004C2B98" w:rsidRDefault="007915C2" w14:paraId="6257BDEB" w14:textId="77777777">
      <w:pPr>
        <w:pStyle w:val="Heading2"/>
      </w:pPr>
      <w:r>
        <w:t>Lebanon</w:t>
      </w:r>
    </w:p>
    <w:p w:rsidRPr="008238CC" w:rsidR="007915C2" w:rsidP="007915C2" w:rsidRDefault="007915C2" w14:paraId="5B1DB929" w14:textId="77777777">
      <w:pPr>
        <w:keepNext/>
        <w:keepLines/>
        <w:rPr>
          <w:color w:val="000000"/>
        </w:rPr>
      </w:pPr>
    </w:p>
    <w:p w:rsidR="00EF0EED" w:rsidP="004C2B98" w:rsidRDefault="007915C2" w14:paraId="063537F9" w14:textId="77777777">
      <w:pPr>
        <w:pStyle w:val="Heading3"/>
      </w:pPr>
      <w:r>
        <w:t>Lebanon is experiencing a profound economic, social and political crisis. The pandemic crisis has made a bad situation worse with an increasing share of the population living in poverty. The economic crisis is the worst in recent decades, with GDP falling by 37.1% in 2020, according to the World Bank. The social situation is unstable and is exacerbated by the high numbers of refugees in Palestinian refugee camps. The tourism sector, and its related industries, has been among the sectors hardest hit by the pandemic crisis. Last December, the World Bank, in cooperation with the United Nations and the European Union, set up the Lebanon Financing Facility (LFF), a fund to support the country's socio-economic recovery and the Lebanese government in its reform and reconstruction process .</w:t>
      </w:r>
    </w:p>
    <w:p w:rsidRPr="008238CC" w:rsidR="007915C2" w:rsidP="007915C2" w:rsidRDefault="007915C2" w14:paraId="4715D4CE" w14:textId="68B1C090">
      <w:pPr>
        <w:rPr>
          <w:color w:val="000000"/>
        </w:rPr>
      </w:pPr>
    </w:p>
    <w:p w:rsidRPr="008238CC" w:rsidR="007915C2" w:rsidP="004C2B98" w:rsidRDefault="007915C2" w14:paraId="2B91ABD1" w14:textId="77777777">
      <w:pPr>
        <w:pStyle w:val="Heading2"/>
      </w:pPr>
      <w:r>
        <w:t>Syria</w:t>
      </w:r>
    </w:p>
    <w:p w:rsidRPr="008238CC" w:rsidR="007915C2" w:rsidP="007915C2" w:rsidRDefault="007915C2" w14:paraId="0E79479F" w14:textId="77777777">
      <w:pPr>
        <w:keepNext/>
        <w:keepLines/>
        <w:rPr>
          <w:color w:val="000000"/>
        </w:rPr>
      </w:pPr>
    </w:p>
    <w:p w:rsidR="00EF0EED" w:rsidP="004C2B98" w:rsidRDefault="007915C2" w14:paraId="18C9C42D" w14:textId="77777777">
      <w:pPr>
        <w:pStyle w:val="Heading3"/>
      </w:pPr>
      <w:r>
        <w:t>The pandemic crisis came against a political, economic and social backdrop already devastated by the conflict, which, according to the UN, has resulted in more than 6.6 million Syrian refugees and 6.7 million internally displaced persons (March 2021) after ten years. Years of conflict have left the healthcare system incredibly fragile and weak, and although attacks on healthcare facilities decreased in 2020, the COVID-19 pandemic has eroded the system further, stretching it to an even more critical level . As set out in the Final Declaration of the Fourth Conference of 30 June 2020 , on Supporting the future of Syria and the region, the international community pledged a total of EUR 6.9 billion for Syria and countries hosting Syrian refugees.</w:t>
      </w:r>
    </w:p>
    <w:p w:rsidRPr="008238CC" w:rsidR="007915C2" w:rsidP="007915C2" w:rsidRDefault="007915C2" w14:paraId="43F1955B" w14:textId="42B0EEE6">
      <w:pPr>
        <w:rPr>
          <w:color w:val="000000"/>
        </w:rPr>
      </w:pPr>
    </w:p>
    <w:p w:rsidRPr="008238CC" w:rsidR="007915C2" w:rsidP="004C2B98" w:rsidRDefault="007915C2" w14:paraId="25FBA8EA" w14:textId="77777777">
      <w:pPr>
        <w:pStyle w:val="Heading2"/>
      </w:pPr>
      <w:r>
        <w:t>Palestine</w:t>
      </w:r>
    </w:p>
    <w:p w:rsidRPr="008238CC" w:rsidR="007915C2" w:rsidP="007915C2" w:rsidRDefault="007915C2" w14:paraId="428BDF37" w14:textId="77777777">
      <w:pPr>
        <w:keepNext/>
        <w:rPr>
          <w:color w:val="000000"/>
        </w:rPr>
      </w:pPr>
    </w:p>
    <w:p w:rsidRPr="008238CC" w:rsidR="007915C2" w:rsidP="004C2B98" w:rsidRDefault="007915C2" w14:paraId="0AFF2264" w14:textId="77777777">
      <w:pPr>
        <w:pStyle w:val="Heading3"/>
      </w:pPr>
      <w:r>
        <w:t xml:space="preserve">Palestine's economy has been adversely affected by the pandemic crisis. According to the World Bank, after three years of economic growth above 2%, GDP contracted by 8% in 2020, </w:t>
      </w:r>
      <w:r>
        <w:lastRenderedPageBreak/>
        <w:t>while a modest recovery of around 2.5% is expected in 2021. The growth estimates may, however, not come to pass due to the political instability in the area and heightened Israeli-Palestinian tensions .</w:t>
      </w:r>
    </w:p>
    <w:p w:rsidRPr="008238CC" w:rsidR="007915C2" w:rsidP="007915C2" w:rsidRDefault="007915C2" w14:paraId="78D70EE5" w14:textId="77777777">
      <w:pPr>
        <w:rPr>
          <w:color w:val="000000"/>
        </w:rPr>
      </w:pPr>
    </w:p>
    <w:p w:rsidRPr="008238CC" w:rsidR="007915C2" w:rsidP="004C2B98" w:rsidRDefault="007915C2" w14:paraId="6D636CB6" w14:textId="77777777">
      <w:pPr>
        <w:pStyle w:val="Heading2"/>
      </w:pPr>
      <w:r>
        <w:t>Israel</w:t>
      </w:r>
    </w:p>
    <w:p w:rsidRPr="008238CC" w:rsidR="007915C2" w:rsidP="007915C2" w:rsidRDefault="007915C2" w14:paraId="1A4E7655" w14:textId="77777777">
      <w:pPr>
        <w:keepNext/>
        <w:rPr>
          <w:color w:val="000000"/>
        </w:rPr>
      </w:pPr>
    </w:p>
    <w:p w:rsidR="00EF0EED" w:rsidP="004C2B98" w:rsidRDefault="007915C2" w14:paraId="7BFEE2DF" w14:textId="77777777">
      <w:pPr>
        <w:pStyle w:val="Heading3"/>
      </w:pPr>
      <w:r>
        <w:t>Israel's economy, according to OECD figures, contracted by around 4.25% in the course of 2020, with growth forecast to be around 5% in 2021 and 4.5% in 2022 . The government introduced measures to support households and businesses in difficulty. Many sectors were hit by the pandemic crisis; young people and women were found to be the groups most affected by the effects of the pandemic containment measures. The Israeli government intervened in support of the most affected sectors by introducing economic stimulus packages, extending unemployment benefits and introducing supports for the self-employed, large families, older people and vulnerable groups.</w:t>
      </w:r>
    </w:p>
    <w:p w:rsidRPr="008238CC" w:rsidR="007915C2" w:rsidP="007915C2" w:rsidRDefault="007915C2" w14:paraId="5CDE1A9F" w14:textId="0F77A4ED">
      <w:pPr>
        <w:rPr>
          <w:color w:val="000000"/>
        </w:rPr>
      </w:pPr>
    </w:p>
    <w:p w:rsidRPr="008238CC" w:rsidR="007915C2" w:rsidP="007915C2" w:rsidRDefault="007915C2" w14:paraId="4FB020A6" w14:textId="77777777">
      <w:pPr>
        <w:overflowPunct w:val="0"/>
        <w:autoSpaceDE w:val="0"/>
        <w:autoSpaceDN w:val="0"/>
        <w:adjustRightInd w:val="0"/>
        <w:jc w:val="center"/>
        <w:textAlignment w:val="baseline"/>
        <w:rPr>
          <w:color w:val="000000"/>
        </w:rPr>
      </w:pPr>
      <w:r>
        <w:rPr>
          <w:color w:val="000000"/>
        </w:rPr>
        <w:t>_____________</w:t>
      </w:r>
    </w:p>
    <w:p w:rsidRPr="008238CC" w:rsidR="007915C2" w:rsidP="007915C2" w:rsidRDefault="007915C2" w14:paraId="32E166CF" w14:textId="77777777">
      <w:pPr>
        <w:rPr>
          <w:color w:val="000000"/>
        </w:rPr>
      </w:pPr>
    </w:p>
    <w:p w:rsidRPr="008238CC" w:rsidR="007915C2" w:rsidP="007915C2" w:rsidRDefault="007915C2" w14:paraId="0C31D943" w14:textId="77777777">
      <w:pPr>
        <w:spacing w:line="240" w:lineRule="auto"/>
        <w:jc w:val="left"/>
        <w:rPr>
          <w:color w:val="000000"/>
        </w:rPr>
      </w:pPr>
      <w:r>
        <w:br w:type="page"/>
      </w:r>
    </w:p>
    <w:p w:rsidRPr="008238CC" w:rsidR="007915C2" w:rsidP="007915C2" w:rsidRDefault="007915C2" w14:paraId="6F688C72" w14:textId="77777777">
      <w:pPr>
        <w:keepNext/>
        <w:keepLines/>
        <w:spacing w:before="240" w:after="160" w:line="256" w:lineRule="auto"/>
        <w:ind w:left="360"/>
        <w:jc w:val="right"/>
        <w:outlineLvl w:val="0"/>
        <w:rPr>
          <w:rFonts w:ascii="Calibri" w:hAnsi="Calibri" w:cs="Calibri"/>
          <w:b/>
          <w:bCs/>
          <w:color w:val="000000"/>
          <w:sz w:val="28"/>
          <w:szCs w:val="28"/>
        </w:rPr>
      </w:pPr>
      <w:r>
        <w:rPr>
          <w:rFonts w:ascii="Calibri" w:hAnsi="Calibri"/>
          <w:b/>
          <w:color w:val="000000"/>
          <w:sz w:val="28"/>
        </w:rPr>
        <w:lastRenderedPageBreak/>
        <w:t>Appendix II</w:t>
      </w:r>
    </w:p>
    <w:p w:rsidRPr="008238CC" w:rsidR="007915C2" w:rsidP="007915C2" w:rsidRDefault="007915C2" w14:paraId="18E0D898" w14:textId="77777777">
      <w:pPr>
        <w:spacing w:after="160" w:line="256" w:lineRule="auto"/>
        <w:jc w:val="left"/>
        <w:rPr>
          <w:rFonts w:ascii="Calibri" w:hAnsi="Calibri" w:eastAsia="Calibri" w:cs="Arial"/>
          <w:color w:val="000000"/>
        </w:rPr>
      </w:pPr>
    </w:p>
    <w:p w:rsidRPr="008238CC" w:rsidR="007915C2" w:rsidP="007915C2" w:rsidRDefault="007915C2" w14:paraId="04E1F758" w14:textId="77777777">
      <w:pPr>
        <w:spacing w:after="160" w:line="256" w:lineRule="auto"/>
        <w:jc w:val="left"/>
        <w:rPr>
          <w:rFonts w:ascii="Calibri" w:hAnsi="Calibri" w:eastAsia="Calibri" w:cs="Arial"/>
          <w:b/>
          <w:color w:val="000000"/>
        </w:rPr>
      </w:pPr>
      <w:r>
        <w:rPr>
          <w:rFonts w:ascii="Calibri" w:hAnsi="Calibri"/>
          <w:b/>
          <w:color w:val="000000"/>
        </w:rPr>
        <w:t>L'expérience du Maroc</w:t>
      </w:r>
    </w:p>
    <w:p w:rsidRPr="008238CC" w:rsidR="007915C2" w:rsidP="007915C2" w:rsidRDefault="007915C2" w14:paraId="6BDAA051" w14:textId="77777777">
      <w:pPr>
        <w:spacing w:after="160" w:line="256" w:lineRule="auto"/>
        <w:rPr>
          <w:rFonts w:ascii="Calibri" w:hAnsi="Calibri" w:eastAsia="Calibri" w:cs="Calibri"/>
          <w:color w:val="000000"/>
        </w:rPr>
      </w:pPr>
      <w:r>
        <w:rPr>
          <w:rFonts w:ascii="Calibri" w:hAnsi="Calibri"/>
          <w:color w:val="000000"/>
        </w:rPr>
        <w:t>La présente étude intervient alors que la pandémie Covid-19 continue toujours de sévir, créant ainsi un climat chargé de craintes et d’incertitudes qui contribue à assombrir et rendre plus floues les perspectives à court et à moyen termes. Les effets réels demeurent donc difficiles à appréhender et un retour à la normale reste tributaire, d’une part, de la capacité de notre pays à atténuer les répercussions de la crise socio-économique, tant en termes de ressources que de stratégies, et d’autre part, du degré d’efficacité du système de santé national.</w:t>
      </w:r>
    </w:p>
    <w:p w:rsidR="00EF0EED" w:rsidP="007915C2" w:rsidRDefault="007915C2" w14:paraId="06658E5E" w14:textId="77777777">
      <w:pPr>
        <w:spacing w:after="160" w:line="256" w:lineRule="auto"/>
        <w:rPr>
          <w:rFonts w:ascii="Calibri" w:hAnsi="Calibri"/>
          <w:color w:val="000000"/>
        </w:rPr>
      </w:pPr>
      <w:r>
        <w:rPr>
          <w:rFonts w:ascii="Calibri" w:hAnsi="Calibri"/>
          <w:color w:val="000000"/>
        </w:rPr>
        <w:t>A ce jour, les impacts de la crise de la Covid-19, et malgré l’importance et le caractère volontariste des mesures prises dans le cadre de l’état d’urgence sanitaire, sont profonds et multiformes et touchent aussi bien la dynamique économique que le bien-être des citoyens, la qualité et l’efficacité des services publics ou encore les conditions environnementales. La gravité de ces répercussions n’est toutefois pas fortuite. En effet, l’existence préalable de faiblesses structurelles et de vulnérabilités systémiques dans notre modèle de développement actuel qui a atteint ses limites, a exacerbé les difficultés auxquelles notre pays reste confronté, résultat notamment du retard accumulé dans des chantiers capitaux tels que l’universalisation de la protection sociale, la mise à niveau du secteur de la santé, la réforme du secteur éducation, l’intégration des activités informelles, la consolidation des droits fondamentaux, la régionalisation avancée et le renforcement et la mise à niveau des entreprises marocaines.</w:t>
      </w:r>
    </w:p>
    <w:p w:rsidR="00EF0EED" w:rsidP="007915C2" w:rsidRDefault="007915C2" w14:paraId="5ECF943A" w14:textId="77777777">
      <w:pPr>
        <w:spacing w:after="160" w:line="256" w:lineRule="auto"/>
        <w:rPr>
          <w:rFonts w:ascii="Calibri" w:hAnsi="Calibri"/>
          <w:color w:val="000000"/>
        </w:rPr>
      </w:pPr>
      <w:r>
        <w:rPr>
          <w:rFonts w:ascii="Calibri" w:hAnsi="Calibri"/>
          <w:color w:val="000000"/>
        </w:rPr>
        <w:t xml:space="preserve">Toutefois, au regard des évolutions observées jusqu’à maintenant, et au-delà de la gravité des impacts induits et anticipés, le CESE estime que cette crise représente une opportunité réelle pour un changement radical de nos modes d’organisation, de gestion, de production et de consommation. Une telle transformation requiert des réformes structurelles profondes, à même de contribuer à préparer le Maroc à une mise en œuvre optimale du modèle de développement qui est actuellement en cours de redéfinition. L’objectif final de ces réformes à caractère multidimensionnel et global consiste bien entendu à résorber les effets de cette crise sanitaire sur le court-terme (objet ambitieux mais atteignable), mais également à contribuer à poser les bases d’un Maroc plus juste, inclusif, résilient et prospère.   </w:t>
      </w:r>
    </w:p>
    <w:p w:rsidR="00EF0EED" w:rsidP="007915C2" w:rsidRDefault="007915C2" w14:paraId="449DFCAC" w14:textId="77777777">
      <w:pPr>
        <w:spacing w:after="160" w:line="256" w:lineRule="auto"/>
        <w:rPr>
          <w:rFonts w:ascii="Calibri" w:hAnsi="Calibri"/>
          <w:color w:val="000000"/>
        </w:rPr>
      </w:pPr>
      <w:r>
        <w:rPr>
          <w:rFonts w:ascii="Calibri" w:hAnsi="Calibri"/>
          <w:color w:val="000000"/>
        </w:rPr>
        <w:t xml:space="preserve">Afin de caractériser les dynamiques en cours et de formuler des recommandations opérationnelles, le CESE a organisé de nombreuses auditions, incluant tant les représentants des institutions publiques nationales (ministères, agences, conseils élus, </w:t>
      </w:r>
      <w:r>
        <w:rPr>
          <w:rFonts w:ascii="Calibri" w:hAnsi="Calibri"/>
          <w:i/>
          <w:color w:val="000000"/>
        </w:rPr>
        <w:t>etc.</w:t>
      </w:r>
      <w:r>
        <w:rPr>
          <w:rFonts w:ascii="Calibri" w:hAnsi="Calibri"/>
          <w:color w:val="000000"/>
        </w:rPr>
        <w:t>), que ceux d’institutions internationales, d’associations et fédérations professionnelles, de syndicats de la santé, de cabinets de conseil internationaux et d’experts reconnus (84 acteurs auditionnés). Il a également examiné les textes législatifs et réglementaires en vigueur, les différentes études nationales et internationales réalisées, ainsi que les contributions académiques publiées sur cette thématique.</w:t>
      </w:r>
    </w:p>
    <w:p w:rsidRPr="008238CC" w:rsidR="007915C2" w:rsidP="007915C2" w:rsidRDefault="007915C2" w14:paraId="6ECAF9E2" w14:textId="5C766217">
      <w:pPr>
        <w:spacing w:after="160" w:line="256" w:lineRule="auto"/>
        <w:rPr>
          <w:rFonts w:ascii="Calibri" w:hAnsi="Calibri" w:eastAsia="Calibri" w:cs="Calibri"/>
          <w:b/>
          <w:bCs/>
          <w:i/>
          <w:iCs/>
          <w:color w:val="000000"/>
        </w:rPr>
      </w:pPr>
      <w:r>
        <w:rPr>
          <w:rFonts w:ascii="Calibri" w:hAnsi="Calibri"/>
          <w:b/>
          <w:i/>
          <w:color w:val="000000"/>
        </w:rPr>
        <w:t>La crise que vit le monde actuellement est inédite par sa nature et par l’ampleur des retombées socio-économiques qu’elle a induit, et continue d’induire</w:t>
      </w:r>
      <w:r w:rsidRPr="008238CC">
        <w:rPr>
          <w:rFonts w:ascii="Calibri" w:hAnsi="Calibri" w:eastAsia="Calibri" w:cs="Calibri"/>
          <w:b/>
          <w:bCs/>
          <w:i/>
          <w:iCs/>
          <w:color w:val="000000"/>
          <w:vertAlign w:val="superscript"/>
        </w:rPr>
        <w:footnoteReference w:id="7"/>
      </w:r>
    </w:p>
    <w:p w:rsidR="00EF0EED" w:rsidP="007915C2" w:rsidRDefault="007915C2" w14:paraId="3C934B55" w14:textId="77777777">
      <w:pPr>
        <w:spacing w:after="160" w:line="256" w:lineRule="auto"/>
        <w:rPr>
          <w:rFonts w:ascii="Calibri" w:hAnsi="Calibri"/>
          <w:color w:val="000000"/>
        </w:rPr>
      </w:pPr>
      <w:r>
        <w:rPr>
          <w:rFonts w:ascii="Calibri" w:hAnsi="Calibri"/>
          <w:color w:val="000000"/>
        </w:rPr>
        <w:lastRenderedPageBreak/>
        <w:t xml:space="preserve">S’étant propagée à tous les pays, la pandémie de la Covid-19 a mis les décideurs publics devant un dilemme, en les acculant à arbitrer entre l’imposition d’un confinement strict pour une logique surdéterminée par la sauvegarde de la vie des citoyens et la poursuite de règles sanitaires moins contraignantes, dans le sens de privilégier beaucoup plus l’activité économique. Mais quel que fût le choix, toutes les économies ont eu à subir, à des degrés divers et de façon concomitante, un double choc négatif : au niveau de l’offre, du fait du repli drastique de l’activité des entreprises ; au niveau de la demande, en lien avec la baisse du pouvoir d’achat d’un nombre très important de ménages. </w:t>
      </w:r>
    </w:p>
    <w:p w:rsidR="00EF0EED" w:rsidP="007915C2" w:rsidRDefault="007915C2" w14:paraId="009A9E17" w14:textId="77777777">
      <w:pPr>
        <w:spacing w:after="160" w:line="256" w:lineRule="auto"/>
        <w:rPr>
          <w:rFonts w:ascii="Calibri" w:hAnsi="Calibri"/>
          <w:color w:val="000000"/>
        </w:rPr>
      </w:pPr>
      <w:r>
        <w:rPr>
          <w:rFonts w:ascii="Calibri" w:hAnsi="Calibri"/>
          <w:color w:val="000000"/>
        </w:rPr>
        <w:t>Cette détérioration des conditions économiques n’a bien sûr pas manqué d’accentuer les inégalités préexistantes et les vulnérabilités de la population, les personnes les plus gravement touchées par la crise étant souvent celles qui subissent déjà de grandes discriminations comme les femmes, les enfants et les personnes âgées. En outre, les mesures restrictives temporaires adoptées durant le confinement ont restreint les déplacements des personnes, en même temps que leur accès aux soins, au travail, à l’éducation, à la culture et aux loisirs</w:t>
      </w:r>
      <w:r w:rsidRPr="008238CC">
        <w:rPr>
          <w:rFonts w:ascii="Calibri" w:hAnsi="Calibri" w:eastAsia="Calibri" w:cs="Calibri"/>
          <w:color w:val="000000"/>
          <w:vertAlign w:val="superscript"/>
        </w:rPr>
        <w:footnoteReference w:id="8"/>
      </w:r>
      <w:r>
        <w:rPr>
          <w:rFonts w:ascii="Calibri" w:hAnsi="Calibri"/>
          <w:color w:val="000000"/>
        </w:rPr>
        <w:t xml:space="preserve">.  </w:t>
      </w:r>
    </w:p>
    <w:p w:rsidRPr="008238CC" w:rsidR="007915C2" w:rsidP="007915C2" w:rsidRDefault="007915C2" w14:paraId="2FFBCA94" w14:textId="79BDC77A">
      <w:pPr>
        <w:spacing w:after="160" w:line="256" w:lineRule="auto"/>
        <w:rPr>
          <w:rFonts w:ascii="Calibri" w:hAnsi="Calibri" w:eastAsia="Calibri" w:cs="Calibri"/>
          <w:color w:val="000000"/>
        </w:rPr>
      </w:pPr>
    </w:p>
    <w:p w:rsidR="00EF0EED" w:rsidP="007915C2" w:rsidRDefault="007915C2" w14:paraId="59DEA1AB" w14:textId="77777777">
      <w:pPr>
        <w:spacing w:after="160" w:line="256" w:lineRule="auto"/>
        <w:rPr>
          <w:rFonts w:ascii="Calibri" w:hAnsi="Calibri"/>
          <w:b/>
          <w:i/>
          <w:color w:val="000000"/>
        </w:rPr>
      </w:pPr>
      <w:r>
        <w:rPr>
          <w:rFonts w:ascii="Calibri" w:hAnsi="Calibri"/>
          <w:b/>
          <w:i/>
          <w:color w:val="000000"/>
        </w:rPr>
        <w:t>Pour lutter contre la pandémie et eu égard à la gravité de la situation, l’état d’urgence sanitaire a été décrété au Maroc</w:t>
      </w:r>
    </w:p>
    <w:p w:rsidR="00EF0EED" w:rsidP="007915C2" w:rsidRDefault="007915C2" w14:paraId="3BF01457" w14:textId="77777777">
      <w:pPr>
        <w:spacing w:after="160" w:line="256" w:lineRule="auto"/>
        <w:rPr>
          <w:rFonts w:ascii="Calibri" w:hAnsi="Calibri"/>
          <w:color w:val="000000"/>
        </w:rPr>
      </w:pPr>
      <w:r>
        <w:rPr>
          <w:rFonts w:ascii="Calibri" w:hAnsi="Calibri"/>
          <w:color w:val="000000"/>
        </w:rPr>
        <w:t>Notre pays n’a pas dérogé à cette règle. Ainsi, depuis la détection du premier cas importé de Covid-19 le 2 mars 2020, et tenant compte des développements rapides intervenant à l’échelle mondiale, le Maroc a graduellement mis en place un ensemble de mesures préventives et multiformes en mobilisant ses structures, tant au niveau central que local. Cette dynamique a culminé avec l’adoption le 20 mars de l’état d’urgence sanitaire sous la forme d’un confinement strict, au regard des carences du système de santé national et au risque de saturation des capacités hospitalières en cas de multiplication de cas graves nécessitant une prise en charge médicale lourde.</w:t>
      </w:r>
    </w:p>
    <w:p w:rsidRPr="008238CC" w:rsidR="007915C2" w:rsidP="007915C2" w:rsidRDefault="007915C2" w14:paraId="6E187F05" w14:textId="4CED0545">
      <w:pPr>
        <w:spacing w:after="160" w:line="256" w:lineRule="auto"/>
        <w:rPr>
          <w:rFonts w:ascii="Calibri" w:hAnsi="Calibri" w:eastAsia="Calibri" w:cs="Calibri"/>
          <w:color w:val="000000"/>
        </w:rPr>
      </w:pPr>
      <w:r>
        <w:rPr>
          <w:rFonts w:ascii="Calibri" w:hAnsi="Calibri"/>
          <w:color w:val="000000"/>
        </w:rPr>
        <w:t>Dans ce cadre, un ensemble de dispositions législatives et règlementaires ont été promulguées, restreignant la libre circulation des personnes (déplacements nocturnes ou interurbains), imposant la fermeture des lieux accueillant le public, raccourcissant les horaires d’ouverture des commerces et réduisant les capacités maximales dans les transports en commun. Pour sa part, la réponse sanitaire a consisté en une mise à niveau des établissements hospitaliers, qui s’est accompagnée d’une participation active de la médecine militaire, mais sans toutefois impliquer significativement le secteur privé dans ces efforts de lutte (hormis quelques initiatives ponctuelles dans certaines villes et pour des opérations particulières). La fermeture des établissements scolaires, annoncée le 13 mars 2020, a conduit à la mise en place d’un plan de travail à court terme pour assurer la continuité pédagogique à distance durant la période du confinement.</w:t>
      </w:r>
    </w:p>
    <w:p w:rsidR="00EF0EED" w:rsidP="007915C2" w:rsidRDefault="007915C2" w14:paraId="02701523" w14:textId="77777777">
      <w:pPr>
        <w:spacing w:after="160" w:line="256" w:lineRule="auto"/>
        <w:rPr>
          <w:rFonts w:ascii="Calibri" w:hAnsi="Calibri"/>
          <w:color w:val="000000"/>
        </w:rPr>
      </w:pPr>
      <w:r>
        <w:rPr>
          <w:rFonts w:ascii="Calibri" w:hAnsi="Calibri"/>
          <w:color w:val="000000"/>
        </w:rPr>
        <w:t>Bien que les autorités marocaines aient fait preuve d’une grande réactivité au début de la crise, il n’en demeure pas moins que depuis l’annonce du deuxième prolongement du confinement, une forme de ressentiment semble s’être installée chez les citoyens et les différents acteurs économiques. Cette réaction chez nos concitoyens fait suite à certaines déclarations officielles qui donnaient l’impression d’un manque de visibilité et de coordination, ainsi que d’une sorte d’hésitation dans la gestion des phases ultérieures.</w:t>
      </w:r>
    </w:p>
    <w:p w:rsidRPr="008238CC" w:rsidR="007915C2" w:rsidP="007915C2" w:rsidRDefault="007915C2" w14:paraId="42430049" w14:textId="04491325">
      <w:pPr>
        <w:spacing w:after="160" w:line="256" w:lineRule="auto"/>
        <w:rPr>
          <w:rFonts w:ascii="Calibri" w:hAnsi="Calibri" w:eastAsia="Calibri" w:cs="Calibri"/>
          <w:b/>
          <w:bCs/>
          <w:i/>
          <w:iCs/>
          <w:color w:val="000000"/>
        </w:rPr>
      </w:pPr>
      <w:r>
        <w:rPr>
          <w:rFonts w:ascii="Calibri" w:hAnsi="Calibri"/>
          <w:b/>
          <w:i/>
          <w:color w:val="000000"/>
        </w:rPr>
        <w:t>L’ampleur des retombées socio-économiques durant la période de confinement</w:t>
      </w:r>
    </w:p>
    <w:p w:rsidR="00EF0EED" w:rsidP="007915C2" w:rsidRDefault="007915C2" w14:paraId="6F9929E0" w14:textId="77777777">
      <w:pPr>
        <w:spacing w:after="160" w:line="256" w:lineRule="auto"/>
        <w:rPr>
          <w:rFonts w:ascii="Calibri" w:hAnsi="Calibri"/>
          <w:color w:val="000000"/>
        </w:rPr>
      </w:pPr>
      <w:r>
        <w:rPr>
          <w:rFonts w:ascii="Calibri" w:hAnsi="Calibri"/>
          <w:color w:val="000000"/>
        </w:rPr>
        <w:t xml:space="preserve">Quatre chiffres édifiants illustrent à eux seuls la gravité de la situation actuelle : (i) une contraction prévue de la croissance économique comprise entre -5,8% (HCP et MEFRA) et -6,3% (BAM) pour </w:t>
      </w:r>
      <w:r>
        <w:rPr>
          <w:rFonts w:ascii="Calibri" w:hAnsi="Calibri"/>
          <w:color w:val="000000"/>
        </w:rPr>
        <w:lastRenderedPageBreak/>
        <w:t>l’année en cours, soit probablement la plus forte baisse enregistrée durant les 7 dernières décennies ; (ii) 958 000 salariés ont déclaré être en arrêt de travail dans le secteur formel, bénéficiant ainsi de l’indemnité Covid</w:t>
      </w:r>
      <w:r w:rsidRPr="008238CC">
        <w:rPr>
          <w:rFonts w:ascii="Calibri" w:hAnsi="Calibri" w:eastAsia="Calibri" w:cs="Calibri"/>
          <w:color w:val="000000"/>
          <w:vertAlign w:val="superscript"/>
        </w:rPr>
        <w:footnoteReference w:id="9"/>
      </w:r>
      <w:r>
        <w:rPr>
          <w:rFonts w:ascii="Calibri" w:hAnsi="Calibri"/>
          <w:color w:val="000000"/>
        </w:rPr>
        <w:t> ; (iii) près de 134 000 entreprises sur les 216 000 affiliées à la CNSS avaient déclaré être impactées par la crise de la Covid-19 ; (iv) 5,5 millions de ménages, ramédistes et non-ramédistes, vivant du secteur informel, ont dépendu des aides octroyées dans le cadre de l’opération « Tadamon »</w:t>
      </w:r>
      <w:r w:rsidRPr="008238CC">
        <w:rPr>
          <w:rFonts w:ascii="Calibri" w:hAnsi="Calibri" w:eastAsia="Calibri" w:cs="Calibri"/>
          <w:color w:val="000000"/>
          <w:vertAlign w:val="superscript"/>
        </w:rPr>
        <w:footnoteReference w:id="10"/>
      </w:r>
      <w:r>
        <w:rPr>
          <w:rFonts w:ascii="Calibri" w:hAnsi="Calibri"/>
          <w:color w:val="000000"/>
        </w:rPr>
        <w:t>. Cette dégradation des conditions économiques et par conséquent du marché de l’emploi, n’a pas été sans conséquences sur le revenu et le pouvoir d’achat des ménages, tel que le reflète la baisse de près de 50% du revenu mensuel moyen des actifs occupés.</w:t>
      </w:r>
    </w:p>
    <w:p w:rsidR="00EF0EED" w:rsidP="007915C2" w:rsidRDefault="007915C2" w14:paraId="2EBAD646" w14:textId="77777777">
      <w:pPr>
        <w:spacing w:after="160" w:line="256" w:lineRule="auto"/>
        <w:rPr>
          <w:rFonts w:ascii="Calibri" w:hAnsi="Calibri"/>
          <w:color w:val="000000"/>
        </w:rPr>
      </w:pPr>
      <w:r>
        <w:rPr>
          <w:rFonts w:ascii="Calibri" w:hAnsi="Calibri"/>
          <w:color w:val="000000"/>
        </w:rPr>
        <w:t>Il est à mentionner que l’impact économique sur les différents secteurs d’activité a été conditionné par plusieurs facteurs comme la nature du marché (domestique ou extérieur), la nature du produit (de première nécessité vs autres produits), la sévérité des règles sanitaires appliquées à chaque secteur ou les habitudes de consommation des individus (exemple du tourisme). Ainsi, certains secteurs ont pu résister sinon croître durant cette période, à l’instar de l’industrie extractive et celle des dérivés des phosphates, l’industrie agroalimentaire, ainsi que les secteurs des activités financières et des télécoms.</w:t>
      </w:r>
    </w:p>
    <w:p w:rsidR="00EF0EED" w:rsidP="007915C2" w:rsidRDefault="007915C2" w14:paraId="2F4F21BD" w14:textId="77777777">
      <w:pPr>
        <w:spacing w:after="160" w:line="256" w:lineRule="auto"/>
        <w:rPr>
          <w:rFonts w:ascii="Calibri" w:hAnsi="Calibri"/>
          <w:color w:val="000000"/>
        </w:rPr>
      </w:pPr>
      <w:r>
        <w:rPr>
          <w:rFonts w:ascii="Calibri" w:hAnsi="Calibri"/>
          <w:color w:val="000000"/>
        </w:rPr>
        <w:t>Conjuguée aux restrictions qui n’ont pas facilité l’accès aux services de base, notamment pour les catégories les plus vulnérables, et à la faiblesse des filets de protection sociale, la baisse de revenu ainsi relevée a contribué à accroître les inégalités déjà existantes, constituant donc un facteur potentiel de basculement de franges de la population dans la pauvreté. De même, dans le cas du secteur de l’éducation où une certaine forme de continuité pédagogique a pu, plus ou moins, être maintenue, l’impact de la fracture numérique entre le milieu urbain et rural, et surtout entre les familles aisées et démunies, a altéré le levier classique d’ascension sociale en compromettant l’accès égalitaire au droit à l’éducation.</w:t>
      </w:r>
    </w:p>
    <w:p w:rsidRPr="008238CC" w:rsidR="007915C2" w:rsidP="007915C2" w:rsidRDefault="007915C2" w14:paraId="0D465E05" w14:textId="50BAF4D3">
      <w:pPr>
        <w:spacing w:after="160" w:line="256" w:lineRule="auto"/>
        <w:rPr>
          <w:rFonts w:ascii="Calibri" w:hAnsi="Calibri" w:eastAsia="Calibri" w:cs="Calibri"/>
          <w:b/>
          <w:bCs/>
          <w:i/>
          <w:iCs/>
          <w:color w:val="000000"/>
        </w:rPr>
      </w:pPr>
      <w:r>
        <w:rPr>
          <w:rFonts w:ascii="Calibri" w:hAnsi="Calibri"/>
          <w:b/>
          <w:i/>
          <w:color w:val="000000"/>
        </w:rPr>
        <w:t>Les carences structurelles qui freinent le développement de notre pays ont joué un rôle considérable dans l’amplification des impacts</w:t>
      </w:r>
    </w:p>
    <w:p w:rsidR="00EF0EED" w:rsidP="007915C2" w:rsidRDefault="007915C2" w14:paraId="423DE626" w14:textId="77777777">
      <w:pPr>
        <w:spacing w:after="160" w:line="256" w:lineRule="auto"/>
        <w:rPr>
          <w:rFonts w:ascii="Calibri" w:hAnsi="Calibri"/>
          <w:color w:val="000000"/>
        </w:rPr>
      </w:pPr>
      <w:r>
        <w:rPr>
          <w:rFonts w:ascii="Calibri" w:hAnsi="Calibri"/>
          <w:color w:val="000000"/>
        </w:rPr>
        <w:t>Les répercussions de la crise n’auraient pas été aussi sévères sans les déficiences structurelles qui caractérisent notre pays à plusieurs niveaux dans un contexte où la primauté a été accordée à la dimension sanitaire et à la protection du droit à la vie, premier droit de tout être humain (article 20 de la Constitution), avant de s’attaquer aux dimensions sociales et économiques.</w:t>
      </w:r>
    </w:p>
    <w:p w:rsidR="00EF0EED" w:rsidP="007915C2" w:rsidRDefault="007915C2" w14:paraId="031C2766" w14:textId="77777777">
      <w:pPr>
        <w:spacing w:after="160" w:line="256" w:lineRule="auto"/>
        <w:rPr>
          <w:rFonts w:ascii="Calibri" w:hAnsi="Calibri"/>
          <w:color w:val="000000"/>
        </w:rPr>
      </w:pPr>
      <w:r>
        <w:rPr>
          <w:rFonts w:ascii="Calibri" w:hAnsi="Calibri"/>
          <w:color w:val="000000"/>
        </w:rPr>
        <w:t>En termes de services sociaux de base, le système de santé national</w:t>
      </w:r>
      <w:r>
        <w:rPr>
          <w:rFonts w:ascii="Calibri" w:hAnsi="Calibri"/>
          <w:b/>
          <w:color w:val="000000"/>
        </w:rPr>
        <w:t xml:space="preserve"> </w:t>
      </w:r>
      <w:r>
        <w:rPr>
          <w:rFonts w:ascii="Calibri" w:hAnsi="Calibri"/>
          <w:color w:val="000000"/>
        </w:rPr>
        <w:t>est</w:t>
      </w:r>
      <w:r>
        <w:rPr>
          <w:rFonts w:ascii="Calibri" w:hAnsi="Calibri"/>
          <w:b/>
          <w:color w:val="000000"/>
        </w:rPr>
        <w:t xml:space="preserve"> </w:t>
      </w:r>
      <w:r>
        <w:rPr>
          <w:rFonts w:ascii="Calibri" w:hAnsi="Calibri"/>
          <w:color w:val="000000"/>
        </w:rPr>
        <w:t>caractérisé par une prédominance de la médecine curative qui ne permettait déjà pas de répondre valablement aux attentes des usagers, tandis que le système éducatif n’a pas encore implémenté, de manière structurelle, la digitalisation des curricula et des programmes</w:t>
      </w:r>
      <w:r w:rsidRPr="008238CC">
        <w:rPr>
          <w:rFonts w:ascii="Calibri" w:hAnsi="Calibri" w:eastAsia="Calibri" w:cs="Calibri"/>
          <w:color w:val="000000"/>
          <w:vertAlign w:val="superscript"/>
        </w:rPr>
        <w:footnoteReference w:id="11"/>
      </w:r>
      <w:r>
        <w:rPr>
          <w:rFonts w:ascii="Calibri" w:hAnsi="Calibri"/>
          <w:color w:val="000000"/>
        </w:rPr>
        <w:t>. Le système de protection sociale s’avère pour sa part fondamentalement inadapté et insuffisamment doté pour atténuer les effets des licenciements massifs, de l’accroissement des activités informelles, de l’aggravation des maladies ou encore de la hausse de la consommation des soins.</w:t>
      </w:r>
    </w:p>
    <w:p w:rsidR="00EF0EED" w:rsidP="007915C2" w:rsidRDefault="007915C2" w14:paraId="6ED5BB5D" w14:textId="77777777">
      <w:pPr>
        <w:spacing w:after="160" w:line="256" w:lineRule="auto"/>
        <w:rPr>
          <w:rFonts w:ascii="Calibri" w:hAnsi="Calibri"/>
          <w:color w:val="000000"/>
        </w:rPr>
      </w:pPr>
      <w:r>
        <w:rPr>
          <w:rFonts w:ascii="Calibri" w:hAnsi="Calibri"/>
          <w:color w:val="000000"/>
        </w:rPr>
        <w:t xml:space="preserve">Au plan économique, les choix de politiques industrielles ont rendu le tissu productif vulnérable aux changements brusques au niveau des chaines de valeur mondiales et des chaines logistiques, en n’accordant que peu d’importance à l’exploitation des opportunités de substitution aux importations. En parallèle, les efforts de restructuration de l’appareil productif n’ont pas permis de </w:t>
      </w:r>
      <w:r>
        <w:rPr>
          <w:rFonts w:ascii="Calibri" w:hAnsi="Calibri"/>
          <w:color w:val="000000"/>
        </w:rPr>
        <w:lastRenderedPageBreak/>
        <w:t>régler les problèmes de taille et de sous-capitalisation des entreprises nationales. De plus, les difficultés liées à l’étroitesse de la base fiscale, compromettent les marges budgétaires de l’Etat et sa capacité à engager des politiques contracycliques.</w:t>
      </w:r>
    </w:p>
    <w:p w:rsidR="00EF0EED" w:rsidP="007915C2" w:rsidRDefault="007915C2" w14:paraId="457D4DE3" w14:textId="77777777">
      <w:pPr>
        <w:spacing w:after="160" w:line="256" w:lineRule="auto"/>
        <w:rPr>
          <w:rFonts w:ascii="Calibri" w:hAnsi="Calibri"/>
          <w:color w:val="000000"/>
        </w:rPr>
      </w:pPr>
      <w:r>
        <w:rPr>
          <w:rFonts w:ascii="Calibri" w:hAnsi="Calibri"/>
          <w:color w:val="000000"/>
        </w:rPr>
        <w:t>D’un autre côté, la crise de la Covid-19 a permis de révéler plusieurs atouts liés, notamment, à la réactivité et la mobilisation des autorités, à la capacité d’adaptation et d’agilité de certains secteurs productifs, à la solidarité affichée par les citoyens et au processus de transformation digitale déjà enclenché dans notre pays.</w:t>
      </w:r>
    </w:p>
    <w:p w:rsidRPr="008238CC" w:rsidR="007915C2" w:rsidP="007915C2" w:rsidRDefault="007915C2" w14:paraId="0A3D33C2" w14:textId="1881C55D">
      <w:pPr>
        <w:spacing w:after="160" w:line="256" w:lineRule="auto"/>
        <w:rPr>
          <w:rFonts w:ascii="Calibri" w:hAnsi="Calibri" w:eastAsia="Calibri" w:cs="Calibri"/>
          <w:b/>
          <w:bCs/>
          <w:i/>
          <w:iCs/>
          <w:color w:val="000000"/>
        </w:rPr>
      </w:pPr>
      <w:r>
        <w:rPr>
          <w:rFonts w:ascii="Calibri" w:hAnsi="Calibri"/>
          <w:b/>
          <w:i/>
          <w:color w:val="000000"/>
        </w:rPr>
        <w:t>Ces mêmes carences ont également réduit, dans des proportions plus ou moins grandes, l’effectivité des interventions publiques</w:t>
      </w:r>
    </w:p>
    <w:p w:rsidRPr="008238CC" w:rsidR="007915C2" w:rsidP="007915C2" w:rsidRDefault="007915C2" w14:paraId="68F75F62" w14:textId="77777777">
      <w:pPr>
        <w:spacing w:after="160" w:line="256" w:lineRule="auto"/>
        <w:rPr>
          <w:rFonts w:ascii="Calibri" w:hAnsi="Calibri" w:eastAsia="Calibri" w:cs="Calibri"/>
          <w:color w:val="000000"/>
        </w:rPr>
      </w:pPr>
      <w:r>
        <w:rPr>
          <w:rFonts w:ascii="Calibri" w:hAnsi="Calibri"/>
          <w:color w:val="000000"/>
        </w:rPr>
        <w:t>Bien qu’il s’avère prématuré de dresser un état définitif de la balance risques-bénéfices de la gestion de la crise sanitaire, la levée progressive du confinement, en particulier à partir du 19 juillet 2020 (3</w:t>
      </w:r>
      <w:r>
        <w:rPr>
          <w:rFonts w:ascii="Calibri" w:hAnsi="Calibri"/>
          <w:color w:val="000000"/>
          <w:vertAlign w:val="superscript"/>
        </w:rPr>
        <w:t>ème</w:t>
      </w:r>
      <w:r>
        <w:rPr>
          <w:rFonts w:ascii="Calibri" w:hAnsi="Calibri"/>
          <w:color w:val="000000"/>
        </w:rPr>
        <w:t xml:space="preserve"> phase du déconfinement), a provoqué une recrudescence du nombre de cas de Covid-19, ce qui a eu pour conséquence de dégrader substantiellement le bilan sanitaire positif qui a caractérisé la période du confinement. Les mesures prises durant la phase de déconfinement (restrictions de déplacement, suspension des transports dans certaines zones, </w:t>
      </w:r>
      <w:r>
        <w:rPr>
          <w:rFonts w:ascii="Calibri" w:hAnsi="Calibri"/>
          <w:i/>
          <w:color w:val="000000"/>
        </w:rPr>
        <w:t>etc.</w:t>
      </w:r>
      <w:r>
        <w:rPr>
          <w:rFonts w:ascii="Calibri" w:hAnsi="Calibri"/>
          <w:color w:val="000000"/>
        </w:rPr>
        <w:t>) et la communication parfois hésitante autour de ces mesures ont donné lieu à des interprétations parfois erronées sur les réseaux sociaux et à des situations de confusion chez beaucoup de citoyens. Enfin, les tentatives de pallier, dans la mesure du possible, les carences structurelles de notre système de santé, par la prise de mesures urgentes et rapides via le « Fonds spécial pour la gestion de la pandémie du Coronavirus "La Covid-19" » créé en application des Hautes Instructions de Sa Majesté le Roi, a toutefois conduit à une mobilisation quasi-exclusive dudit système pour la lutte contre la pandémie, au détriment des autres pathologies.</w:t>
      </w:r>
    </w:p>
    <w:p w:rsidRPr="008238CC" w:rsidR="007915C2" w:rsidP="007915C2" w:rsidRDefault="007915C2" w14:paraId="75131E7F" w14:textId="77777777">
      <w:pPr>
        <w:spacing w:after="160" w:line="256" w:lineRule="auto"/>
        <w:rPr>
          <w:rFonts w:ascii="Calibri" w:hAnsi="Calibri" w:eastAsia="Calibri" w:cs="Calibri"/>
          <w:color w:val="000000"/>
        </w:rPr>
      </w:pPr>
      <w:r>
        <w:rPr>
          <w:rFonts w:ascii="Calibri" w:hAnsi="Calibri"/>
          <w:color w:val="000000"/>
        </w:rPr>
        <w:t>Ce fonds spécial a également été mobilisé pour réduire l’impact du confinement aussi bien sur les ménages que sur les entreprises. Il ne constitue toutefois qu’un palliatif transitoire, dans la mesure où les transferts effectués à partir du fonds spécial covid-19, limités dans le temps, ne pourront en aucun cas soutenir une demande durable, ni de répondre valablement aux effets de la crise actuelle. Cet état de fait renvoie donc à la nécessité de doter le pays très rapidement d’un système de protection sociale pour la réduction des risques sociaux, la préservation de la cohésion sociale, la redistribution et l’accélération de la circulation des flux et la constitution d’épargne longue.</w:t>
      </w:r>
    </w:p>
    <w:p w:rsidR="00EF0EED" w:rsidP="007915C2" w:rsidRDefault="007915C2" w14:paraId="73C68315" w14:textId="77777777">
      <w:pPr>
        <w:spacing w:after="160" w:line="256" w:lineRule="auto"/>
        <w:rPr>
          <w:rFonts w:ascii="Calibri" w:hAnsi="Calibri"/>
          <w:color w:val="000000"/>
        </w:rPr>
      </w:pPr>
      <w:r>
        <w:rPr>
          <w:rFonts w:ascii="Calibri" w:hAnsi="Calibri"/>
          <w:color w:val="000000"/>
        </w:rPr>
        <w:t>D’autre part, les aides aux entreprises n’ont pas pour finalité de résoudre les deux principales problématiques qui limitent le développement des entreprises et remettent en cause la viabilité de leurs activités, à savoir la sous-capitalisation et le surendettement. De même qu’elles ne servent pas à remettre à niveau ces entreprises pour améliorer leur compétitivité, tant sur le marché interne que sur les marchés externes. Les aides distribuées aux entreprises, au demeurant insuffisantes ne servent qu’à offrir un soutien relatif et temporaire. La pérennité des entreprises marocaines est ainsi essentiellement dépendante de la mise en œuvre du plan de relance de 120 milliards de Dirhams (11% du PIB), annoncé par Sa Majesté Le Roi, le 29 juillet de l’année en cours. Il convient de souligner que les mesures prises par les pouvoirs publics ne s’étendent pas aux mesures non conventionnelles telles que celles adoptées par certains pays dans le contexte de crise exceptionnelle. En outre, il convient d’attirer l’attention sur le fait que la plupart des mesures de relance sont des instruments de dette, alors que les solutions de fonds propres et de quasi-fonds propres, certes plus compliquées à mettre en œuvre, n’ont pas été priorisées malgré le fait que la plupart des entreprises souffrent de problèmes liés à cette nature de fonds.</w:t>
      </w:r>
    </w:p>
    <w:p w:rsidR="00EF0EED" w:rsidP="007915C2" w:rsidRDefault="007915C2" w14:paraId="0855868B" w14:textId="77777777">
      <w:pPr>
        <w:spacing w:after="160" w:line="256" w:lineRule="auto"/>
        <w:rPr>
          <w:rFonts w:ascii="Calibri" w:hAnsi="Calibri"/>
          <w:color w:val="000000"/>
        </w:rPr>
      </w:pPr>
      <w:r>
        <w:rPr>
          <w:rFonts w:ascii="Calibri" w:hAnsi="Calibri"/>
          <w:color w:val="000000"/>
        </w:rPr>
        <w:t xml:space="preserve">S’agissant de la continuité pédagogique du système éducatif, une première appréciation de l’offre du Ministère chargé de l’éducation (MENFPESRS), pour la mise en place d’un dispositif d’enseignement à </w:t>
      </w:r>
      <w:r>
        <w:rPr>
          <w:rFonts w:ascii="Calibri" w:hAnsi="Calibri"/>
          <w:color w:val="000000"/>
        </w:rPr>
        <w:lastRenderedPageBreak/>
        <w:t xml:space="preserve">distance en urgence prévu pour assurer la scolarité de millions de marocains (site web, chaînes télévisées, réseaux sociaux, Massar, </w:t>
      </w:r>
      <w:r>
        <w:rPr>
          <w:rFonts w:ascii="Calibri" w:hAnsi="Calibri"/>
          <w:i/>
          <w:color w:val="000000"/>
        </w:rPr>
        <w:t>etc.</w:t>
      </w:r>
      <w:r>
        <w:rPr>
          <w:rFonts w:ascii="Calibri" w:hAnsi="Calibri"/>
          <w:color w:val="000000"/>
        </w:rPr>
        <w:t xml:space="preserve">), reste plutôt mitigée au regard du problème de manque de qualité et de richesse du contenu, mais également du choix de ce mode eu égard aux inégalités sociales criantes en termes aussi bien de disponibilité des outils numériques et de connexion à internet, que de conditions sociales pour le suivi et l’assimilation du contenu (logement, degré d’implication des parents, </w:t>
      </w:r>
      <w:r>
        <w:rPr>
          <w:rFonts w:ascii="Calibri" w:hAnsi="Calibri"/>
          <w:i/>
          <w:color w:val="000000"/>
        </w:rPr>
        <w:t>etc.</w:t>
      </w:r>
      <w:r>
        <w:rPr>
          <w:rFonts w:ascii="Calibri" w:hAnsi="Calibri"/>
          <w:color w:val="000000"/>
        </w:rPr>
        <w:t xml:space="preserve">).  </w:t>
      </w:r>
    </w:p>
    <w:p w:rsidR="00EF0EED" w:rsidP="007915C2" w:rsidRDefault="007915C2" w14:paraId="199E01B5" w14:textId="77777777">
      <w:pPr>
        <w:spacing w:after="160" w:line="256" w:lineRule="auto"/>
        <w:rPr>
          <w:rFonts w:ascii="Calibri" w:hAnsi="Calibri"/>
          <w:color w:val="000000"/>
        </w:rPr>
      </w:pPr>
      <w:r>
        <w:rPr>
          <w:rFonts w:ascii="Calibri" w:hAnsi="Calibri"/>
          <w:color w:val="000000"/>
        </w:rPr>
        <w:t>La gouvernance de la crise Covid-19 en matière d’environnement et de développement durable</w:t>
      </w:r>
      <w:r>
        <w:rPr>
          <w:rFonts w:ascii="Calibri" w:hAnsi="Calibri"/>
          <w:b/>
          <w:color w:val="000000"/>
        </w:rPr>
        <w:t xml:space="preserve"> </w:t>
      </w:r>
      <w:r>
        <w:rPr>
          <w:rFonts w:ascii="Calibri" w:hAnsi="Calibri"/>
          <w:color w:val="000000"/>
        </w:rPr>
        <w:t>s’est caractérisée, quant à elle, par l’attention accordée à la disponibilité et l’accessibilité des biens de consommation ainsi qu’à la sécurisation de l’approvisionnement en produits alimentaires.</w:t>
      </w:r>
    </w:p>
    <w:p w:rsidRPr="008238CC" w:rsidR="007915C2" w:rsidP="007915C2" w:rsidRDefault="007915C2" w14:paraId="6936F7A4" w14:textId="541736CC">
      <w:pPr>
        <w:spacing w:after="160" w:line="256" w:lineRule="auto"/>
        <w:rPr>
          <w:rFonts w:ascii="Calibri" w:hAnsi="Calibri" w:eastAsia="Calibri" w:cs="Calibri"/>
          <w:b/>
          <w:bCs/>
          <w:i/>
          <w:iCs/>
          <w:color w:val="000000"/>
        </w:rPr>
      </w:pPr>
      <w:r>
        <w:rPr>
          <w:rFonts w:ascii="Calibri" w:hAnsi="Calibri"/>
          <w:b/>
          <w:i/>
          <w:color w:val="000000"/>
        </w:rPr>
        <w:t>Les enseignements des expériences et tendances internationales laisse entrevoir des pistes prometteuses pour aider à tracer une nouvelle trajectoire de développement pour le Maroc</w:t>
      </w:r>
    </w:p>
    <w:p w:rsidR="00EF0EED" w:rsidP="007915C2" w:rsidRDefault="007915C2" w14:paraId="694E43B1" w14:textId="77777777">
      <w:pPr>
        <w:spacing w:after="160" w:line="256" w:lineRule="auto"/>
        <w:rPr>
          <w:rFonts w:ascii="Calibri" w:hAnsi="Calibri"/>
          <w:color w:val="000000"/>
        </w:rPr>
      </w:pPr>
      <w:r>
        <w:rPr>
          <w:rFonts w:ascii="Calibri" w:hAnsi="Calibri"/>
          <w:color w:val="000000"/>
        </w:rPr>
        <w:t>Complétant la démarche analytique adoptée dans le cadre de cette étude, l’appréciation  des tendances révélées par la crise constitue une dernière étape cruciale pour encadrer la formulation des inflexions qui permettront d’aider à réaliser les ambitions à moyen et long termes de notre pays. A ce titre, il est à mentionner qu’une conséquence capitale de la crise a été la remise en question du principe d’efficience des modèles de développement, au profit de la notion de résilience.</w:t>
      </w:r>
    </w:p>
    <w:p w:rsidR="00EF0EED" w:rsidP="007915C2" w:rsidRDefault="007915C2" w14:paraId="471EA87F" w14:textId="77777777">
      <w:pPr>
        <w:spacing w:after="160" w:line="256" w:lineRule="auto"/>
        <w:rPr>
          <w:rFonts w:ascii="Calibri" w:hAnsi="Calibri"/>
          <w:color w:val="000000"/>
        </w:rPr>
      </w:pPr>
      <w:r>
        <w:rPr>
          <w:rFonts w:ascii="Calibri" w:hAnsi="Calibri"/>
          <w:color w:val="000000"/>
        </w:rPr>
        <w:t>Ceci a permis de souligner la nécessité de disposer d’un Etat fort, volontariste, régulateur et investisseur, capable de faire converger les intérêts individuels vers l’intérêt général en intervenant sur plusieurs niveaux : (i) pallier les défaillances du marché ; (ii) accorder les incitations aux secteurs prioritaires, actuels ou à développer ; (iii) protéger les agents économiques, ménages et entreprises ; (iv) susciter le jeu coopératif entre acteurs ; (v) assurer la continuité d’un service public minimum de qualité et mettre en cohérence, au service de la population, la contribution du secteur privé aux services de base.</w:t>
      </w:r>
    </w:p>
    <w:p w:rsidR="00EF0EED" w:rsidP="007915C2" w:rsidRDefault="007915C2" w14:paraId="00AEBFDC" w14:textId="77777777">
      <w:pPr>
        <w:spacing w:after="160" w:line="256" w:lineRule="auto"/>
        <w:rPr>
          <w:rFonts w:ascii="Calibri" w:hAnsi="Calibri"/>
          <w:color w:val="000000"/>
        </w:rPr>
      </w:pPr>
      <w:r>
        <w:rPr>
          <w:rFonts w:ascii="Calibri" w:hAnsi="Calibri"/>
          <w:color w:val="000000"/>
        </w:rPr>
        <w:t xml:space="preserve">Mais cette revisite de la nature des systèmes (économique, social, sociétal, environnemental, </w:t>
      </w:r>
      <w:r>
        <w:rPr>
          <w:rFonts w:ascii="Calibri" w:hAnsi="Calibri"/>
          <w:i/>
          <w:color w:val="000000"/>
        </w:rPr>
        <w:t>etc.</w:t>
      </w:r>
      <w:r>
        <w:rPr>
          <w:rFonts w:ascii="Calibri" w:hAnsi="Calibri"/>
          <w:color w:val="000000"/>
        </w:rPr>
        <w:t xml:space="preserve">) renvoie également à la nécessité de rompre avec la concentration de l’économie, en opérant une rupture avec les pratiques rentières, en luttant contre la corruption et en libérant l’espace économique au profit de tous ceux qui souhaitent entreprendre. </w:t>
      </w:r>
    </w:p>
    <w:p w:rsidR="00EF0EED" w:rsidP="007915C2" w:rsidRDefault="007915C2" w14:paraId="50B0A0B1" w14:textId="77777777">
      <w:pPr>
        <w:spacing w:after="160" w:line="256" w:lineRule="auto"/>
        <w:rPr>
          <w:rFonts w:ascii="Calibri" w:hAnsi="Calibri"/>
          <w:color w:val="000000"/>
        </w:rPr>
      </w:pPr>
      <w:r>
        <w:rPr>
          <w:rFonts w:ascii="Calibri" w:hAnsi="Calibri"/>
          <w:color w:val="000000"/>
        </w:rPr>
        <w:t>Quatre tendances ont ainsi pu être relevées en l’espèce. Premièrement, il a été constaté une dynamique d’élargissement et un renforcement des politiques de santé via, notamment un renouvellement des engagements pris au titre des ODD et l’accélération et l’élaboration de stratégies de santé numérique adaptées. Deuxièmement, la crise a mis en exergue le besoin pressant  d’évoluer vers un « Etat social », eu égard au creusement des inégalités en matière d’éducation et de formation en temps de crise, l’affaiblissement de la protection sociale et la fragilisation constante de l’accès aux droits humains fondamentaux. Troisièmement, au niveau économique, le rôle que peut jouer la transformation digitale dans le renforcement de la résilience et de l’amélioration de la croissance et de la productivité a été jugé décisif, tandis que les discours souverainistes et les appels aux relocalisations, au protectionnisme et à la réindustrialisation sont revenus sur le devant de la scène. Quatrièmement, les principales tendances environnementales à l’échelle nationale et internationale pointent dans leur grande majorité vers le maintien des efforts pour la transition écologique et la décarbonation des économies.</w:t>
      </w:r>
    </w:p>
    <w:p w:rsidRPr="008238CC" w:rsidR="007915C2" w:rsidP="007915C2" w:rsidRDefault="007915C2" w14:paraId="367C4B60" w14:textId="4B0317B0">
      <w:pPr>
        <w:spacing w:after="160" w:line="256" w:lineRule="auto"/>
        <w:rPr>
          <w:rFonts w:ascii="Calibri" w:hAnsi="Calibri" w:eastAsia="Calibri" w:cs="Calibri"/>
          <w:strike/>
          <w:color w:val="000000"/>
        </w:rPr>
      </w:pPr>
      <w:r>
        <w:rPr>
          <w:rFonts w:ascii="Calibri" w:hAnsi="Calibri"/>
          <w:b/>
          <w:i/>
          <w:color w:val="000000"/>
        </w:rPr>
        <w:t>La nécessité d’une nouvelle vision permettant de surmonter les effets négatifs de la crise et d’amorcer une nouvelle trajectoire de développement</w:t>
      </w:r>
    </w:p>
    <w:p w:rsidR="00EF0EED" w:rsidP="007915C2" w:rsidRDefault="007915C2" w14:paraId="713CD8F2" w14:textId="77777777">
      <w:pPr>
        <w:spacing w:after="160" w:line="256" w:lineRule="auto"/>
        <w:rPr>
          <w:rFonts w:ascii="Calibri" w:hAnsi="Calibri"/>
          <w:color w:val="000000"/>
        </w:rPr>
      </w:pPr>
      <w:r>
        <w:rPr>
          <w:rFonts w:ascii="Calibri" w:hAnsi="Calibri"/>
          <w:color w:val="000000"/>
        </w:rPr>
        <w:t xml:space="preserve">La dynamique impulsée par la nécessité de faire face à la crise Covid-19, et ses impacts négatifs, doit marquer le début d’une transformation profonde du pays en s’appuyant sur les Hautes orientations </w:t>
      </w:r>
      <w:r>
        <w:rPr>
          <w:rFonts w:ascii="Calibri" w:hAnsi="Calibri"/>
          <w:color w:val="000000"/>
        </w:rPr>
        <w:lastRenderedPageBreak/>
        <w:t>Royales et sur la Constitution qui avait suscité un large débat et permis d’aboutir à un consensus sur plusieurs aspects fondamentaux de notre projet de société. Elle doit exploiter tous les atouts du pays et capitaliser sur ses réalisations et sur la richesse de son capital immatériel.</w:t>
      </w:r>
    </w:p>
    <w:p w:rsidR="00EF0EED" w:rsidP="007915C2" w:rsidRDefault="007915C2" w14:paraId="473B88DB" w14:textId="77777777">
      <w:pPr>
        <w:spacing w:after="160" w:line="256" w:lineRule="auto"/>
        <w:rPr>
          <w:rFonts w:ascii="Calibri" w:hAnsi="Calibri"/>
          <w:color w:val="000000"/>
        </w:rPr>
      </w:pPr>
      <w:r>
        <w:rPr>
          <w:rFonts w:ascii="Calibri" w:hAnsi="Calibri"/>
          <w:color w:val="000000"/>
        </w:rPr>
        <w:t>Le CESE considère, à ce titre, que l’ambition exprimée dans son rapport sur le nouveau modèle de développement est toujours d’actualité, puisque cette crise n’a fait que confirmer son bien-fondé et sa légitimité. Cette ambition doit, toutefois, prendre en compte une exigence majeure qui s’avère indispensable et qui marquera toutes les stratégies Post-Covid dans le monde, à savoir la résilience systémique.</w:t>
      </w:r>
    </w:p>
    <w:p w:rsidRPr="008238CC" w:rsidR="007915C2" w:rsidP="007915C2" w:rsidRDefault="007915C2" w14:paraId="13F020B6" w14:textId="465BB500">
      <w:pPr>
        <w:spacing w:after="160" w:line="256" w:lineRule="auto"/>
        <w:rPr>
          <w:rFonts w:ascii="Calibri" w:hAnsi="Calibri" w:eastAsia="Calibri" w:cs="Calibri"/>
          <w:i/>
          <w:iCs/>
          <w:color w:val="000000"/>
        </w:rPr>
      </w:pPr>
      <w:r>
        <w:rPr>
          <w:rFonts w:ascii="Calibri" w:hAnsi="Calibri"/>
          <w:color w:val="000000"/>
        </w:rPr>
        <w:t xml:space="preserve">Ainsi, l’ambition qui doit être visée consiste à </w:t>
      </w:r>
      <w:r>
        <w:rPr>
          <w:rFonts w:ascii="Calibri" w:hAnsi="Calibri"/>
          <w:i/>
          <w:color w:val="000000"/>
        </w:rPr>
        <w:t>« Construire un modèle de développement dynamique qui assure une croissance forte, inclusive et durable, garantit l’égalité des chances, favorise l’épanouissement de l’individu et renforce ses capacités au sein d’une société prospère, solidaire et résiliente, centrée sur le citoyen ».</w:t>
      </w:r>
    </w:p>
    <w:p w:rsidRPr="008238CC" w:rsidR="007915C2" w:rsidP="007915C2" w:rsidRDefault="007915C2" w14:paraId="7E239C96" w14:textId="77777777">
      <w:pPr>
        <w:spacing w:after="160" w:line="256" w:lineRule="auto"/>
        <w:rPr>
          <w:rFonts w:ascii="Calibri" w:hAnsi="Calibri" w:eastAsia="Calibri" w:cs="Calibri"/>
          <w:color w:val="000000"/>
        </w:rPr>
      </w:pPr>
      <w:r>
        <w:rPr>
          <w:rFonts w:ascii="Calibri" w:hAnsi="Calibri"/>
          <w:color w:val="000000"/>
        </w:rPr>
        <w:t>Parmi les défis que le Conseil juge capitaux à relever, il y a lieu de citer:</w:t>
      </w:r>
    </w:p>
    <w:p w:rsidRPr="008238CC" w:rsidR="007915C2" w:rsidP="007915C2" w:rsidRDefault="007915C2" w14:paraId="373B28B8" w14:textId="77777777">
      <w:pPr>
        <w:numPr>
          <w:ilvl w:val="0"/>
          <w:numId w:val="4"/>
        </w:numPr>
        <w:spacing w:line="256" w:lineRule="auto"/>
        <w:contextualSpacing/>
        <w:jc w:val="left"/>
        <w:rPr>
          <w:rFonts w:ascii="Calibri" w:hAnsi="Calibri" w:eastAsia="Calibri" w:cs="Calibri"/>
          <w:color w:val="000000"/>
        </w:rPr>
      </w:pPr>
      <w:r>
        <w:rPr>
          <w:rFonts w:ascii="Calibri" w:hAnsi="Calibri"/>
          <w:color w:val="000000"/>
        </w:rPr>
        <w:t>L’incertitude provoquée par la pandémie, qui nécessite plus que jamais de l’anticipation et de l’agilité ;</w:t>
      </w:r>
    </w:p>
    <w:p w:rsidRPr="008238CC" w:rsidR="007915C2" w:rsidP="007915C2" w:rsidRDefault="007915C2" w14:paraId="7395E8FE" w14:textId="77777777">
      <w:pPr>
        <w:numPr>
          <w:ilvl w:val="0"/>
          <w:numId w:val="4"/>
        </w:numPr>
        <w:spacing w:line="256" w:lineRule="auto"/>
        <w:contextualSpacing/>
        <w:jc w:val="left"/>
        <w:rPr>
          <w:rFonts w:ascii="Calibri" w:hAnsi="Calibri" w:eastAsia="Calibri" w:cs="Calibri"/>
          <w:color w:val="000000"/>
        </w:rPr>
      </w:pPr>
      <w:r>
        <w:rPr>
          <w:rFonts w:ascii="Calibri" w:hAnsi="Calibri"/>
          <w:color w:val="000000"/>
        </w:rPr>
        <w:t>La capacité de l’Etat à</w:t>
      </w:r>
      <w:r>
        <w:rPr>
          <w:rFonts w:ascii="Calibri" w:hAnsi="Calibri"/>
          <w:strike/>
          <w:color w:val="000000"/>
        </w:rPr>
        <w:t xml:space="preserve"> </w:t>
      </w:r>
      <w:r>
        <w:rPr>
          <w:rFonts w:ascii="Calibri" w:hAnsi="Calibri"/>
          <w:color w:val="000000"/>
        </w:rPr>
        <w:t>s’adapter à son nouveau rôle, déterminé en cela par les inflexions majeures provoquées par la crise mais, également, par la nécessité d’assurer la souveraineté nationale dans les secteurs stratégiques;</w:t>
      </w:r>
    </w:p>
    <w:p w:rsidR="00EF0EED" w:rsidP="007915C2" w:rsidRDefault="007915C2" w14:paraId="1C5794ED" w14:textId="77777777">
      <w:pPr>
        <w:numPr>
          <w:ilvl w:val="0"/>
          <w:numId w:val="4"/>
        </w:numPr>
        <w:spacing w:line="256" w:lineRule="auto"/>
        <w:contextualSpacing/>
        <w:jc w:val="left"/>
        <w:rPr>
          <w:rFonts w:ascii="Calibri" w:hAnsi="Calibri"/>
          <w:color w:val="000000"/>
        </w:rPr>
      </w:pPr>
      <w:r>
        <w:rPr>
          <w:rFonts w:ascii="Calibri" w:hAnsi="Calibri"/>
          <w:color w:val="000000"/>
        </w:rPr>
        <w:t>L’essoufflement de la croissance depuis 2010, aggravé par la récession historique attendue en 2020 et la menace qui plane sur plusieurs secteurs d’activité de l’économie nationale touchés par la crise ;</w:t>
      </w:r>
    </w:p>
    <w:p w:rsidRPr="008238CC" w:rsidR="007915C2" w:rsidP="007915C2" w:rsidRDefault="007915C2" w14:paraId="12DF567C" w14:textId="51FE1AD1">
      <w:pPr>
        <w:numPr>
          <w:ilvl w:val="0"/>
          <w:numId w:val="4"/>
        </w:numPr>
        <w:spacing w:line="256" w:lineRule="auto"/>
        <w:contextualSpacing/>
        <w:jc w:val="left"/>
        <w:rPr>
          <w:rFonts w:ascii="Calibri" w:hAnsi="Calibri" w:eastAsia="Calibri" w:cs="Calibri"/>
          <w:color w:val="000000"/>
        </w:rPr>
      </w:pPr>
      <w:r>
        <w:rPr>
          <w:rFonts w:ascii="Calibri" w:hAnsi="Calibri"/>
          <w:color w:val="000000"/>
        </w:rPr>
        <w:t>Les contraintes de mise en œuvre de nouvelles politiques sociales et, notamment, la refonte en profondeur du système de santé, l’accélération des réformes du système éducatif et la généralisation de la protection sociale ;</w:t>
      </w:r>
    </w:p>
    <w:p w:rsidRPr="008238CC" w:rsidR="007915C2" w:rsidP="007915C2" w:rsidRDefault="007915C2" w14:paraId="1D059B21" w14:textId="77777777">
      <w:pPr>
        <w:numPr>
          <w:ilvl w:val="0"/>
          <w:numId w:val="4"/>
        </w:numPr>
        <w:spacing w:line="256" w:lineRule="auto"/>
        <w:contextualSpacing/>
        <w:jc w:val="left"/>
        <w:rPr>
          <w:rFonts w:ascii="Calibri" w:hAnsi="Calibri" w:eastAsia="Calibri" w:cs="Calibri"/>
          <w:color w:val="000000"/>
        </w:rPr>
      </w:pPr>
      <w:r>
        <w:rPr>
          <w:rFonts w:ascii="Calibri" w:hAnsi="Calibri"/>
          <w:color w:val="000000"/>
        </w:rPr>
        <w:t>La nécessité d’accélérer la transition énergétique et écologique vers un nouveau modèle de développement durable, équitable et inclusif, en concordance avec les Objectifs de Développement Durable (Agenda 2030) ;</w:t>
      </w:r>
    </w:p>
    <w:p w:rsidRPr="008238CC" w:rsidR="007915C2" w:rsidP="007915C2" w:rsidRDefault="007915C2" w14:paraId="7B1D10C9" w14:textId="77777777">
      <w:pPr>
        <w:numPr>
          <w:ilvl w:val="0"/>
          <w:numId w:val="4"/>
        </w:numPr>
        <w:spacing w:line="256" w:lineRule="auto"/>
        <w:contextualSpacing/>
        <w:jc w:val="left"/>
        <w:rPr>
          <w:rFonts w:ascii="Calibri" w:hAnsi="Calibri" w:eastAsia="Calibri" w:cs="Calibri"/>
          <w:color w:val="000000"/>
        </w:rPr>
      </w:pPr>
      <w:r>
        <w:rPr>
          <w:rFonts w:ascii="Calibri" w:hAnsi="Calibri"/>
          <w:color w:val="000000"/>
        </w:rPr>
        <w:t>Le repositionnement international et continental du Maroc pour être en phase avec les mutations des chaines mondiales de production.</w:t>
      </w:r>
    </w:p>
    <w:p w:rsidRPr="008238CC" w:rsidR="007915C2" w:rsidP="007915C2" w:rsidRDefault="007915C2" w14:paraId="2519DA05" w14:textId="77777777">
      <w:pPr>
        <w:spacing w:after="160" w:line="256" w:lineRule="auto"/>
        <w:rPr>
          <w:rFonts w:ascii="Calibri" w:hAnsi="Calibri" w:eastAsia="Calibri" w:cs="Calibri"/>
          <w:color w:val="000000"/>
        </w:rPr>
      </w:pPr>
    </w:p>
    <w:p w:rsidRPr="008238CC" w:rsidR="007915C2" w:rsidP="007915C2" w:rsidRDefault="007915C2" w14:paraId="6BCDB3FA" w14:textId="77777777">
      <w:pPr>
        <w:spacing w:after="160" w:line="256" w:lineRule="auto"/>
        <w:rPr>
          <w:rFonts w:ascii="Calibri" w:hAnsi="Calibri" w:eastAsia="Calibri" w:cs="Calibri"/>
          <w:color w:val="000000"/>
        </w:rPr>
      </w:pPr>
      <w:r>
        <w:rPr>
          <w:rFonts w:ascii="Calibri" w:hAnsi="Calibri"/>
          <w:color w:val="000000"/>
        </w:rPr>
        <w:t>Pour relever ces défis, le CESE propose des inflexions et des recommandations dont la mise en œuvre se doit d’être progressive et cumulative. Les actions à mener doivent permettre à notre pays d’atteindre trois grands objectifs stratégiques :</w:t>
      </w:r>
    </w:p>
    <w:p w:rsidRPr="008238CC" w:rsidR="007915C2" w:rsidP="007915C2" w:rsidRDefault="007915C2" w14:paraId="4D7E6692" w14:textId="77777777">
      <w:pPr>
        <w:numPr>
          <w:ilvl w:val="0"/>
          <w:numId w:val="5"/>
        </w:numPr>
        <w:spacing w:line="256" w:lineRule="auto"/>
        <w:jc w:val="left"/>
        <w:rPr>
          <w:rFonts w:ascii="Calibri" w:hAnsi="Calibri" w:eastAsia="Calibri" w:cs="Calibri"/>
          <w:color w:val="000000"/>
        </w:rPr>
      </w:pPr>
      <w:r>
        <w:rPr>
          <w:rFonts w:ascii="Calibri" w:hAnsi="Calibri"/>
          <w:color w:val="000000"/>
        </w:rPr>
        <w:t>Renforcer la résilience du pays et sa capacité à vivre avec le Coronavirus aussi longtemps que nécessaire, tout en assurant le droit à la santé aux citoyens, le soutien du pouvoir d’achat des ménages et la sauvegarde de l’appareil productif ;</w:t>
      </w:r>
    </w:p>
    <w:p w:rsidRPr="008238CC" w:rsidR="007915C2" w:rsidP="007915C2" w:rsidRDefault="007915C2" w14:paraId="0531C67C" w14:textId="77777777">
      <w:pPr>
        <w:numPr>
          <w:ilvl w:val="0"/>
          <w:numId w:val="5"/>
        </w:numPr>
        <w:spacing w:line="256" w:lineRule="auto"/>
        <w:jc w:val="left"/>
        <w:rPr>
          <w:rFonts w:ascii="Calibri" w:hAnsi="Calibri" w:eastAsia="Calibri" w:cs="Calibri"/>
          <w:color w:val="000000"/>
        </w:rPr>
      </w:pPr>
      <w:r>
        <w:rPr>
          <w:rFonts w:ascii="Calibri" w:hAnsi="Calibri"/>
          <w:color w:val="000000"/>
        </w:rPr>
        <w:t>Relancer l’économie du pays en incitant les entreprises à améliorer leur compétitivité et à créer des emplois, mais aussi à s’adapter aux changements déclenchés par la crise pour saisir toutes les opportunités offertes par la nouvelle reconfiguration des chaines de production mondiales ;</w:t>
      </w:r>
    </w:p>
    <w:p w:rsidRPr="008238CC" w:rsidR="007915C2" w:rsidP="007915C2" w:rsidRDefault="007915C2" w14:paraId="6198358C" w14:textId="77777777">
      <w:pPr>
        <w:numPr>
          <w:ilvl w:val="0"/>
          <w:numId w:val="5"/>
        </w:numPr>
        <w:spacing w:line="256" w:lineRule="auto"/>
        <w:jc w:val="left"/>
        <w:rPr>
          <w:rFonts w:ascii="Calibri" w:hAnsi="Calibri" w:eastAsia="Calibri" w:cs="Calibri"/>
          <w:color w:val="000000"/>
        </w:rPr>
      </w:pPr>
      <w:r>
        <w:rPr>
          <w:rFonts w:ascii="Calibri" w:hAnsi="Calibri"/>
          <w:color w:val="000000"/>
        </w:rPr>
        <w:t>Mettre le Maroc sur une nouvelle trajectoire de développement en remédiant aux faiblesses et vulnérabilités de notre modèle actuel et en accélérant les réformes et les restructurations nécessaires à l’émergence d’un Maroc durablement prospère, plus inclusif, plus solidaire et plus résilient.</w:t>
      </w:r>
    </w:p>
    <w:p w:rsidR="00875460" w:rsidP="007915C2" w:rsidRDefault="00875460" w14:paraId="274B2609" w14:textId="77777777">
      <w:pPr>
        <w:spacing w:after="160" w:line="256" w:lineRule="auto"/>
        <w:rPr>
          <w:rFonts w:ascii="Calibri" w:hAnsi="Calibri" w:eastAsia="Calibri" w:cs="Calibri"/>
          <w:b/>
          <w:bCs/>
          <w:i/>
          <w:iCs/>
          <w:color w:val="000000"/>
        </w:rPr>
      </w:pPr>
    </w:p>
    <w:p w:rsidRPr="008238CC" w:rsidR="007915C2" w:rsidP="007915C2" w:rsidRDefault="007915C2" w14:paraId="08FEE983" w14:textId="77777777">
      <w:pPr>
        <w:spacing w:after="160" w:line="256" w:lineRule="auto"/>
        <w:rPr>
          <w:rFonts w:ascii="Calibri" w:hAnsi="Calibri" w:eastAsia="Calibri" w:cs="Calibri"/>
          <w:b/>
          <w:bCs/>
          <w:i/>
          <w:iCs/>
          <w:color w:val="000000"/>
        </w:rPr>
      </w:pPr>
      <w:r>
        <w:rPr>
          <w:rFonts w:ascii="Calibri" w:hAnsi="Calibri"/>
          <w:b/>
          <w:i/>
          <w:color w:val="000000"/>
        </w:rPr>
        <w:lastRenderedPageBreak/>
        <w:t>Les inflexions majeures pour réussir la sortie de crise et favoriser une mise en œuvre optimale du nouveau modèle de développement</w:t>
      </w:r>
    </w:p>
    <w:p w:rsidRPr="008238CC" w:rsidR="007915C2" w:rsidP="007915C2" w:rsidRDefault="007915C2" w14:paraId="3650E995" w14:textId="77777777">
      <w:pPr>
        <w:spacing w:after="160" w:line="256" w:lineRule="auto"/>
        <w:rPr>
          <w:rFonts w:ascii="Calibri" w:hAnsi="Calibri" w:eastAsia="Calibri" w:cs="Calibri"/>
          <w:color w:val="000000"/>
        </w:rPr>
      </w:pPr>
      <w:r>
        <w:rPr>
          <w:rFonts w:ascii="Calibri" w:hAnsi="Calibri"/>
          <w:color w:val="000000"/>
        </w:rPr>
        <w:t>Organisées en 7 axes distincts, les 149 recommandations retenues par le Conseil visent principalement à renforcer la capacité de notre pays à anticiper les changements et à s’y adapter en toute agilité.</w:t>
      </w:r>
    </w:p>
    <w:p w:rsidRPr="008238CC" w:rsidR="007915C2" w:rsidP="007915C2" w:rsidRDefault="007915C2" w14:paraId="591DCC4C" w14:textId="77777777">
      <w:pPr>
        <w:spacing w:after="160" w:line="256" w:lineRule="auto"/>
        <w:jc w:val="left"/>
        <w:rPr>
          <w:rFonts w:ascii="Calibri" w:hAnsi="Calibri" w:eastAsia="Calibri" w:cs="Arial"/>
          <w:b/>
          <w:bCs/>
          <w:color w:val="000000"/>
          <w:u w:val="single"/>
        </w:rPr>
      </w:pPr>
      <w:r>
        <w:rPr>
          <w:rFonts w:ascii="Calibri" w:hAnsi="Calibri"/>
          <w:b/>
          <w:color w:val="000000"/>
          <w:u w:val="single"/>
        </w:rPr>
        <w:t>Vivre avec la Covid-19 : entre les impératifs de l’urgence et la nécessité d’adaptation</w:t>
      </w:r>
    </w:p>
    <w:p w:rsidRPr="008238CC" w:rsidR="007915C2" w:rsidP="007915C2" w:rsidRDefault="007915C2" w14:paraId="67337146" w14:textId="77777777">
      <w:pPr>
        <w:spacing w:after="160" w:line="256" w:lineRule="auto"/>
        <w:rPr>
          <w:rFonts w:ascii="Calibri" w:hAnsi="Calibri" w:eastAsia="Calibri" w:cs="Calibri"/>
          <w:color w:val="000000"/>
        </w:rPr>
      </w:pPr>
      <w:r>
        <w:rPr>
          <w:rFonts w:ascii="Calibri" w:hAnsi="Calibri"/>
          <w:color w:val="000000"/>
        </w:rPr>
        <w:t>La crise sanitaire, dont le dénouement et les implications globales restent toujours incertains, ne peut être gérée dans la durée à travers les mêmes mesures restrictives que celles édictées durant le confinement, au regard des coûts socioéconomiques insupportables qu’elles engendrent. Eu égard aux faiblesses patentes mises en lumière par la crise, l’épreuve que traverse actuellement notre pays impose des ajustements urgents, afin de permettre aux citoyens et au tissu productif de s’adapter à ce nouvel environnement, et reprendre un niveau d’activité aussi proche de la normale que possible en attendant une solution définitive à la pandémie.</w:t>
      </w:r>
    </w:p>
    <w:p w:rsidR="00EF0EED" w:rsidP="007915C2" w:rsidRDefault="007915C2" w14:paraId="7AE050AA" w14:textId="77777777">
      <w:pPr>
        <w:spacing w:after="160" w:line="256" w:lineRule="auto"/>
        <w:rPr>
          <w:rFonts w:ascii="Calibri" w:hAnsi="Calibri"/>
          <w:color w:val="000000"/>
        </w:rPr>
      </w:pPr>
      <w:r>
        <w:rPr>
          <w:rFonts w:ascii="Calibri" w:hAnsi="Calibri"/>
          <w:color w:val="000000"/>
        </w:rPr>
        <w:t>Le premier axe se rapporte en conséquence aux mesures à introduire rapidement pour permettre de vivre avec la Covid-19 ; un objectif atteignable sous réserve de faire évoluer les mentalités en capitalisant sur les éléments favorables induits par la crise. Il s’agit ainsi de mesures qui visent la refonte des secteurs sociaux de base (santé et éducation), la reconfiguration des procédés et relations de travail (secteurs public et privé) et l’adoption d’une approche active et participative dans la gestion des risques, tout en consacrant les fondements de l’état de droit.</w:t>
      </w:r>
    </w:p>
    <w:p w:rsidRPr="008238CC" w:rsidR="007915C2" w:rsidP="007915C2" w:rsidRDefault="007915C2" w14:paraId="3D743866" w14:textId="66F90922">
      <w:pPr>
        <w:spacing w:after="160" w:line="256" w:lineRule="auto"/>
        <w:jc w:val="left"/>
        <w:rPr>
          <w:rFonts w:ascii="Calibri" w:hAnsi="Calibri" w:eastAsia="Calibri" w:cs="Arial"/>
          <w:b/>
          <w:bCs/>
          <w:color w:val="000000"/>
          <w:u w:val="single"/>
        </w:rPr>
      </w:pPr>
      <w:r>
        <w:rPr>
          <w:rFonts w:ascii="Calibri" w:hAnsi="Calibri"/>
          <w:b/>
          <w:color w:val="000000"/>
          <w:u w:val="single"/>
        </w:rPr>
        <w:t>Renforcer les trois missions fondamentales de l’Etat et réorienter les politiques publiques pour un Maroc plus inclusif et plus résilient</w:t>
      </w:r>
    </w:p>
    <w:p w:rsidR="00EF0EED" w:rsidP="007915C2" w:rsidRDefault="007915C2" w14:paraId="70B2B252" w14:textId="77777777">
      <w:pPr>
        <w:spacing w:after="160" w:line="256" w:lineRule="auto"/>
        <w:rPr>
          <w:rFonts w:ascii="Calibri" w:hAnsi="Calibri"/>
          <w:color w:val="000000"/>
        </w:rPr>
      </w:pPr>
      <w:r>
        <w:rPr>
          <w:rFonts w:ascii="Calibri" w:hAnsi="Calibri"/>
          <w:color w:val="000000"/>
        </w:rPr>
        <w:t>Les effets des mesures de lutte contre la pandémie laissent entrevoir un nouveau rôle pour l’Etat dans la sphère publique, en lien avec la mise en avant des faiblesses du modèle néolibéral qui prône un Etat minimal, la suprématie des marchés et une réduction au minimum des dépenses publiques sociales, y compris dans des secteurs vitaux comme la santé, l’éducation et la protection sociale. La crise sanitaire de 2020 est en effet venue réitérer les appels pour un retour d’un « Etat-Providence » rénové sur le plan social, à savoir un Etat qui place le citoyen au centre de ses préoccupations et prônant des politiques keynésiennes plus ambitieuses sur le plan économique en vue de réduire l’incertitude, rassurer les investisseurs et soutenir la demande.</w:t>
      </w:r>
    </w:p>
    <w:p w:rsidR="00EF0EED" w:rsidP="007915C2" w:rsidRDefault="007915C2" w14:paraId="6860F217" w14:textId="77777777">
      <w:pPr>
        <w:spacing w:after="160" w:line="256" w:lineRule="auto"/>
        <w:rPr>
          <w:rFonts w:ascii="Calibri" w:hAnsi="Calibri"/>
          <w:color w:val="000000"/>
        </w:rPr>
      </w:pPr>
      <w:r>
        <w:rPr>
          <w:rFonts w:ascii="Calibri" w:hAnsi="Calibri"/>
          <w:color w:val="000000"/>
        </w:rPr>
        <w:t xml:space="preserve">Les recommandations de cet axe portent spécifiquement sur les inflexions majeures à opérer pour adapter le rôle de l’Etat aux nouvelles exigences du monde Post-Covid, permettant ainsi de réorienter les choix de politiques publiques et l’approche de gouvernance. Cette revue du rôle de l’Etat est considérée à travers le renforcement de trois missions principales : un Etat assureur systémique en temps de crise, un état social au service du citoyen et un Etat stratège avec une vision de long-terme. </w:t>
      </w:r>
    </w:p>
    <w:p w:rsidRPr="008238CC" w:rsidR="007915C2" w:rsidP="007915C2" w:rsidRDefault="007915C2" w14:paraId="0BC754B9" w14:textId="126FDC3E">
      <w:pPr>
        <w:spacing w:after="160" w:line="256" w:lineRule="auto"/>
        <w:jc w:val="left"/>
        <w:rPr>
          <w:rFonts w:ascii="Calibri" w:hAnsi="Calibri" w:eastAsia="Calibri" w:cs="Arial"/>
          <w:b/>
          <w:bCs/>
          <w:color w:val="000000"/>
          <w:u w:val="single"/>
        </w:rPr>
      </w:pPr>
      <w:r>
        <w:rPr>
          <w:rFonts w:ascii="Calibri" w:hAnsi="Calibri"/>
          <w:b/>
          <w:color w:val="000000"/>
          <w:u w:val="single"/>
        </w:rPr>
        <w:t>Passer d’un système de soins à un système de santé</w:t>
      </w:r>
    </w:p>
    <w:p w:rsidR="00EF0EED" w:rsidP="007915C2" w:rsidRDefault="007915C2" w14:paraId="7262F310" w14:textId="77777777">
      <w:pPr>
        <w:spacing w:after="160" w:line="256" w:lineRule="auto"/>
        <w:rPr>
          <w:rFonts w:ascii="Calibri" w:hAnsi="Calibri"/>
          <w:color w:val="000000"/>
        </w:rPr>
      </w:pPr>
      <w:r>
        <w:rPr>
          <w:rFonts w:ascii="Calibri" w:hAnsi="Calibri"/>
          <w:color w:val="000000"/>
        </w:rPr>
        <w:t>La pandémie aura fait prendre conscience que la refonte du système de santé est plus que jamais un enjeu majeur de cohésion, de justice et de paix sociale, qui devrait induire une véritable volonté de changement politique et l’élaboration d’un cadre d’action clair et ambitieux. A ce stade, il devient plus que jamais urgent pour notre pays de développer un système de santé national qui garantisse la qualité et l’efficacité de l’offre de soins de santé, l’accès équitable aux soins et la protection financière des patients, l’efficience de l’offre et la viabilité financière à long terme.</w:t>
      </w:r>
    </w:p>
    <w:p w:rsidR="00EF0EED" w:rsidP="007915C2" w:rsidRDefault="007915C2" w14:paraId="6174348C" w14:textId="77777777">
      <w:pPr>
        <w:spacing w:after="160" w:line="256" w:lineRule="auto"/>
        <w:rPr>
          <w:rFonts w:ascii="Calibri" w:hAnsi="Calibri"/>
          <w:color w:val="000000"/>
        </w:rPr>
      </w:pPr>
      <w:r>
        <w:rPr>
          <w:rFonts w:ascii="Calibri" w:hAnsi="Calibri"/>
          <w:color w:val="000000"/>
        </w:rPr>
        <w:lastRenderedPageBreak/>
        <w:t xml:space="preserve">Cet axe porte sur les réformes structurelles nécessaires à l’émergence d’un véritable système de santé, partant de la vision et la volonté politique jusqu’à la question de la santé et de la sécurité, en passant par la gouvernance, les ressources humaines et le financement. </w:t>
      </w:r>
      <w:r>
        <w:rPr>
          <w:rFonts w:ascii="Calibri" w:hAnsi="Calibri"/>
          <w:i/>
          <w:color w:val="000000"/>
        </w:rPr>
        <w:t>In fine</w:t>
      </w:r>
      <w:r>
        <w:rPr>
          <w:rFonts w:ascii="Calibri" w:hAnsi="Calibri"/>
          <w:color w:val="000000"/>
        </w:rPr>
        <w:t xml:space="preserve">, le nouveau système auquel appelle le CESE doit assurer l’effectivité d’une médecine préventive efficace et garantir une offre de soins de santé de qualité, couvrant l’ensemble du territoire et accessible à tous les citoyens, sans distinction.   </w:t>
      </w:r>
    </w:p>
    <w:p w:rsidR="00EF0EED" w:rsidP="007915C2" w:rsidRDefault="007915C2" w14:paraId="1A2AF2EE" w14:textId="77777777">
      <w:pPr>
        <w:spacing w:after="160" w:line="256" w:lineRule="auto"/>
        <w:jc w:val="left"/>
        <w:rPr>
          <w:rFonts w:ascii="Calibri" w:hAnsi="Calibri"/>
          <w:b/>
          <w:color w:val="000000"/>
          <w:u w:val="single"/>
        </w:rPr>
      </w:pPr>
      <w:r>
        <w:rPr>
          <w:rFonts w:ascii="Calibri" w:hAnsi="Calibri"/>
          <w:b/>
          <w:color w:val="000000"/>
          <w:u w:val="single"/>
        </w:rPr>
        <w:t>Mettre en place un système de protection sociale généralisée et des stratégies innovantes pour réduire l’informel</w:t>
      </w:r>
    </w:p>
    <w:p w:rsidR="00EF0EED" w:rsidP="007915C2" w:rsidRDefault="007915C2" w14:paraId="799EE096" w14:textId="77777777">
      <w:pPr>
        <w:spacing w:after="160" w:line="256" w:lineRule="auto"/>
        <w:rPr>
          <w:rFonts w:ascii="Calibri" w:hAnsi="Calibri"/>
          <w:color w:val="000000"/>
        </w:rPr>
      </w:pPr>
      <w:r>
        <w:rPr>
          <w:rFonts w:ascii="Calibri" w:hAnsi="Calibri"/>
          <w:color w:val="000000"/>
        </w:rPr>
        <w:t>La crise de la Covid-19 n’a fait que confirmer le niveau élevé de vulnérabilité de larges franges de la population exerçant dans des métiers faiblement organisés ou dans l’informel. L‘urgence de remédier à cette carence structurelle qui n’a que trop duré n’est plus à démontrer, une situation qui nécessite de mener un certain nombre d’actions et de réformes pour renforcer et étendre aussi bien le dispositif de filets sociaux, que la couverture maladie, dans le sens d’une universalisation des systèmes.</w:t>
      </w:r>
    </w:p>
    <w:p w:rsidR="00EF0EED" w:rsidP="007915C2" w:rsidRDefault="007915C2" w14:paraId="242DB173" w14:textId="77777777">
      <w:pPr>
        <w:spacing w:after="160" w:line="256" w:lineRule="auto"/>
        <w:rPr>
          <w:rFonts w:ascii="Calibri" w:hAnsi="Calibri"/>
          <w:color w:val="000000"/>
        </w:rPr>
      </w:pPr>
      <w:r>
        <w:rPr>
          <w:rFonts w:ascii="Calibri" w:hAnsi="Calibri"/>
          <w:color w:val="000000"/>
        </w:rPr>
        <w:t xml:space="preserve">Le présent axe traite tout autant des réformes nécessaires pour assurer une protection sociale universelle qui profite de manière équitable et soutenable à tous les individus, avec pour principes la viabilité et la convergence des régimes, que des leviers à envisager pour insérer et restructurer les activités vulnérables et informelles. </w:t>
      </w:r>
    </w:p>
    <w:p w:rsidRPr="008238CC" w:rsidR="007915C2" w:rsidP="007915C2" w:rsidRDefault="007915C2" w14:paraId="69C1FD02" w14:textId="5F1ADA18">
      <w:pPr>
        <w:spacing w:after="160" w:line="256" w:lineRule="auto"/>
        <w:jc w:val="left"/>
        <w:rPr>
          <w:rFonts w:ascii="Calibri" w:hAnsi="Calibri" w:eastAsia="Calibri" w:cs="Arial"/>
          <w:b/>
          <w:bCs/>
          <w:color w:val="000000"/>
          <w:u w:val="single"/>
        </w:rPr>
      </w:pPr>
      <w:r>
        <w:rPr>
          <w:rFonts w:ascii="Calibri" w:hAnsi="Calibri"/>
          <w:b/>
          <w:color w:val="000000"/>
          <w:u w:val="single"/>
        </w:rPr>
        <w:t>Relancer l’économie à court terme tout en renforçant sa résilience à moyen terme face aux éventuels chocs futurs</w:t>
      </w:r>
    </w:p>
    <w:p w:rsidRPr="008238CC" w:rsidR="007915C2" w:rsidP="007915C2" w:rsidRDefault="007915C2" w14:paraId="521424FF" w14:textId="77777777">
      <w:pPr>
        <w:spacing w:after="160" w:line="256" w:lineRule="auto"/>
        <w:rPr>
          <w:rFonts w:ascii="Calibri" w:hAnsi="Calibri" w:eastAsia="Calibri" w:cs="Calibri"/>
          <w:color w:val="000000"/>
        </w:rPr>
      </w:pPr>
      <w:r>
        <w:rPr>
          <w:rFonts w:ascii="Calibri" w:hAnsi="Calibri"/>
          <w:color w:val="000000"/>
        </w:rPr>
        <w:t>Si les fermetures d’entreprises, les mesures de distanciation et la perturbation de certaines chaines d’approvisionnement ont sévèrement impacté l’offre, il n’en demeure pas moins que certains indicateurs pointent vers le fait que l’impact négatif de la crise est encore plus prononcé au niveau de la demande. La nature même du choc Covid renvoie à la nécessité pour les pouvoirs publics de continuer à agir simultanément sur l’offre et la demande, mais aussi sur le niveau d’incertitude qui impacte fortement la formation des anticipations des agents.</w:t>
      </w:r>
    </w:p>
    <w:p w:rsidRPr="008238CC" w:rsidR="007915C2" w:rsidP="007915C2" w:rsidRDefault="007915C2" w14:paraId="69DC1A5C" w14:textId="77777777">
      <w:pPr>
        <w:spacing w:after="160" w:line="256" w:lineRule="auto"/>
        <w:rPr>
          <w:rFonts w:ascii="Calibri" w:hAnsi="Calibri" w:eastAsia="Calibri" w:cs="Calibri"/>
          <w:color w:val="000000"/>
        </w:rPr>
      </w:pPr>
      <w:r>
        <w:rPr>
          <w:rFonts w:ascii="Calibri" w:hAnsi="Calibri"/>
          <w:color w:val="000000"/>
        </w:rPr>
        <w:t xml:space="preserve">Ce cinquième axe traite des inflexions majeures à opérer, en matière de politiques économiques (monétaire, fiscale, budgétaire, commerciale, industrielle, </w:t>
      </w:r>
      <w:r>
        <w:rPr>
          <w:rFonts w:ascii="Calibri" w:hAnsi="Calibri"/>
          <w:i/>
          <w:color w:val="000000"/>
        </w:rPr>
        <w:t>etc.</w:t>
      </w:r>
      <w:r>
        <w:rPr>
          <w:rFonts w:ascii="Calibri" w:hAnsi="Calibri"/>
          <w:color w:val="000000"/>
        </w:rPr>
        <w:t>) pour (i) la sauvegarde de l’activité et des emplois, (ii) l’amélioration de la résilience et de la compétitivité des entreprises nationales, (iii) l’insertion de l’économie informelle en tenant compte de ses caractéristiques. Deux temporalités distinctes sont considérées avec, chacune, des objectifs spécifiques : le court-terme pour la sauvegarde de l’économie, grâce à des mesures préventives pour limiter la destruction des emplois et les faillites des entreprises ; le moyen/long terme pour accroitre la résilience et le caractère inclusif de l’économie, à travers une revisite globale des priorités des politiques économiques du Maroc.</w:t>
      </w:r>
    </w:p>
    <w:p w:rsidRPr="008238CC" w:rsidR="007915C2" w:rsidP="007915C2" w:rsidRDefault="007915C2" w14:paraId="3BEC1F74" w14:textId="77777777">
      <w:pPr>
        <w:spacing w:after="160" w:line="256" w:lineRule="auto"/>
        <w:jc w:val="left"/>
        <w:rPr>
          <w:rFonts w:ascii="Calibri" w:hAnsi="Calibri" w:eastAsia="Calibri" w:cs="Arial"/>
          <w:b/>
          <w:bCs/>
          <w:color w:val="000000"/>
          <w:u w:val="single"/>
        </w:rPr>
      </w:pPr>
      <w:r>
        <w:rPr>
          <w:rFonts w:ascii="Calibri" w:hAnsi="Calibri"/>
          <w:b/>
          <w:color w:val="000000"/>
          <w:u w:val="single"/>
        </w:rPr>
        <w:t>Développer les secteurs stratégiques pour renforcer la souveraineté du pays</w:t>
      </w:r>
    </w:p>
    <w:p w:rsidR="00EF0EED" w:rsidP="007915C2" w:rsidRDefault="007915C2" w14:paraId="19287959" w14:textId="77777777">
      <w:pPr>
        <w:spacing w:after="160" w:line="256" w:lineRule="auto"/>
        <w:rPr>
          <w:rFonts w:ascii="Calibri" w:hAnsi="Calibri"/>
          <w:color w:val="000000"/>
        </w:rPr>
      </w:pPr>
      <w:r>
        <w:rPr>
          <w:rFonts w:ascii="Calibri" w:hAnsi="Calibri"/>
          <w:color w:val="000000"/>
        </w:rPr>
        <w:t xml:space="preserve">Partant de l’hypothèse que les crises majeures peuvent devenir de plus en plus fréquentes, avec des risques plus importants en termes de perturbation des approvisionnements sur les marchés mondiaux, le Maroc est appelé à renforcer son positionnement sur un certain nombre de secteurs vitaux pour réduire sa dépendance et sa vulnérabilité aux chocs extérieurs. Le renforcement de la souveraineté passe également par une réduction de la dépendance technologique du Maroc, à l’aide d’une stratégie intégrée de la R&amp;D et l’innovation. A moyen/long terme, notre pays est </w:t>
      </w:r>
      <w:r>
        <w:rPr>
          <w:rFonts w:ascii="Calibri" w:hAnsi="Calibri"/>
          <w:color w:val="000000"/>
          <w:vertAlign w:val="superscript"/>
        </w:rPr>
        <w:t>«</w:t>
      </w:r>
      <w:r>
        <w:rPr>
          <w:rFonts w:ascii="Calibri" w:hAnsi="Calibri"/>
          <w:color w:val="000000"/>
        </w:rPr>
        <w:t> condamné </w:t>
      </w:r>
      <w:r>
        <w:rPr>
          <w:rFonts w:ascii="Calibri" w:hAnsi="Calibri"/>
          <w:color w:val="000000"/>
          <w:vertAlign w:val="superscript"/>
        </w:rPr>
        <w:t>»</w:t>
      </w:r>
      <w:r>
        <w:rPr>
          <w:rFonts w:ascii="Calibri" w:hAnsi="Calibri"/>
          <w:color w:val="000000"/>
        </w:rPr>
        <w:t xml:space="preserve"> à transiter d’un consommateur net à un producteur net de connaissance dans les domaines </w:t>
      </w:r>
      <w:r>
        <w:rPr>
          <w:rFonts w:ascii="Calibri" w:hAnsi="Calibri"/>
          <w:color w:val="000000"/>
        </w:rPr>
        <w:lastRenderedPageBreak/>
        <w:t>scientifiques et technologiques de l’avenir, étant donné l’aspect cumulatif de la corrélation forte entre l’innovation et la compétitivité d’une économie.</w:t>
      </w:r>
    </w:p>
    <w:p w:rsidRPr="008238CC" w:rsidR="007915C2" w:rsidP="007915C2" w:rsidRDefault="007915C2" w14:paraId="6F48F69B" w14:textId="07FD3D61">
      <w:pPr>
        <w:spacing w:after="160" w:line="256" w:lineRule="auto"/>
        <w:rPr>
          <w:rFonts w:ascii="Calibri" w:hAnsi="Calibri" w:eastAsia="Calibri" w:cs="Calibri"/>
          <w:color w:val="000000"/>
        </w:rPr>
      </w:pPr>
      <w:r>
        <w:rPr>
          <w:rFonts w:ascii="Calibri" w:hAnsi="Calibri"/>
          <w:color w:val="000000"/>
        </w:rPr>
        <w:t>Les recommandations de ce sixième axe portent sur les secteurs stratégiques révélés par la crise Covid-19, et dont le développement doit être maitrisé par notre pays afin de réduire sa dépendance vis-à-vis de l’étranger et accroître ainsi la résilience de son économie. Parmi les domaines stratégiques, il y a lieu de citer l’industrie pharmaceutique, le secteur alimentaire ou encore secteur énergétique, mais aussi l’écosystème de la R&amp;D et l’innovation.</w:t>
      </w:r>
    </w:p>
    <w:p w:rsidRPr="008238CC" w:rsidR="007915C2" w:rsidP="007915C2" w:rsidRDefault="007915C2" w14:paraId="5D29998F" w14:textId="77777777">
      <w:pPr>
        <w:spacing w:after="160" w:line="256" w:lineRule="auto"/>
        <w:jc w:val="left"/>
        <w:rPr>
          <w:rFonts w:ascii="Calibri" w:hAnsi="Calibri" w:eastAsia="Calibri" w:cs="Arial"/>
          <w:b/>
          <w:bCs/>
          <w:color w:val="000000"/>
          <w:u w:val="single"/>
        </w:rPr>
      </w:pPr>
      <w:r>
        <w:rPr>
          <w:rFonts w:ascii="Calibri" w:hAnsi="Calibri"/>
          <w:b/>
          <w:color w:val="000000"/>
          <w:u w:val="single"/>
        </w:rPr>
        <w:t>Mettre en place une politique nationale intégrée et globale de transformation digitale</w:t>
      </w:r>
    </w:p>
    <w:p w:rsidRPr="008238CC" w:rsidR="007915C2" w:rsidP="007915C2" w:rsidRDefault="007915C2" w14:paraId="1FF4E987" w14:textId="77777777">
      <w:pPr>
        <w:spacing w:after="160" w:line="256" w:lineRule="auto"/>
        <w:rPr>
          <w:rFonts w:ascii="Calibri" w:hAnsi="Calibri" w:eastAsia="Calibri" w:cs="Calibri"/>
          <w:color w:val="000000"/>
        </w:rPr>
      </w:pPr>
      <w:r>
        <w:rPr>
          <w:rFonts w:ascii="Calibri" w:hAnsi="Calibri"/>
          <w:color w:val="000000"/>
        </w:rPr>
        <w:t>Le recours aux technologies digitales a connu un essor remarquable durant la crise de la Covid-19, au niveau du fonctionnement de l’administration publique, au niveau des habitudes des consommateurs et usagers, ainsi qu’au niveau des entreprises privées dont une partie a procédé à des changements significatifs en introduisant le digital dans le processus de production, dans la distribution, la promotion et la gestion des ressources humaines via le recours au travail à distance. La crise a en revanche montré que l’intégration du digital est loin d’être égalitaire au Maroc et que le risque d’élargissement de la fracture numérique entre aisés et pauvres, entre urbains et ruraux, demeure présent. L’accélération de la tendance mondiale vers des économies et des sociétés plus digitalisées impose au Maroc de faire de la digitalisation un chantier structurant, de portée stratégique.</w:t>
      </w:r>
    </w:p>
    <w:p w:rsidR="00EF0EED" w:rsidP="007915C2" w:rsidRDefault="007915C2" w14:paraId="3C3DE3E9" w14:textId="77777777">
      <w:pPr>
        <w:spacing w:after="160" w:line="256" w:lineRule="auto"/>
        <w:rPr>
          <w:rFonts w:ascii="Calibri" w:hAnsi="Calibri"/>
          <w:color w:val="000000"/>
        </w:rPr>
      </w:pPr>
      <w:r>
        <w:rPr>
          <w:rFonts w:ascii="Calibri" w:hAnsi="Calibri"/>
          <w:color w:val="000000"/>
        </w:rPr>
        <w:t xml:space="preserve">Le septième et dernier axe porte donc sur ce levier transversal vital qui permet, d’une part, d’améliorer l’efficacité d’exécution de notre pays dans tous les domaines, notamment dans les services publics destinés aux citoyens et aux entreprises, les services sociaux de base et l’économie, et d’autre part, de remédier à certains problèmes structurels à moindre coût et dans des délais plus courts. Les recommandations associées à ce thème couvrent également la vision relative à la stratégie à suivre, ainsi que les voies pour élever le digital au rang de droit fondamental avec pour finalité une connectivité numérique de qualité, pour tous et partout. </w:t>
      </w:r>
    </w:p>
    <w:p w:rsidRPr="008238CC" w:rsidR="00F53370" w:rsidP="00EF0EED" w:rsidRDefault="007915C2" w14:paraId="1120DA58" w14:textId="3CA65229">
      <w:pPr>
        <w:spacing w:line="240" w:lineRule="auto"/>
        <w:jc w:val="center"/>
      </w:pPr>
      <w:r>
        <w:rPr>
          <w:color w:val="000000"/>
        </w:rPr>
        <w:t>____________</w:t>
      </w:r>
      <w:bookmarkStart w:name="_GoBack" w:id="0"/>
      <w:bookmarkEnd w:id="0"/>
    </w:p>
    <w:sectPr w:rsidRPr="008238CC" w:rsidR="00F53370" w:rsidSect="001E74A1">
      <w:headerReference w:type="default" r:id="rId21"/>
      <w:footerReference w:type="defaul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75722" w14:textId="77777777" w:rsidR="00E5452E" w:rsidRDefault="00E5452E" w:rsidP="00F53370">
      <w:pPr>
        <w:spacing w:line="240" w:lineRule="auto"/>
      </w:pPr>
      <w:r>
        <w:separator/>
      </w:r>
    </w:p>
  </w:endnote>
  <w:endnote w:type="continuationSeparator" w:id="0">
    <w:p w14:paraId="6E71F196" w14:textId="77777777" w:rsidR="00E5452E" w:rsidRDefault="00E5452E"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3459" w14:textId="77777777" w:rsidR="00833285" w:rsidRDefault="0083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1635" w14:textId="77777777" w:rsidR="00833285" w:rsidRDefault="00833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0AEC" w14:textId="77777777" w:rsidR="00833285" w:rsidRDefault="008332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0FE1"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6A37" w14:textId="3BC9D468" w:rsidR="0084105C" w:rsidRPr="003065C9" w:rsidRDefault="00833285" w:rsidP="00833285">
    <w:pPr>
      <w:pStyle w:val="Footer"/>
      <w:jc w:val="left"/>
    </w:pPr>
    <w:r>
      <w:t xml:space="preserve">REX/537 – EESC-2021-02760-00-01-AC-TRA (EN) </w:t>
    </w:r>
    <w:r>
      <w:fldChar w:fldCharType="begin"/>
    </w:r>
    <w:r>
      <w:instrText xml:space="preserve"> PAGE  \* Arabic  \* MERGEFORMAT </w:instrText>
    </w:r>
    <w:r>
      <w:fldChar w:fldCharType="separate"/>
    </w:r>
    <w:r w:rsidR="00D16BA7">
      <w:rPr>
        <w:noProof/>
      </w:rPr>
      <w:t>20</w:t>
    </w:r>
    <w:r>
      <w:fldChar w:fldCharType="end"/>
    </w:r>
    <w:r>
      <w:t>/</w:t>
    </w:r>
    <w:r>
      <w:fldChar w:fldCharType="begin"/>
    </w:r>
    <w:r>
      <w:instrText xml:space="preserve"> = </w:instrText>
    </w:r>
    <w:r w:rsidR="009E3E7B">
      <w:fldChar w:fldCharType="begin"/>
    </w:r>
    <w:r w:rsidR="009E3E7B">
      <w:instrText xml:space="preserve"> NUMPAGES </w:instrText>
    </w:r>
    <w:r w:rsidR="009E3E7B">
      <w:fldChar w:fldCharType="separate"/>
    </w:r>
    <w:r w:rsidR="00D16BA7">
      <w:rPr>
        <w:noProof/>
      </w:rPr>
      <w:instrText>23</w:instrText>
    </w:r>
    <w:r w:rsidR="009E3E7B">
      <w:rPr>
        <w:noProof/>
      </w:rPr>
      <w:fldChar w:fldCharType="end"/>
    </w:r>
    <w:r>
      <w:instrText xml:space="preserve"> - 2 </w:instrText>
    </w:r>
    <w:r>
      <w:fldChar w:fldCharType="separate"/>
    </w:r>
    <w:r w:rsidR="00D16BA7">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E206" w14:textId="77777777" w:rsidR="00E5452E" w:rsidRDefault="00E5452E" w:rsidP="00F53370">
      <w:pPr>
        <w:spacing w:line="240" w:lineRule="auto"/>
      </w:pPr>
      <w:r>
        <w:separator/>
      </w:r>
    </w:p>
  </w:footnote>
  <w:footnote w:type="continuationSeparator" w:id="0">
    <w:p w14:paraId="1B1FF85E" w14:textId="77777777" w:rsidR="00E5452E" w:rsidRDefault="00E5452E" w:rsidP="00F53370">
      <w:pPr>
        <w:spacing w:line="240" w:lineRule="auto"/>
      </w:pPr>
      <w:r>
        <w:continuationSeparator/>
      </w:r>
    </w:p>
  </w:footnote>
  <w:footnote w:id="1">
    <w:p w14:paraId="1F4284B4" w14:textId="76BE5FF0" w:rsidR="007915C2" w:rsidRPr="000733E2" w:rsidRDefault="007915C2" w:rsidP="007915C2">
      <w:pPr>
        <w:pStyle w:val="Heading1"/>
        <w:numPr>
          <w:ilvl w:val="0"/>
          <w:numId w:val="0"/>
        </w:numPr>
        <w:spacing w:after="60" w:line="240" w:lineRule="auto"/>
        <w:ind w:left="567" w:hanging="567"/>
        <w:rPr>
          <w:rStyle w:val="FootnoteTextChar"/>
        </w:rPr>
      </w:pPr>
      <w:r>
        <w:rPr>
          <w:rStyle w:val="FootnoteReference"/>
        </w:rPr>
        <w:footnoteRef/>
      </w:r>
      <w:r>
        <w:tab/>
      </w:r>
      <w:r>
        <w:rPr>
          <w:rStyle w:val="FootnoteTextChar"/>
        </w:rPr>
        <w:t>Освен това настоящият информационен доклад се допълва с някои неотдавнашни становища на ЕИСК относно разглежданата тема, по-специално: „Механизъм за възстановяване и устойчивост и Инструмент за техническа подкрепа“,</w:t>
      </w:r>
      <w:r>
        <w:t xml:space="preserve"> </w:t>
      </w:r>
      <w:hyperlink r:id="rId1" w:history="1">
        <w:r>
          <w:rPr>
            <w:rStyle w:val="Hyperlink"/>
            <w:i/>
            <w:sz w:val="16"/>
          </w:rPr>
          <w:t>ОВ C 364, 28.10.2020 г., стр. 132</w:t>
        </w:r>
      </w:hyperlink>
      <w:r>
        <w:t xml:space="preserve">, </w:t>
      </w:r>
      <w:r>
        <w:rPr>
          <w:rStyle w:val="FootnoteTextChar"/>
        </w:rPr>
        <w:t>ECO/515 „Регламент относно инвестиционната инициатива в отговор на коронавируса“ (все още непубликувано в ОВ), „След извънредното положение, свързано с COVID</w:t>
      </w:r>
      <w:r>
        <w:rPr>
          <w:rStyle w:val="FootnoteTextChar"/>
        </w:rPr>
        <w:noBreakHyphen/>
        <w:t>19: проект за нова многостранна матрица“,</w:t>
      </w:r>
      <w:r>
        <w:rPr>
          <w:i/>
        </w:rPr>
        <w:t xml:space="preserve"> </w:t>
      </w:r>
      <w:hyperlink r:id="rId2" w:history="1">
        <w:r>
          <w:rPr>
            <w:rStyle w:val="Hyperlink"/>
            <w:i/>
            <w:sz w:val="16"/>
          </w:rPr>
          <w:t>ОВ C 364, 28.10.2020 г., стр. 53</w:t>
        </w:r>
      </w:hyperlink>
      <w:r>
        <w:rPr>
          <w:rStyle w:val="FootnoteTextChar"/>
        </w:rPr>
        <w:t>.</w:t>
      </w:r>
    </w:p>
  </w:footnote>
  <w:footnote w:id="2">
    <w:p w14:paraId="55E9BE89" w14:textId="00736796" w:rsidR="007915C2" w:rsidRPr="008238CC" w:rsidRDefault="007915C2" w:rsidP="007915C2">
      <w:pPr>
        <w:pStyle w:val="FootnoteText"/>
      </w:pPr>
      <w:r>
        <w:rPr>
          <w:rStyle w:val="FootnoteReference"/>
        </w:rPr>
        <w:footnoteRef/>
      </w:r>
      <w:r>
        <w:tab/>
      </w:r>
      <w:hyperlink r:id="rId3" w:history="1">
        <w:r>
          <w:rPr>
            <w:rStyle w:val="Hyperlink"/>
          </w:rPr>
          <w:t>https://meddialogue.eu/wp-content/uploads/2021/02/Publication-Bridging-the-sea.pdf</w:t>
        </w:r>
      </w:hyperlink>
      <w:r>
        <w:t>.</w:t>
      </w:r>
    </w:p>
  </w:footnote>
  <w:footnote w:id="3">
    <w:p w14:paraId="033F831C" w14:textId="6659A075" w:rsidR="007915C2" w:rsidRPr="008238CC" w:rsidRDefault="007915C2" w:rsidP="007915C2">
      <w:pPr>
        <w:pStyle w:val="FootnoteText"/>
      </w:pPr>
      <w:r>
        <w:rPr>
          <w:rStyle w:val="FootnoteReference"/>
        </w:rPr>
        <w:footnoteRef/>
      </w:r>
      <w:r>
        <w:tab/>
      </w:r>
      <w:hyperlink r:id="rId4" w:history="1">
        <w:r>
          <w:rPr>
            <w:rStyle w:val="Hyperlink"/>
          </w:rPr>
          <w:t>https://read.oecd-ilibrary.org/view/?ref=124_124984-7uf8nm95se&amp;title=Covid-19_Tourism_Policy_Responses&amp;_ga=2.143901749.1647750476.1622806508-1692148678.1622806341</w:t>
        </w:r>
      </w:hyperlink>
      <w:r>
        <w:t>.</w:t>
      </w:r>
    </w:p>
  </w:footnote>
  <w:footnote w:id="4">
    <w:p w14:paraId="36958DE2" w14:textId="176DA6D6" w:rsidR="007915C2" w:rsidRPr="008238CC" w:rsidRDefault="007915C2" w:rsidP="007915C2">
      <w:pPr>
        <w:pStyle w:val="FootnoteText"/>
      </w:pPr>
      <w:r>
        <w:rPr>
          <w:rStyle w:val="FootnoteReference"/>
        </w:rPr>
        <w:footnoteRef/>
      </w:r>
      <w:r>
        <w:tab/>
      </w:r>
      <w:hyperlink r:id="rId5" w:history="1">
        <w:r>
          <w:rPr>
            <w:rStyle w:val="Hyperlink"/>
          </w:rPr>
          <w:t>https://unctad.org/system/files/official-document/ditcinf2020d3_en.pdf</w:t>
        </w:r>
      </w:hyperlink>
      <w:r>
        <w:t>.</w:t>
      </w:r>
    </w:p>
  </w:footnote>
  <w:footnote w:id="5">
    <w:p w14:paraId="2270E03C" w14:textId="64A6281F" w:rsidR="007915C2" w:rsidRPr="008238CC" w:rsidRDefault="007915C2" w:rsidP="007915C2">
      <w:pPr>
        <w:pStyle w:val="FootnoteText"/>
      </w:pPr>
      <w:r>
        <w:rPr>
          <w:rStyle w:val="FootnoteReference"/>
        </w:rPr>
        <w:footnoteRef/>
      </w:r>
      <w:r>
        <w:tab/>
      </w:r>
      <w:hyperlink r:id="rId6" w:history="1">
        <w:r>
          <w:rPr>
            <w:rStyle w:val="Hyperlink"/>
          </w:rPr>
          <w:t>Министрите на външните работи от Съюза за Средиземноморието определиха приоритетни области за засилено сътрудничество и интеграция в Евро-средиземноморския регион — Съюз за Средиземноморието — СзС (ufmsecretariat.org)</w:t>
        </w:r>
      </w:hyperlink>
      <w:r>
        <w:t>.</w:t>
      </w:r>
    </w:p>
  </w:footnote>
  <w:footnote w:id="6">
    <w:p w14:paraId="5F573310" w14:textId="555E18EF" w:rsidR="007915C2" w:rsidRPr="008238CC" w:rsidRDefault="007915C2" w:rsidP="007915C2">
      <w:pPr>
        <w:pStyle w:val="FootnoteText"/>
      </w:pPr>
      <w:r>
        <w:rPr>
          <w:rStyle w:val="FootnoteReference"/>
        </w:rPr>
        <w:footnoteRef/>
      </w:r>
      <w:r>
        <w:tab/>
      </w:r>
      <w:hyperlink r:id="rId7" w:history="1">
        <w:r>
          <w:rPr>
            <w:rStyle w:val="Hyperlink"/>
          </w:rPr>
          <w:t>https://www.2021portugal.eu/en/porto-social-summit/porto-social-commitment/</w:t>
        </w:r>
      </w:hyperlink>
      <w:r>
        <w:t>.</w:t>
      </w:r>
    </w:p>
  </w:footnote>
  <w:footnote w:id="7">
    <w:p w14:paraId="2F4EE1C7" w14:textId="77777777" w:rsidR="007915C2" w:rsidRPr="008238CC" w:rsidRDefault="007915C2" w:rsidP="007915C2">
      <w:pPr>
        <w:pStyle w:val="FootnoteText"/>
        <w:rPr>
          <w:szCs w:val="16"/>
        </w:rPr>
      </w:pPr>
      <w:r>
        <w:rPr>
          <w:rStyle w:val="FootnoteReference"/>
          <w:szCs w:val="24"/>
        </w:rPr>
        <w:footnoteRef/>
      </w:r>
      <w:r>
        <w:tab/>
      </w:r>
      <w:r>
        <w:t>Les prévisions de croissance, tout en demeurant entourées de fortes incertitudes, tablent sur une contraction importante du PIB mondial de l’ordre de -4,4%, soit près de 2,6 fois la baisse enregistrée par l’économie mondiale en 2009 suite à la crise financière. Pour leur part, les échanges commerciaux ont baissé de près de 3,5 % en glissement annuel au cours du premier trimestre, en raison de la faiblesse de la demande, de l’effondrement du tourisme international, et des ruptures d’approvisionnement provoquées par les mesures de confinement, parfois encore aggravées par des restrictions sur les échanges. Enfin, la Banque mondiale estime que plus de 100 millions de personnes tomberont dans l’extrême pauvreté, tandis que la FAO évalue à 451 millions (35%) le nombre d’emplois formels dans les systèmes alimentaires seraient amenés à disparaitre du fait de la pandémie de la Covid-19.</w:t>
      </w:r>
    </w:p>
  </w:footnote>
  <w:footnote w:id="8">
    <w:p w14:paraId="00385787" w14:textId="77777777" w:rsidR="007915C2" w:rsidRPr="008238CC" w:rsidRDefault="007915C2" w:rsidP="007915C2">
      <w:pPr>
        <w:spacing w:after="60" w:line="240" w:lineRule="auto"/>
        <w:ind w:left="567" w:hanging="567"/>
        <w:rPr>
          <w:rFonts w:cs="Calibri"/>
          <w:sz w:val="16"/>
          <w:szCs w:val="16"/>
        </w:rPr>
      </w:pPr>
      <w:r>
        <w:rPr>
          <w:rStyle w:val="FootnoteReference"/>
          <w:rFonts w:cs="Calibri"/>
          <w:szCs w:val="24"/>
        </w:rPr>
        <w:footnoteRef/>
      </w:r>
      <w:r>
        <w:rPr>
          <w:sz w:val="16"/>
        </w:rPr>
        <w:tab/>
      </w:r>
      <w:r>
        <w:rPr>
          <w:sz w:val="16"/>
        </w:rPr>
        <w:t>UN, Covid 19 et droits humains, Réagissons ensemble, avril 2020.</w:t>
      </w:r>
    </w:p>
  </w:footnote>
  <w:footnote w:id="9">
    <w:p w14:paraId="0C828D6B" w14:textId="77777777" w:rsidR="007915C2" w:rsidRPr="008238CC" w:rsidRDefault="007915C2" w:rsidP="007915C2">
      <w:pPr>
        <w:pStyle w:val="FootnoteText"/>
        <w:rPr>
          <w:szCs w:val="16"/>
        </w:rPr>
      </w:pPr>
      <w:r>
        <w:rPr>
          <w:rStyle w:val="FootnoteReference"/>
          <w:szCs w:val="24"/>
        </w:rPr>
        <w:footnoteRef/>
      </w:r>
      <w:r>
        <w:tab/>
      </w:r>
      <w:r>
        <w:t>Loi de finances rectificative 2020.</w:t>
      </w:r>
    </w:p>
  </w:footnote>
  <w:footnote w:id="10">
    <w:p w14:paraId="0777FE45" w14:textId="77777777" w:rsidR="007915C2" w:rsidRPr="008238CC" w:rsidRDefault="007915C2" w:rsidP="007915C2">
      <w:pPr>
        <w:pStyle w:val="FootnoteText"/>
        <w:rPr>
          <w:szCs w:val="16"/>
        </w:rPr>
      </w:pPr>
      <w:r>
        <w:rPr>
          <w:rStyle w:val="FootnoteReference"/>
          <w:szCs w:val="24"/>
        </w:rPr>
        <w:footnoteRef/>
      </w:r>
      <w:r>
        <w:tab/>
      </w:r>
      <w:r>
        <w:t>Financée grâce au Fonds spécial Covid</w:t>
      </w:r>
    </w:p>
  </w:footnote>
  <w:footnote w:id="11">
    <w:p w14:paraId="216247FE" w14:textId="77777777" w:rsidR="007915C2" w:rsidRPr="008238CC" w:rsidRDefault="007915C2" w:rsidP="007915C2">
      <w:pPr>
        <w:pStyle w:val="FootnoteText"/>
        <w:rPr>
          <w:szCs w:val="16"/>
        </w:rPr>
      </w:pPr>
      <w:r>
        <w:rPr>
          <w:rStyle w:val="FootnoteReference"/>
          <w:szCs w:val="24"/>
        </w:rPr>
        <w:footnoteRef/>
      </w:r>
      <w:r>
        <w:tab/>
      </w:r>
      <w:r>
        <w:t>CSEFRS, « une école de justice sociale : Contribution à la réflexion sur le modèle de développement »,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AF09" w14:textId="77777777" w:rsidR="00574C9B" w:rsidRDefault="009E3E7B">
    <w:pPr>
      <w:pStyle w:val="Header"/>
    </w:pPr>
    <w:r>
      <w:pict w14:anchorId="60EB5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44EA" w14:textId="3E21B7D8" w:rsidR="00574C9B" w:rsidRDefault="006566A4">
    <w:pPr>
      <w:pStyle w:val="Header"/>
    </w:pPr>
    <w:r>
      <w:rPr>
        <w:noProof/>
        <w:lang w:eastAsia="bg-BG"/>
      </w:rPr>
      <w:drawing>
        <wp:anchor distT="0" distB="0" distL="114300" distR="114300" simplePos="0" relativeHeight="251666432" behindDoc="0" locked="0" layoutInCell="1" allowOverlap="1" wp14:anchorId="601EA1F6" wp14:editId="7BEFEB45">
          <wp:simplePos x="0" y="0"/>
          <wp:positionH relativeFrom="page">
            <wp:align>center</wp:align>
          </wp:positionH>
          <wp:positionV relativeFrom="page">
            <wp:posOffset>288290</wp:posOffset>
          </wp:positionV>
          <wp:extent cx="6944360" cy="3343275"/>
          <wp:effectExtent l="0" t="0" r="8890" b="9525"/>
          <wp:wrapNone/>
          <wp:docPr id="1" name="Picture 1" title="EESCLogo2021_BG"/>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9E3E7B">
      <w:pict w14:anchorId="567C9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4A78" w14:textId="77777777" w:rsidR="00574C9B" w:rsidRDefault="009E3E7B">
    <w:pPr>
      <w:pStyle w:val="Header"/>
    </w:pPr>
    <w:r>
      <w:pict w14:anchorId="0456A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0805" w14:textId="77777777" w:rsidR="00574C9B" w:rsidRDefault="009E3E7B">
    <w:pPr>
      <w:pStyle w:val="Header"/>
    </w:pPr>
    <w:r>
      <w:pict w14:anchorId="0C549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8FE4" w14:textId="77777777" w:rsidR="00574C9B" w:rsidRDefault="00574C9B">
    <w:pPr>
      <w:pStyle w:val="Header"/>
    </w:pPr>
    <w:r>
      <w:rPr>
        <w:noProof/>
        <w:lang w:eastAsia="bg-BG"/>
      </w:rPr>
      <w:drawing>
        <wp:anchor distT="0" distB="0" distL="114300" distR="114300" simplePos="0" relativeHeight="251665408" behindDoc="1" locked="0" layoutInCell="1" allowOverlap="1" wp14:anchorId="2496B17F" wp14:editId="44242037">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3971" w14:textId="77777777" w:rsidR="00574C9B" w:rsidRDefault="009E3E7B">
    <w:pPr>
      <w:pStyle w:val="Header"/>
    </w:pPr>
    <w:r>
      <w:pict w14:anchorId="38F4B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EB3F" w14:textId="77777777" w:rsidR="00FA08F8" w:rsidRDefault="009E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6F0B43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520F59E6"/>
    <w:multiLevelType w:val="hybridMultilevel"/>
    <w:tmpl w:val="BC3017EA"/>
    <w:lvl w:ilvl="0" w:tplc="C7F2456C">
      <w:start w:val="21"/>
      <w:numFmt w:val="bullet"/>
      <w:lvlText w:val="-"/>
      <w:lvlJc w:val="left"/>
      <w:pPr>
        <w:ind w:left="720" w:hanging="360"/>
      </w:pPr>
      <w:rPr>
        <w:rFonts w:ascii="Calibri" w:eastAsia="Calibri" w:hAnsi="Calibri" w:cs="Calibri" w:hint="default"/>
        <w:color w:val="auto"/>
      </w:rPr>
    </w:lvl>
    <w:lvl w:ilvl="1" w:tplc="380C0003">
      <w:start w:val="1"/>
      <w:numFmt w:val="bullet"/>
      <w:lvlText w:val="o"/>
      <w:lvlJc w:val="left"/>
      <w:pPr>
        <w:ind w:left="1440" w:hanging="360"/>
      </w:pPr>
      <w:rPr>
        <w:rFonts w:ascii="Courier New" w:hAnsi="Courier New" w:cs="Courier New" w:hint="default"/>
      </w:rPr>
    </w:lvl>
    <w:lvl w:ilvl="2" w:tplc="380C0005">
      <w:start w:val="1"/>
      <w:numFmt w:val="bullet"/>
      <w:lvlText w:val=""/>
      <w:lvlJc w:val="left"/>
      <w:pPr>
        <w:ind w:left="2160" w:hanging="360"/>
      </w:pPr>
      <w:rPr>
        <w:rFonts w:ascii="Wingdings" w:hAnsi="Wingdings" w:hint="default"/>
      </w:rPr>
    </w:lvl>
    <w:lvl w:ilvl="3" w:tplc="380C0001">
      <w:start w:val="1"/>
      <w:numFmt w:val="bullet"/>
      <w:lvlText w:val=""/>
      <w:lvlJc w:val="left"/>
      <w:pPr>
        <w:ind w:left="2880" w:hanging="360"/>
      </w:pPr>
      <w:rPr>
        <w:rFonts w:ascii="Symbol" w:hAnsi="Symbol" w:hint="default"/>
      </w:rPr>
    </w:lvl>
    <w:lvl w:ilvl="4" w:tplc="380C0003">
      <w:start w:val="1"/>
      <w:numFmt w:val="bullet"/>
      <w:lvlText w:val="o"/>
      <w:lvlJc w:val="left"/>
      <w:pPr>
        <w:ind w:left="3600" w:hanging="360"/>
      </w:pPr>
      <w:rPr>
        <w:rFonts w:ascii="Courier New" w:hAnsi="Courier New" w:cs="Courier New" w:hint="default"/>
      </w:rPr>
    </w:lvl>
    <w:lvl w:ilvl="5" w:tplc="380C0005">
      <w:start w:val="1"/>
      <w:numFmt w:val="bullet"/>
      <w:lvlText w:val=""/>
      <w:lvlJc w:val="left"/>
      <w:pPr>
        <w:ind w:left="4320" w:hanging="360"/>
      </w:pPr>
      <w:rPr>
        <w:rFonts w:ascii="Wingdings" w:hAnsi="Wingdings" w:hint="default"/>
      </w:rPr>
    </w:lvl>
    <w:lvl w:ilvl="6" w:tplc="380C0001">
      <w:start w:val="1"/>
      <w:numFmt w:val="bullet"/>
      <w:lvlText w:val=""/>
      <w:lvlJc w:val="left"/>
      <w:pPr>
        <w:ind w:left="5040" w:hanging="360"/>
      </w:pPr>
      <w:rPr>
        <w:rFonts w:ascii="Symbol" w:hAnsi="Symbol" w:hint="default"/>
      </w:rPr>
    </w:lvl>
    <w:lvl w:ilvl="7" w:tplc="380C0003">
      <w:start w:val="1"/>
      <w:numFmt w:val="bullet"/>
      <w:lvlText w:val="o"/>
      <w:lvlJc w:val="left"/>
      <w:pPr>
        <w:ind w:left="5760" w:hanging="360"/>
      </w:pPr>
      <w:rPr>
        <w:rFonts w:ascii="Courier New" w:hAnsi="Courier New" w:cs="Courier New" w:hint="default"/>
      </w:rPr>
    </w:lvl>
    <w:lvl w:ilvl="8" w:tplc="380C0005">
      <w:start w:val="1"/>
      <w:numFmt w:val="bullet"/>
      <w:lvlText w:val=""/>
      <w:lvlJc w:val="left"/>
      <w:pPr>
        <w:ind w:left="6480" w:hanging="360"/>
      </w:pPr>
      <w:rPr>
        <w:rFonts w:ascii="Wingdings" w:hAnsi="Wingdings" w:hint="default"/>
      </w:rPr>
    </w:lvl>
  </w:abstractNum>
  <w:abstractNum w:abstractNumId="2" w15:restartNumberingAfterBreak="0">
    <w:nsid w:val="59D7533B"/>
    <w:multiLevelType w:val="hybridMultilevel"/>
    <w:tmpl w:val="804C4F40"/>
    <w:lvl w:ilvl="0" w:tplc="380C001B">
      <w:start w:val="1"/>
      <w:numFmt w:val="lowerRoman"/>
      <w:lvlText w:val="%1."/>
      <w:lvlJc w:val="right"/>
      <w:pPr>
        <w:ind w:left="720" w:hanging="360"/>
      </w:pPr>
    </w:lvl>
    <w:lvl w:ilvl="1" w:tplc="380C0003">
      <w:start w:val="1"/>
      <w:numFmt w:val="bullet"/>
      <w:lvlText w:val="o"/>
      <w:lvlJc w:val="left"/>
      <w:pPr>
        <w:ind w:left="1440" w:hanging="360"/>
      </w:pPr>
      <w:rPr>
        <w:rFonts w:ascii="Courier New" w:hAnsi="Courier New" w:cs="Courier New" w:hint="default"/>
      </w:rPr>
    </w:lvl>
    <w:lvl w:ilvl="2" w:tplc="380C0005">
      <w:start w:val="1"/>
      <w:numFmt w:val="bullet"/>
      <w:lvlText w:val=""/>
      <w:lvlJc w:val="left"/>
      <w:pPr>
        <w:ind w:left="2160" w:hanging="360"/>
      </w:pPr>
      <w:rPr>
        <w:rFonts w:ascii="Wingdings" w:hAnsi="Wingdings" w:hint="default"/>
      </w:rPr>
    </w:lvl>
    <w:lvl w:ilvl="3" w:tplc="380C0001">
      <w:start w:val="1"/>
      <w:numFmt w:val="bullet"/>
      <w:lvlText w:val=""/>
      <w:lvlJc w:val="left"/>
      <w:pPr>
        <w:ind w:left="2880" w:hanging="360"/>
      </w:pPr>
      <w:rPr>
        <w:rFonts w:ascii="Symbol" w:hAnsi="Symbol" w:hint="default"/>
      </w:rPr>
    </w:lvl>
    <w:lvl w:ilvl="4" w:tplc="380C0003">
      <w:start w:val="1"/>
      <w:numFmt w:val="bullet"/>
      <w:lvlText w:val="o"/>
      <w:lvlJc w:val="left"/>
      <w:pPr>
        <w:ind w:left="3600" w:hanging="360"/>
      </w:pPr>
      <w:rPr>
        <w:rFonts w:ascii="Courier New" w:hAnsi="Courier New" w:cs="Courier New" w:hint="default"/>
      </w:rPr>
    </w:lvl>
    <w:lvl w:ilvl="5" w:tplc="380C0005">
      <w:start w:val="1"/>
      <w:numFmt w:val="bullet"/>
      <w:lvlText w:val=""/>
      <w:lvlJc w:val="left"/>
      <w:pPr>
        <w:ind w:left="4320" w:hanging="360"/>
      </w:pPr>
      <w:rPr>
        <w:rFonts w:ascii="Wingdings" w:hAnsi="Wingdings" w:hint="default"/>
      </w:rPr>
    </w:lvl>
    <w:lvl w:ilvl="6" w:tplc="380C0001">
      <w:start w:val="1"/>
      <w:numFmt w:val="bullet"/>
      <w:lvlText w:val=""/>
      <w:lvlJc w:val="left"/>
      <w:pPr>
        <w:ind w:left="5040" w:hanging="360"/>
      </w:pPr>
      <w:rPr>
        <w:rFonts w:ascii="Symbol" w:hAnsi="Symbol" w:hint="default"/>
      </w:rPr>
    </w:lvl>
    <w:lvl w:ilvl="7" w:tplc="380C0003">
      <w:start w:val="1"/>
      <w:numFmt w:val="bullet"/>
      <w:lvlText w:val="o"/>
      <w:lvlJc w:val="left"/>
      <w:pPr>
        <w:ind w:left="5760" w:hanging="360"/>
      </w:pPr>
      <w:rPr>
        <w:rFonts w:ascii="Courier New" w:hAnsi="Courier New" w:cs="Courier New" w:hint="default"/>
      </w:rPr>
    </w:lvl>
    <w:lvl w:ilvl="8" w:tplc="380C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70"/>
    <w:rsid w:val="00002871"/>
    <w:rsid w:val="00020389"/>
    <w:rsid w:val="00053D00"/>
    <w:rsid w:val="000733E2"/>
    <w:rsid w:val="00097244"/>
    <w:rsid w:val="000A0F3B"/>
    <w:rsid w:val="000B4E1D"/>
    <w:rsid w:val="00130B82"/>
    <w:rsid w:val="00177999"/>
    <w:rsid w:val="0019231D"/>
    <w:rsid w:val="001D61AC"/>
    <w:rsid w:val="001E15AA"/>
    <w:rsid w:val="001E3FA1"/>
    <w:rsid w:val="00200E87"/>
    <w:rsid w:val="00214BDC"/>
    <w:rsid w:val="00215E81"/>
    <w:rsid w:val="0024727F"/>
    <w:rsid w:val="002B6A7B"/>
    <w:rsid w:val="00305BCF"/>
    <w:rsid w:val="003353D7"/>
    <w:rsid w:val="003659F9"/>
    <w:rsid w:val="00373016"/>
    <w:rsid w:val="003E6C87"/>
    <w:rsid w:val="004C2B98"/>
    <w:rsid w:val="00564A31"/>
    <w:rsid w:val="00574C9B"/>
    <w:rsid w:val="0058411F"/>
    <w:rsid w:val="005D11D8"/>
    <w:rsid w:val="006125A1"/>
    <w:rsid w:val="00653E7D"/>
    <w:rsid w:val="006566A4"/>
    <w:rsid w:val="00662207"/>
    <w:rsid w:val="00667F09"/>
    <w:rsid w:val="006B4554"/>
    <w:rsid w:val="006B57A6"/>
    <w:rsid w:val="006D53A6"/>
    <w:rsid w:val="00744D6A"/>
    <w:rsid w:val="007845FC"/>
    <w:rsid w:val="00787837"/>
    <w:rsid w:val="00787ABB"/>
    <w:rsid w:val="007915C2"/>
    <w:rsid w:val="007B6C64"/>
    <w:rsid w:val="00814794"/>
    <w:rsid w:val="00822952"/>
    <w:rsid w:val="008238CC"/>
    <w:rsid w:val="00833285"/>
    <w:rsid w:val="00836505"/>
    <w:rsid w:val="00844B87"/>
    <w:rsid w:val="00875460"/>
    <w:rsid w:val="0089251B"/>
    <w:rsid w:val="008A6DD4"/>
    <w:rsid w:val="008F74D7"/>
    <w:rsid w:val="00904C42"/>
    <w:rsid w:val="00906DAC"/>
    <w:rsid w:val="00924C05"/>
    <w:rsid w:val="00937CF2"/>
    <w:rsid w:val="00976645"/>
    <w:rsid w:val="00976F77"/>
    <w:rsid w:val="0098228C"/>
    <w:rsid w:val="009976D5"/>
    <w:rsid w:val="009C4100"/>
    <w:rsid w:val="009D44AD"/>
    <w:rsid w:val="009E2100"/>
    <w:rsid w:val="009E3E7B"/>
    <w:rsid w:val="00A36AB0"/>
    <w:rsid w:val="00AB37A3"/>
    <w:rsid w:val="00AC2634"/>
    <w:rsid w:val="00AC5114"/>
    <w:rsid w:val="00B25683"/>
    <w:rsid w:val="00B51901"/>
    <w:rsid w:val="00B6741E"/>
    <w:rsid w:val="00BD50F6"/>
    <w:rsid w:val="00BF5BA2"/>
    <w:rsid w:val="00C073E1"/>
    <w:rsid w:val="00C25647"/>
    <w:rsid w:val="00C33893"/>
    <w:rsid w:val="00C66AEA"/>
    <w:rsid w:val="00C9040A"/>
    <w:rsid w:val="00C91E4D"/>
    <w:rsid w:val="00CB110A"/>
    <w:rsid w:val="00CB7CD0"/>
    <w:rsid w:val="00D039AF"/>
    <w:rsid w:val="00D16BA7"/>
    <w:rsid w:val="00D95232"/>
    <w:rsid w:val="00D95FB9"/>
    <w:rsid w:val="00DA1AA8"/>
    <w:rsid w:val="00DB7F50"/>
    <w:rsid w:val="00DE30C7"/>
    <w:rsid w:val="00DF400F"/>
    <w:rsid w:val="00E15BF4"/>
    <w:rsid w:val="00E2376B"/>
    <w:rsid w:val="00E26935"/>
    <w:rsid w:val="00E27707"/>
    <w:rsid w:val="00E52B04"/>
    <w:rsid w:val="00E5452E"/>
    <w:rsid w:val="00E661B7"/>
    <w:rsid w:val="00E70911"/>
    <w:rsid w:val="00EF0EED"/>
    <w:rsid w:val="00F2069F"/>
    <w:rsid w:val="00F53370"/>
    <w:rsid w:val="00F70AE5"/>
    <w:rsid w:val="00F90BE2"/>
    <w:rsid w:val="00FC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E48C71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CC"/>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8238CC"/>
    <w:pPr>
      <w:numPr>
        <w:numId w:val="1"/>
      </w:numPr>
      <w:ind w:left="567" w:hanging="567"/>
      <w:outlineLvl w:val="0"/>
    </w:pPr>
    <w:rPr>
      <w:kern w:val="28"/>
    </w:rPr>
  </w:style>
  <w:style w:type="paragraph" w:styleId="Heading2">
    <w:name w:val="heading 2"/>
    <w:basedOn w:val="Normal"/>
    <w:next w:val="Normal"/>
    <w:link w:val="Heading2Char"/>
    <w:qFormat/>
    <w:rsid w:val="008238CC"/>
    <w:pPr>
      <w:numPr>
        <w:ilvl w:val="1"/>
        <w:numId w:val="1"/>
      </w:numPr>
      <w:ind w:left="567" w:hanging="567"/>
      <w:outlineLvl w:val="1"/>
    </w:pPr>
  </w:style>
  <w:style w:type="paragraph" w:styleId="Heading3">
    <w:name w:val="heading 3"/>
    <w:basedOn w:val="Normal"/>
    <w:next w:val="Normal"/>
    <w:link w:val="Heading3Char"/>
    <w:qFormat/>
    <w:rsid w:val="008238CC"/>
    <w:pPr>
      <w:numPr>
        <w:ilvl w:val="2"/>
        <w:numId w:val="1"/>
      </w:numPr>
      <w:ind w:left="567" w:hanging="567"/>
      <w:outlineLvl w:val="2"/>
    </w:pPr>
  </w:style>
  <w:style w:type="paragraph" w:styleId="Heading4">
    <w:name w:val="heading 4"/>
    <w:basedOn w:val="Normal"/>
    <w:next w:val="Normal"/>
    <w:link w:val="Heading4Char"/>
    <w:qFormat/>
    <w:rsid w:val="008238CC"/>
    <w:pPr>
      <w:numPr>
        <w:ilvl w:val="3"/>
        <w:numId w:val="1"/>
      </w:numPr>
      <w:ind w:left="567" w:hanging="567"/>
      <w:outlineLvl w:val="3"/>
    </w:pPr>
  </w:style>
  <w:style w:type="paragraph" w:styleId="Heading5">
    <w:name w:val="heading 5"/>
    <w:basedOn w:val="Normal"/>
    <w:next w:val="Normal"/>
    <w:link w:val="Heading5Char"/>
    <w:qFormat/>
    <w:rsid w:val="008238CC"/>
    <w:pPr>
      <w:numPr>
        <w:ilvl w:val="4"/>
        <w:numId w:val="1"/>
      </w:numPr>
      <w:ind w:left="567" w:hanging="567"/>
      <w:outlineLvl w:val="4"/>
    </w:pPr>
  </w:style>
  <w:style w:type="paragraph" w:styleId="Heading6">
    <w:name w:val="heading 6"/>
    <w:basedOn w:val="Normal"/>
    <w:next w:val="Normal"/>
    <w:link w:val="Heading6Char"/>
    <w:qFormat/>
    <w:rsid w:val="008238CC"/>
    <w:pPr>
      <w:numPr>
        <w:ilvl w:val="5"/>
        <w:numId w:val="1"/>
      </w:numPr>
      <w:ind w:left="567" w:hanging="567"/>
      <w:outlineLvl w:val="5"/>
    </w:pPr>
  </w:style>
  <w:style w:type="paragraph" w:styleId="Heading7">
    <w:name w:val="heading 7"/>
    <w:basedOn w:val="Normal"/>
    <w:next w:val="Normal"/>
    <w:link w:val="Heading7Char"/>
    <w:qFormat/>
    <w:rsid w:val="008238CC"/>
    <w:pPr>
      <w:numPr>
        <w:ilvl w:val="6"/>
        <w:numId w:val="1"/>
      </w:numPr>
      <w:ind w:left="567" w:hanging="567"/>
      <w:outlineLvl w:val="6"/>
    </w:pPr>
  </w:style>
  <w:style w:type="paragraph" w:styleId="Heading8">
    <w:name w:val="heading 8"/>
    <w:basedOn w:val="Normal"/>
    <w:next w:val="Normal"/>
    <w:link w:val="Heading8Char"/>
    <w:qFormat/>
    <w:rsid w:val="008238CC"/>
    <w:pPr>
      <w:numPr>
        <w:ilvl w:val="7"/>
        <w:numId w:val="1"/>
      </w:numPr>
      <w:ind w:left="567" w:hanging="567"/>
      <w:outlineLvl w:val="7"/>
    </w:pPr>
  </w:style>
  <w:style w:type="paragraph" w:styleId="Heading9">
    <w:name w:val="heading 9"/>
    <w:basedOn w:val="Normal"/>
    <w:next w:val="Normal"/>
    <w:link w:val="Heading9Char"/>
    <w:qFormat/>
    <w:rsid w:val="008238C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8238CC"/>
  </w:style>
  <w:style w:type="character" w:customStyle="1" w:styleId="FooterChar">
    <w:name w:val="Footer Char"/>
    <w:basedOn w:val="DefaultParagraphFont"/>
    <w:link w:val="Footer"/>
    <w:rsid w:val="00F53370"/>
    <w:rPr>
      <w:rFonts w:ascii="Times New Roman" w:eastAsia="Times New Roman" w:hAnsi="Times New Roman" w:cs="Times New Roman"/>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8238CC"/>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qFormat/>
    <w:rsid w:val="00F53370"/>
    <w:rPr>
      <w:rFonts w:ascii="Times New Roman" w:eastAsia="Times New Roman" w:hAnsi="Times New Roman" w:cs="Times New Roman"/>
      <w:sz w:val="16"/>
    </w:rPr>
  </w:style>
  <w:style w:type="paragraph" w:styleId="Header">
    <w:name w:val="header"/>
    <w:basedOn w:val="Normal"/>
    <w:link w:val="HeaderChar"/>
    <w:qFormat/>
    <w:rsid w:val="008238CC"/>
  </w:style>
  <w:style w:type="character" w:customStyle="1" w:styleId="HeaderChar">
    <w:name w:val="Header Char"/>
    <w:basedOn w:val="DefaultParagraphFont"/>
    <w:link w:val="Header"/>
    <w:rsid w:val="00F53370"/>
    <w:rPr>
      <w:rFonts w:ascii="Times New Roman" w:eastAsia="Times New Roman" w:hAnsi="Times New Roman" w:cs="Times New Roman"/>
      <w:lang w:val="bg-BG"/>
    </w:rPr>
  </w:style>
  <w:style w:type="paragraph" w:customStyle="1" w:styleId="quotes">
    <w:name w:val="quotes"/>
    <w:basedOn w:val="Normal"/>
    <w:next w:val="Normal"/>
    <w:rsid w:val="008238CC"/>
    <w:pPr>
      <w:ind w:left="720"/>
    </w:pPr>
    <w:rPr>
      <w:i/>
    </w:rPr>
  </w:style>
  <w:style w:type="character" w:styleId="FootnoteReference">
    <w:name w:val="footnote reference"/>
    <w:aliases w:val="Footnote symbol"/>
    <w:basedOn w:val="DefaultParagraphFont"/>
    <w:unhideWhenUsed/>
    <w:qFormat/>
    <w:rsid w:val="008238CC"/>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FollowedHyperlink">
    <w:name w:val="FollowedHyperlink"/>
    <w:basedOn w:val="DefaultParagraphFont"/>
    <w:uiPriority w:val="99"/>
    <w:semiHidden/>
    <w:unhideWhenUsed/>
    <w:rsid w:val="008238CC"/>
    <w:rPr>
      <w:color w:val="954F72" w:themeColor="followedHyperlink"/>
      <w:u w:val="single"/>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B67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3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6.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footer" Target="footer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meddialogue.eu/wp-content/uploads/2021/02/Publication-Bridging-the-sea.pdf" TargetMode="External"/><Relationship Id="rId7" Type="http://schemas.openxmlformats.org/officeDocument/2006/relationships/hyperlink" Target="https://www.2021portugal.eu/en/porto-social-summit/porto-social-commitment/" TargetMode="External"/><Relationship Id="rId2" Type="http://schemas.openxmlformats.org/officeDocument/2006/relationships/hyperlink" Target="https://eur-lex.europa.eu/legal-content/BG/TXT/?uri=uriserv%3AOJ.C_.2020.364.01.0053.01.BUL&amp;toc=OJ%3AC%3A2020%3A364%3ATOC" TargetMode="External"/><Relationship Id="rId1" Type="http://schemas.openxmlformats.org/officeDocument/2006/relationships/hyperlink" Target="https://eur-lex.europa.eu/legal-content/BG/TXT/?uri=uriserv%3AOJ.C_.2020.364.01.0132.01.BUL&amp;toc=OJ%3AC%3A2020%3A364%3ATOC" TargetMode="External"/><Relationship Id="rId6" Type="http://schemas.openxmlformats.org/officeDocument/2006/relationships/hyperlink" Target="https://ufmsecretariat.org/5th-regional-forum-news/" TargetMode="External"/><Relationship Id="rId5" Type="http://schemas.openxmlformats.org/officeDocument/2006/relationships/hyperlink" Target="https://unctad.org/system/files/official-document/ditcinf2020d3_en.pdf" TargetMode="External"/><Relationship Id="rId4" Type="http://schemas.openxmlformats.org/officeDocument/2006/relationships/hyperlink" Target="https://read.oecd-ilibrary.org/view/?ref=124_124984-7uf8nm95se&amp;title=Covid-19_Tourism_Policy_Responses&amp;_ga=2.143901749.1647750476.1622806508-1692148678.16228063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V63NAVDT5PV3-197900780-13838</_dlc_DocId>
    <_dlc_DocIdUrl xmlns="01cfe264-354f-4f3f-acd0-cf26eb309336">
      <Url>http://dm/eesc/2021/_layouts/15/DocIdRedir.aspx?ID=V63NAVDT5PV3-197900780-13838</Url>
      <Description>V63NAVDT5PV3-197900780-13838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2023-02-27T12:00:00+00:00</ProductionDate>
    <DocumentNumber xmlns="1bc4b14f-a4b5-43b1-8863-417d54b6b72f">2760</DocumentNumber>
    <FicheYear xmlns="01cfe264-354f-4f3f-acd0-cf26eb309336" xsi:nil="true"/>
    <DocumentVersion xmlns="01cfe264-354f-4f3f-acd0-cf26eb309336">1</DocumentVersion>
    <DossierNumber xmlns="01cfe264-354f-4f3f-acd0-cf26eb309336">537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86</Value>
      <Value>77</Value>
      <Value>66</Value>
      <Value>58</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s>
    </DocumentLanguage_0>
    <Rapporteur xmlns="01cfe264-354f-4f3f-acd0-cf26eb309336">PAGLIARA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2628</FicheNumber>
    <OriginalSender xmlns="01cfe264-354f-4f3f-acd0-cf26eb309336">
      <UserInfo>
        <DisplayName>Petrov Yulian</DisplayName>
        <AccountId>1916</AccountId>
        <AccountType/>
      </UserInfo>
    </OriginalSender>
    <DocumentPart xmlns="01cfe264-354f-4f3f-acd0-cf26eb309336">0</DocumentPart>
    <AdoptionDate xmlns="01cfe264-354f-4f3f-acd0-cf26eb309336">2023-01-24T12:00:00+00:00</AdoptionDate>
    <RequestingService xmlns="01cfe264-354f-4f3f-acd0-cf26eb309336">Relations extérieures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bc4b14f-a4b5-43b1-8863-417d54b6b72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REX</TermName>
          <TermId xmlns="http://schemas.microsoft.com/office/infopath/2007/PartnerControls">6820eaf5-116e-436b-ad9c-156f8a94c2a1</TermId>
        </TermInfo>
      </Terms>
    </DossierName_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9690440AC106F944B6F22BE813F1E9BC" ma:contentTypeVersion="6" ma:contentTypeDescription="Defines the documents for Document Manager V2" ma:contentTypeScope="" ma:versionID="d519d576acc3faf30814d5b68e6ef22c">
  <xsd:schema xmlns:xsd="http://www.w3.org/2001/XMLSchema" xmlns:xs="http://www.w3.org/2001/XMLSchema" xmlns:p="http://schemas.microsoft.com/office/2006/metadata/properties" xmlns:ns2="01cfe264-354f-4f3f-acd0-cf26eb309336" xmlns:ns3="http://schemas.microsoft.com/sharepoint/v3/fields" xmlns:ns4="1bc4b14f-a4b5-43b1-8863-417d54b6b72f" targetNamespace="http://schemas.microsoft.com/office/2006/metadata/properties" ma:root="true" ma:fieldsID="52b7c5fda01af84229fc452a92b24884" ns2:_="" ns3:_="" ns4:_="">
    <xsd:import namespace="01cfe264-354f-4f3f-acd0-cf26eb309336"/>
    <xsd:import namespace="http://schemas.microsoft.com/sharepoint/v3/fields"/>
    <xsd:import namespace="1bc4b14f-a4b5-43b1-8863-417d54b6b72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4b14f-a4b5-43b1-8863-417d54b6b72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D6F1E-6960-435F-BD09-A6EFCE8E8DC8}"/>
</file>

<file path=customXml/itemProps2.xml><?xml version="1.0" encoding="utf-8"?>
<ds:datastoreItem xmlns:ds="http://schemas.openxmlformats.org/officeDocument/2006/customXml" ds:itemID="{237DBD44-8F67-4F06-BAB4-804C65AF2083}"/>
</file>

<file path=customXml/itemProps3.xml><?xml version="1.0" encoding="utf-8"?>
<ds:datastoreItem xmlns:ds="http://schemas.openxmlformats.org/officeDocument/2006/customXml" ds:itemID="{15445A93-D426-4904-9D39-8B5C942BC041}"/>
</file>

<file path=customXml/itemProps4.xml><?xml version="1.0" encoding="utf-8"?>
<ds:datastoreItem xmlns:ds="http://schemas.openxmlformats.org/officeDocument/2006/customXml" ds:itemID="{B2301025-92A8-41D5-9AD9-92A9D9CD12CF}"/>
</file>

<file path=docProps/app.xml><?xml version="1.0" encoding="utf-8"?>
<Properties xmlns="http://schemas.openxmlformats.org/officeDocument/2006/extended-properties" xmlns:vt="http://schemas.openxmlformats.org/officeDocument/2006/docPropsVTypes">
  <Template>Normal</Template>
  <TotalTime>8</TotalTime>
  <Pages>23</Pages>
  <Words>9138</Words>
  <Characters>52093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AC-Cover page - Opinion Committee - EESC revised model</vt:lpstr>
    </vt:vector>
  </TitlesOfParts>
  <Company>CESE-CdR</Company>
  <LinksUpToDate>false</LinksUpToDate>
  <CharactersWithSpaces>61109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Ролята на гражданското общество за възстановяването и устойчивостта на Евро-средиземноморския регион</dc:title>
  <dc:subject>AC</dc:subject>
  <dc:creator>Francois Aude</dc:creator>
  <cp:keywords>EESC-2021-02760-00-01-AC-TRA-EN</cp:keywords>
  <dc:description>Rapporteur: PAGLIARA - Original language: EN - Date of document: 27/02/2023 - Date of meeting:  - External documents:  - Administrator: M. BERGER Andreas</dc:description>
  <cp:lastModifiedBy>Petrov Yulian</cp:lastModifiedBy>
  <cp:revision>9</cp:revision>
  <dcterms:created xsi:type="dcterms:W3CDTF">2023-02-24T09:14:00Z</dcterms:created>
  <dcterms:modified xsi:type="dcterms:W3CDTF">2023-02-27T09:25:00Z</dcterms:modified>
  <cp:category>REX/537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24/02/2023, 26/01/2023, 17/05/2022</vt:lpwstr>
  </property>
  <property fmtid="{D5CDD505-2E9C-101B-9397-08002B2CF9AE}" pid="4" name="Pref_Time">
    <vt:lpwstr>10:07:46, 15:46:28, 14:58:36</vt:lpwstr>
  </property>
  <property fmtid="{D5CDD505-2E9C-101B-9397-08002B2CF9AE}" pid="5" name="Pref_User">
    <vt:lpwstr>pacup, amett, enied</vt:lpwstr>
  </property>
  <property fmtid="{D5CDD505-2E9C-101B-9397-08002B2CF9AE}" pid="6" name="Pref_FileName">
    <vt:lpwstr>EESC-2021-02760-00-01-AC-TRA.docx, EESC-2021-02760-00-00-AC-TRA-EN-CRR.docx, COR-EESC-2022-02592-00-00-ADMIN-ORI.docx</vt:lpwstr>
  </property>
  <property fmtid="{D5CDD505-2E9C-101B-9397-08002B2CF9AE}" pid="7" name="ContentTypeId">
    <vt:lpwstr>0x010100EA97B91038054C99906057A708A1480A009690440AC106F944B6F22BE813F1E9BC</vt:lpwstr>
  </property>
  <property fmtid="{D5CDD505-2E9C-101B-9397-08002B2CF9AE}" pid="8" name="_dlc_DocIdItemGuid">
    <vt:lpwstr>1623b514-bab6-4f3e-b006-e3798515047b</vt:lpwstr>
  </property>
  <property fmtid="{D5CDD505-2E9C-101B-9397-08002B2CF9AE}" pid="9" name="AvailableTranslations">
    <vt:lpwstr>18;#LV|46f7e311-5d9f-4663-b433-18aeccb7ace7;#39;#SL|98a412ae-eb01-49e9-ae3d-585a81724cfc;#45;#RO|feb747a2-64cd-4299-af12-4833ddc30497;#35;#PL|1e03da61-4678-4e07-b136-b5024ca9197b;#11;#DE|f6b31e5a-26fa-4935-b661-318e46daf27e;#9;#EN|f2175f21-25d7-44a3-96da-d6a61b075e1b;#4;#FR|d2afafd3-4c81-4f60-8f52-ee33f2f54ff3;#16;#IT|0774613c-01ed-4e5d-a25d-11d2388de825;#15;#LT|a7ff5ce7-6123-4f68-865a-a57c31810414;#42;#FI|87606a43-d45f-42d6-b8c9-e1a3457db5b7;#38;#HR|2f555653-ed1a-4fe6-8362-9082d95989e5;#19;#SK|46d9fce0-ef79-4f71-b89b-cd6aa82426b8;#25;#CS|72f9705b-0217-4fd3-bea2-cbc7ed80e26e;#14;#ET|ff6c3f4c-b02c-4c3c-ab07-2c37995a7a0a;#28;#ES|e7a6b05b-ae16-40c8-add9-68b64b03aeba;#13;#PT|50ccc04a-eadd-42ae-a0cb-acaf45f812ba;#21;#HU|6b229040-c589-4408-b4c1-4285663d20a8;#17;#NL|55c6556c-b4f4-441d-9acf-c498d4f838bd;#40;#SV|c2ed69e7-a339-43d7-8f22-d93680a92aa0;#12;#DA|5d49c027-8956-412b-aa16-e85a0f96ad0e;#37;#EL|6d4f4d51-af9b-4650-94b4-4276bee85c91;#58;#MT|7df99101-6854-4a26-b53a-b88c0da02c26;#41;#BG|1a1b3951-7821-4e6a-85f5-5673fc08bd2c;#66;#GA|762d2456-c427-4ecb-b312-af3dad8e258c</vt:lpwstr>
  </property>
  <property fmtid="{D5CDD505-2E9C-101B-9397-08002B2CF9AE}" pid="10" name="DocumentType_0">
    <vt:lpwstr>AC|a4cc1d15-fb08-4679-ad46-e4e0cba5fe92</vt:lpwstr>
  </property>
  <property fmtid="{D5CDD505-2E9C-101B-9397-08002B2CF9AE}" pid="11" name="DossierName_0">
    <vt:lpwstr>REX|6820eaf5-116e-436b-ad9c-156f8a94c2a1</vt:lpwstr>
  </property>
  <property fmtid="{D5CDD505-2E9C-101B-9397-08002B2CF9AE}" pid="12" name="DocumentSource_0">
    <vt:lpwstr>EESC|422833ec-8d7e-4e65-8e4e-8bed07ffb729</vt:lpwstr>
  </property>
  <property fmtid="{D5CDD505-2E9C-101B-9397-08002B2CF9AE}" pid="13" name="DocumentNumber">
    <vt:i4>2760</vt:i4>
  </property>
  <property fmtid="{D5CDD505-2E9C-101B-9397-08002B2CF9AE}" pid="14" name="DocumentVersion">
    <vt:i4>1</vt:i4>
  </property>
  <property fmtid="{D5CDD505-2E9C-101B-9397-08002B2CF9AE}" pid="15" name="DossierNumber">
    <vt:i4>537</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77;#REX|6820eaf5-116e-436b-ad9c-156f8a94c2a1</vt:lpwstr>
  </property>
  <property fmtid="{D5CDD505-2E9C-101B-9397-08002B2CF9AE}" pid="19" name="DocumentSource">
    <vt:lpwstr>1;#EESC|422833ec-8d7e-4e65-8e4e-8bed07ffb729</vt:lpwstr>
  </property>
  <property fmtid="{D5CDD505-2E9C-101B-9397-08002B2CF9AE}" pid="20" name="AdoptionDate">
    <vt:filetime>2023-01-24T12:00:00Z</vt:filetime>
  </property>
  <property fmtid="{D5CDD505-2E9C-101B-9397-08002B2CF9AE}" pid="21" name="DocumentType">
    <vt:lpwstr>86;#AC|a4cc1d15-fb08-4679-ad46-e4e0cba5fe92</vt:lpwstr>
  </property>
  <property fmtid="{D5CDD505-2E9C-101B-9397-08002B2CF9AE}" pid="22" name="RequestingService">
    <vt:lpwstr>Relations extérieures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9;#EN|f2175f21-25d7-44a3-96da-d6a61b075e1b</vt:lpwstr>
  </property>
  <property fmtid="{D5CDD505-2E9C-101B-9397-08002B2CF9AE}" pid="27" name="MeetingName">
    <vt:lpwstr/>
  </property>
  <property fmtid="{D5CDD505-2E9C-101B-9397-08002B2CF9AE}" pid="29" name="AvailableTranslations_0">
    <vt:lpwstr>DE|f6b31e5a-26fa-4935-b661-318e46daf27e;EN|f2175f21-25d7-44a3-96da-d6a61b075e1b;IT|0774613c-01ed-4e5d-a25d-11d2388de825;HR|2f555653-ed1a-4fe6-8362-9082d95989e5;ET|ff6c3f4c-b02c-4c3c-ab07-2c37995a7a0a;PT|50ccc04a-eadd-42ae-a0cb-acaf45f812ba;DA|5d49c027-8956-412b-aa16-e85a0f96ad0e;EL|6d4f4d51-af9b-4650-94b4-4276bee85c91;MT|7df99101-6854-4a26-b53a-b88c0da02c26;GA|762d2456-c427-4ecb-b312-af3dad8e258c</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37;#EL|6d4f4d51-af9b-4650-94b4-4276bee85c91;#66;#GA|762d2456-c427-4ecb-b312-af3dad8e258c;#38;#HR|2f555653-ed1a-4fe6-8362-9082d95989e5;#58;#MT|7df99101-6854-4a26-b53a-b88c0da02c26;#16;#IT|0774613c-01ed-4e5d-a25d-11d2388de825;#14;#ET|ff6c3f4c-b02c-4c3c-ab07-2c37995a7a0a;#13;#PT|50ccc04a-eadd-42ae-a0cb-acaf45f812ba;#86;#AC|a4cc1d15-fb08-4679-ad46-e4e0cba5fe92;#11;#DE|f6b31e5a-26fa-4935-b661-318e46daf27e;#9;#EN|f2175f21-25d7-44a3-96da-d6a61b075e1b;#7;#TRA|150d2a88-1431-44e6-a8ca-0bb753ab8672;#6;#Final|ea5e6674-7b27-4bac-b091-73adbb394efe;#5;#Unrestricted|826e22d7-d029-4ec0-a450-0c28ff673572;#77;#REX|6820eaf5-116e-436b-ad9c-156f8a94c2a1;#1;#EESC|422833ec-8d7e-4e65-8e4e-8bed07ffb729;#12;#DA|5d49c027-8956-412b-aa16-e85a0f96ad0e</vt:lpwstr>
  </property>
  <property fmtid="{D5CDD505-2E9C-101B-9397-08002B2CF9AE}" pid="33" name="Rapporteur">
    <vt:lpwstr>PAGLIARA</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2021</vt:i4>
  </property>
  <property fmtid="{D5CDD505-2E9C-101B-9397-08002B2CF9AE}" pid="37" name="FicheNumber">
    <vt:i4>2628</vt:i4>
  </property>
  <property fmtid="{D5CDD505-2E9C-101B-9397-08002B2CF9AE}" pid="38" name="DocumentLanguage">
    <vt:lpwstr>41;#BG|1a1b3951-7821-4e6a-85f5-5673fc08bd2c</vt:lpwstr>
  </property>
</Properties>
</file>