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5FAC531C" w:rsidR="002315D5" w:rsidRPr="00667A97" w:rsidRDefault="008A696F" w:rsidP="00B91739">
      <w:pPr>
        <w:spacing w:after="0" w:line="259" w:lineRule="auto"/>
        <w:ind w:left="-5" w:right="0"/>
        <w:jc w:val="center"/>
        <w:rPr>
          <w:lang w:val="en-IE"/>
        </w:rPr>
      </w:pPr>
      <w:r>
        <w:rPr>
          <w:b/>
          <w:lang w:val="en-IE"/>
        </w:rPr>
        <w:t>Films on The Move 2025 call for proposals info session</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3CFC915D" w:rsidR="002315D5" w:rsidRPr="00667A97" w:rsidRDefault="007D5C9A">
      <w:pPr>
        <w:spacing w:after="247"/>
        <w:ind w:right="424"/>
        <w:rPr>
          <w:lang w:val="en-IE"/>
        </w:rPr>
      </w:pPr>
      <w:r w:rsidRPr="00A2763F">
        <w:rPr>
          <w:lang w:val="en-IE"/>
        </w:rPr>
        <w:t>On</w:t>
      </w:r>
      <w:r w:rsidR="00D669FB" w:rsidRPr="00A2763F">
        <w:rPr>
          <w:lang w:val="en-IE"/>
        </w:rPr>
        <w:t xml:space="preserve"> </w:t>
      </w:r>
      <w:r w:rsidR="000118A1" w:rsidRPr="00A2763F">
        <w:rPr>
          <w:lang w:val="en-IE"/>
        </w:rPr>
        <w:t>27 November</w:t>
      </w:r>
      <w:r w:rsidR="000A666A" w:rsidRPr="00A2763F">
        <w:rPr>
          <w:lang w:val="en-IE"/>
        </w:rPr>
        <w:t xml:space="preserve"> 202</w:t>
      </w:r>
      <w:r w:rsidR="00D669FB" w:rsidRPr="00A2763F">
        <w:rPr>
          <w:lang w:val="en-IE"/>
        </w:rPr>
        <w:t>4</w:t>
      </w:r>
      <w:r w:rsidRPr="00A2763F">
        <w:rPr>
          <w:lang w:val="en-IE"/>
        </w:rPr>
        <w:t xml:space="preserve">, EACEA is organising an </w:t>
      </w:r>
      <w:r w:rsidR="009C0BD0" w:rsidRPr="00A2763F">
        <w:rPr>
          <w:lang w:val="en-IE"/>
        </w:rPr>
        <w:t xml:space="preserve">info session for </w:t>
      </w:r>
      <w:r w:rsidR="000118A1" w:rsidRPr="00A2763F">
        <w:rPr>
          <w:lang w:val="en-IE"/>
        </w:rPr>
        <w:t>the</w:t>
      </w:r>
      <w:r w:rsidR="000118A1" w:rsidRPr="00A2763F">
        <w:rPr>
          <w:b/>
          <w:lang w:val="en-IE"/>
        </w:rPr>
        <w:t xml:space="preserve"> Films on The Move</w:t>
      </w:r>
      <w:r w:rsidR="000118A1" w:rsidRPr="00A2763F">
        <w:rPr>
          <w:szCs w:val="24"/>
          <w:lang w:val="en-IE" w:eastAsia="en-GB"/>
        </w:rPr>
        <w:t xml:space="preserve"> call for proposals</w:t>
      </w:r>
      <w:r w:rsidR="000118A1" w:rsidRPr="00A2763F">
        <w:rPr>
          <w:lang w:val="en-IE"/>
        </w:rPr>
        <w:t xml:space="preserve">. </w:t>
      </w:r>
      <w:r w:rsidRPr="00A2763F">
        <w:rPr>
          <w:lang w:val="en-IE"/>
        </w:rPr>
        <w:t xml:space="preserve">The following Data Protection Notice outlines the policies by which EACEA collects, </w:t>
      </w:r>
      <w:proofErr w:type="gramStart"/>
      <w:r w:rsidRPr="00A2763F">
        <w:rPr>
          <w:lang w:val="en-IE"/>
        </w:rPr>
        <w:t>manages</w:t>
      </w:r>
      <w:proofErr w:type="gramEnd"/>
      <w:r w:rsidRPr="00A2763F">
        <w:rPr>
          <w:lang w:val="en-IE"/>
        </w:rPr>
        <w:t xml:space="preserve"> and uses the personal data of the concerned individuals within the </w:t>
      </w:r>
      <w:r w:rsidR="002730D7" w:rsidRPr="00A2763F">
        <w:rPr>
          <w:lang w:val="en-IE"/>
        </w:rPr>
        <w:t xml:space="preserve">online </w:t>
      </w:r>
      <w:r w:rsidRPr="00A2763F">
        <w:rPr>
          <w:lang w:val="en-IE"/>
        </w:rPr>
        <w:t>event.</w:t>
      </w:r>
      <w:r w:rsidRPr="00667A97">
        <w:rPr>
          <w:lang w:val="en-IE"/>
        </w:rPr>
        <w:t xml:space="preserve">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4D3B3E03" w:rsidR="00CE6F32" w:rsidRDefault="007D5C9A" w:rsidP="00CE6F32">
      <w:proofErr w:type="gramStart"/>
      <w:r>
        <w:t>Email:</w:t>
      </w:r>
      <w:proofErr w:type="gramEnd"/>
      <w:r w:rsidR="009C0BD0">
        <w:t xml:space="preserve"> </w:t>
      </w:r>
      <w:hyperlink r:id="rId9" w:history="1">
        <w:r w:rsidR="000118A1">
          <w:rPr>
            <w:rStyle w:val="Hyperlink"/>
          </w:rPr>
          <w:t>EACEA-DISTRIBUTION-SELECTIVE@ec.europa.eu</w:t>
        </w:r>
      </w:hyperlink>
    </w:p>
    <w:p w14:paraId="59DD6C22" w14:textId="52309A82" w:rsidR="002315D5" w:rsidRDefault="002315D5">
      <w:pPr>
        <w:spacing w:after="243"/>
        <w:ind w:right="424"/>
      </w:pPr>
    </w:p>
    <w:p w14:paraId="2CB45DD2" w14:textId="77777777" w:rsidR="002730D7" w:rsidRPr="000118A1" w:rsidRDefault="007D5C9A" w:rsidP="002730D7">
      <w:pPr>
        <w:numPr>
          <w:ilvl w:val="0"/>
          <w:numId w:val="1"/>
        </w:numPr>
        <w:spacing w:after="10" w:line="249" w:lineRule="auto"/>
        <w:ind w:right="0" w:hanging="283"/>
        <w:jc w:val="left"/>
        <w:rPr>
          <w:szCs w:val="24"/>
          <w:lang w:val="en-IE"/>
        </w:rPr>
      </w:pPr>
      <w:r w:rsidRPr="000118A1">
        <w:rPr>
          <w:b/>
          <w:szCs w:val="24"/>
          <w:u w:val="single" w:color="000000"/>
          <w:lang w:val="en-IE"/>
        </w:rPr>
        <w:t>Which personal data are processed?</w:t>
      </w:r>
      <w:r w:rsidRPr="000118A1">
        <w:rPr>
          <w:b/>
          <w:szCs w:val="24"/>
          <w:lang w:val="en-IE"/>
        </w:rPr>
        <w:t xml:space="preserve">  </w:t>
      </w:r>
      <w:bookmarkStart w:id="0" w:name="_Hlk148358866"/>
      <w:bookmarkStart w:id="1" w:name="_Hlk148359173"/>
    </w:p>
    <w:p w14:paraId="309E1531" w14:textId="77777777" w:rsidR="002730D7" w:rsidRPr="000118A1" w:rsidRDefault="002730D7" w:rsidP="002730D7">
      <w:pPr>
        <w:spacing w:after="10" w:line="249" w:lineRule="auto"/>
        <w:ind w:left="0" w:right="0" w:firstLine="0"/>
        <w:jc w:val="left"/>
        <w:rPr>
          <w:b/>
          <w:szCs w:val="24"/>
          <w:lang w:val="en-IE"/>
        </w:rPr>
      </w:pPr>
    </w:p>
    <w:p w14:paraId="269C01F9" w14:textId="77777777" w:rsidR="008D717A" w:rsidRPr="000118A1" w:rsidRDefault="008D717A" w:rsidP="008D717A">
      <w:pPr>
        <w:rPr>
          <w:szCs w:val="24"/>
          <w:lang w:val="en-US"/>
        </w:rPr>
      </w:pPr>
      <w:proofErr w:type="gramStart"/>
      <w:r w:rsidRPr="000118A1">
        <w:rPr>
          <w:szCs w:val="24"/>
          <w:lang w:val="en-US"/>
        </w:rPr>
        <w:t>In order to</w:t>
      </w:r>
      <w:proofErr w:type="gramEnd"/>
      <w:r w:rsidRPr="000118A1">
        <w:rPr>
          <w:szCs w:val="24"/>
          <w:lang w:val="en-US"/>
        </w:rPr>
        <w:t xml:space="preserve"> carry out the processing operation, the following data may be processed: </w:t>
      </w:r>
    </w:p>
    <w:p w14:paraId="65585B3C" w14:textId="2F85DE65" w:rsidR="008D717A" w:rsidRPr="000118A1" w:rsidRDefault="008D717A" w:rsidP="008D717A">
      <w:pPr>
        <w:spacing w:after="10" w:line="249" w:lineRule="auto"/>
        <w:ind w:left="0" w:right="0" w:firstLine="0"/>
        <w:jc w:val="left"/>
        <w:rPr>
          <w:bCs/>
          <w:szCs w:val="24"/>
          <w:lang w:val="en-US"/>
        </w:rPr>
      </w:pPr>
      <w:r w:rsidRPr="000118A1">
        <w:rPr>
          <w:b/>
          <w:szCs w:val="24"/>
          <w:lang w:val="en-US"/>
        </w:rPr>
        <w:t xml:space="preserve">• </w:t>
      </w:r>
      <w:r w:rsidRPr="000118A1">
        <w:rPr>
          <w:bCs/>
          <w:szCs w:val="24"/>
          <w:lang w:val="en-US"/>
        </w:rPr>
        <w:t xml:space="preserve">names &amp; </w:t>
      </w:r>
      <w:proofErr w:type="gramStart"/>
      <w:r w:rsidRPr="000118A1">
        <w:rPr>
          <w:bCs/>
          <w:szCs w:val="24"/>
          <w:lang w:val="en-US"/>
        </w:rPr>
        <w:t>surnames;</w:t>
      </w:r>
      <w:proofErr w:type="gramEnd"/>
      <w:r w:rsidRPr="000118A1">
        <w:rPr>
          <w:bCs/>
          <w:szCs w:val="24"/>
          <w:lang w:val="en-US"/>
        </w:rPr>
        <w:t xml:space="preserve"> </w:t>
      </w:r>
    </w:p>
    <w:p w14:paraId="09B108E2" w14:textId="60D37C80" w:rsidR="008D717A" w:rsidRPr="000118A1" w:rsidRDefault="008D717A" w:rsidP="008D717A">
      <w:pPr>
        <w:spacing w:after="10" w:line="249" w:lineRule="auto"/>
        <w:ind w:left="0" w:right="0" w:firstLine="0"/>
        <w:jc w:val="left"/>
        <w:rPr>
          <w:bCs/>
          <w:szCs w:val="24"/>
          <w:lang w:val="en-US"/>
        </w:rPr>
      </w:pPr>
      <w:r w:rsidRPr="000118A1">
        <w:rPr>
          <w:bCs/>
          <w:szCs w:val="24"/>
          <w:lang w:val="en-US"/>
        </w:rPr>
        <w:t xml:space="preserve">• </w:t>
      </w:r>
      <w:proofErr w:type="gramStart"/>
      <w:r w:rsidRPr="000118A1">
        <w:rPr>
          <w:bCs/>
          <w:szCs w:val="24"/>
          <w:lang w:val="en-US"/>
        </w:rPr>
        <w:t>function;</w:t>
      </w:r>
      <w:proofErr w:type="gramEnd"/>
      <w:r w:rsidRPr="000118A1">
        <w:rPr>
          <w:bCs/>
          <w:szCs w:val="24"/>
          <w:lang w:val="en-US"/>
        </w:rPr>
        <w:t xml:space="preserve"> </w:t>
      </w:r>
    </w:p>
    <w:p w14:paraId="3B324CB7" w14:textId="15F168EE" w:rsidR="008D717A" w:rsidRPr="008D717A" w:rsidRDefault="008D717A" w:rsidP="008D717A">
      <w:pPr>
        <w:spacing w:after="10" w:line="249" w:lineRule="auto"/>
        <w:ind w:left="0" w:right="0" w:firstLine="0"/>
        <w:jc w:val="left"/>
        <w:rPr>
          <w:bCs/>
          <w:lang w:val="en-US"/>
        </w:rPr>
      </w:pPr>
      <w:r w:rsidRPr="000118A1">
        <w:rPr>
          <w:bCs/>
          <w:szCs w:val="24"/>
          <w:lang w:val="en-US"/>
        </w:rPr>
        <w:t>• contact</w:t>
      </w:r>
      <w:r w:rsidRPr="008D717A">
        <w:rPr>
          <w:bCs/>
          <w:lang w:val="en-US"/>
        </w:rPr>
        <w:t xml:space="preserve"> details (e-mail address</w:t>
      </w:r>
      <w:r w:rsidR="005E4D56">
        <w:rPr>
          <w:bCs/>
          <w:lang w:val="en-US"/>
        </w:rPr>
        <w:t>)</w:t>
      </w:r>
    </w:p>
    <w:p w14:paraId="11043C91" w14:textId="09026222" w:rsidR="008D717A" w:rsidRDefault="008D717A" w:rsidP="008D717A">
      <w:pPr>
        <w:spacing w:after="10" w:line="249" w:lineRule="auto"/>
        <w:ind w:left="0" w:right="0" w:firstLine="0"/>
        <w:jc w:val="left"/>
        <w:rPr>
          <w:bCs/>
          <w:lang w:val="en-US"/>
        </w:rPr>
      </w:pPr>
      <w:r w:rsidRPr="008D717A">
        <w:rPr>
          <w:bCs/>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8D717A">
        <w:rPr>
          <w:bCs/>
          <w:lang w:val="en-US"/>
        </w:rPr>
        <w:t>•</w:t>
      </w:r>
      <w:r>
        <w:rPr>
          <w:bCs/>
          <w:lang w:val="en-US"/>
        </w:rPr>
        <w:t xml:space="preserve"> data on </w:t>
      </w:r>
      <w:r w:rsidRPr="008D717A">
        <w:rPr>
          <w:bCs/>
          <w:lang w:val="en-US"/>
        </w:rPr>
        <w:t>recorded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118A1"/>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D5C9A"/>
    <w:rsid w:val="007F541D"/>
    <w:rsid w:val="008A696F"/>
    <w:rsid w:val="008D6E8F"/>
    <w:rsid w:val="008D717A"/>
    <w:rsid w:val="009347B9"/>
    <w:rsid w:val="009733B1"/>
    <w:rsid w:val="009C0BD0"/>
    <w:rsid w:val="009C4B97"/>
    <w:rsid w:val="009C76F5"/>
    <w:rsid w:val="00A12E6B"/>
    <w:rsid w:val="00A2763F"/>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DISTRIBUTION-SELECTIVE@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1488</Words>
  <Characters>7995</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9</cp:revision>
  <cp:lastPrinted>2023-07-06T12:41:00Z</cp:lastPrinted>
  <dcterms:created xsi:type="dcterms:W3CDTF">2024-10-16T14:03:00Z</dcterms:created>
  <dcterms:modified xsi:type="dcterms:W3CDTF">2024-10-17T15:03:00Z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