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4932C" w14:textId="77777777" w:rsidR="00CD2042" w:rsidRDefault="00CD2042" w:rsidP="00CD2042">
      <w:pPr>
        <w:pStyle w:val="Heading1"/>
        <w:spacing w:before="0" w:beforeAutospacing="0" w:after="0" w:afterAutospacing="0" w:line="680" w:lineRule="atLeast"/>
        <w:textAlignment w:val="baseline"/>
        <w:rPr>
          <w:rFonts w:ascii="inherit" w:hAnsi="inherit" w:cs="Open Sans"/>
          <w:color w:val="000000"/>
          <w:sz w:val="51"/>
          <w:szCs w:val="51"/>
        </w:rPr>
      </w:pPr>
      <w:r>
        <w:rPr>
          <w:rFonts w:ascii="inherit" w:hAnsi="inherit" w:cs="Open Sans"/>
          <w:color w:val="000000"/>
          <w:sz w:val="51"/>
          <w:szCs w:val="51"/>
        </w:rPr>
        <w:t>Update to the liquidity data schema</w:t>
      </w:r>
    </w:p>
    <w:p w14:paraId="06BEB623" w14:textId="3E33C022" w:rsidR="00CD2042" w:rsidRDefault="009C6E45" w:rsidP="00CD2042">
      <w:pPr>
        <w:pStyle w:val="ecb-publicationdate"/>
        <w:spacing w:before="0" w:beforeAutospacing="0" w:after="450" w:afterAutospacing="0"/>
        <w:textAlignment w:val="baseline"/>
        <w:rPr>
          <w:rFonts w:ascii="Open Sans" w:hAnsi="Open Sans" w:cs="Open Sans"/>
          <w:i/>
          <w:iCs/>
          <w:color w:val="555555"/>
          <w:sz w:val="30"/>
          <w:szCs w:val="30"/>
        </w:rPr>
      </w:pPr>
      <w:r>
        <w:rPr>
          <w:rFonts w:ascii="Open Sans" w:hAnsi="Open Sans" w:cs="Open Sans"/>
          <w:i/>
          <w:iCs/>
          <w:color w:val="555555"/>
          <w:sz w:val="30"/>
          <w:szCs w:val="30"/>
        </w:rPr>
        <w:t>26</w:t>
      </w:r>
      <w:r w:rsidR="00CD2042">
        <w:rPr>
          <w:rFonts w:ascii="Open Sans" w:hAnsi="Open Sans" w:cs="Open Sans"/>
          <w:i/>
          <w:iCs/>
          <w:color w:val="555555"/>
          <w:sz w:val="30"/>
          <w:szCs w:val="30"/>
        </w:rPr>
        <w:t xml:space="preserve"> </w:t>
      </w:r>
      <w:r w:rsidR="003C3D69">
        <w:rPr>
          <w:rFonts w:ascii="Open Sans" w:hAnsi="Open Sans" w:cs="Open Sans"/>
          <w:i/>
          <w:iCs/>
          <w:color w:val="555555"/>
          <w:sz w:val="30"/>
          <w:szCs w:val="30"/>
        </w:rPr>
        <w:t>August</w:t>
      </w:r>
      <w:r w:rsidR="00CD2042">
        <w:rPr>
          <w:rFonts w:ascii="Open Sans" w:hAnsi="Open Sans" w:cs="Open Sans"/>
          <w:i/>
          <w:iCs/>
          <w:color w:val="555555"/>
          <w:sz w:val="30"/>
          <w:szCs w:val="30"/>
        </w:rPr>
        <w:t xml:space="preserve"> 2024</w:t>
      </w:r>
    </w:p>
    <w:p w14:paraId="5D5E0FB4" w14:textId="77777777" w:rsidR="00CD2042" w:rsidRDefault="00CD2042" w:rsidP="00CD2042">
      <w:pPr>
        <w:pStyle w:val="Heading2"/>
        <w:spacing w:before="750" w:after="300" w:line="582" w:lineRule="atLeast"/>
        <w:textAlignment w:val="baseline"/>
        <w:rPr>
          <w:rFonts w:ascii="inherit" w:hAnsi="inherit" w:cs="Open Sans"/>
          <w:color w:val="003299"/>
          <w:sz w:val="42"/>
          <w:szCs w:val="42"/>
        </w:rPr>
      </w:pPr>
      <w:r>
        <w:rPr>
          <w:rFonts w:ascii="inherit" w:hAnsi="inherit" w:cs="Open Sans"/>
          <w:color w:val="003299"/>
          <w:sz w:val="42"/>
          <w:szCs w:val="42"/>
        </w:rPr>
        <w:t>Change Description</w:t>
      </w:r>
    </w:p>
    <w:p w14:paraId="20CE379F" w14:textId="26F8A25C" w:rsidR="0088097D" w:rsidRDefault="0088097D" w:rsidP="00CD2042">
      <w:pPr>
        <w:pStyle w:val="NormalWeb"/>
        <w:spacing w:before="0" w:beforeAutospacing="0" w:after="450" w:afterAutospacing="0"/>
        <w:textAlignment w:val="baseline"/>
        <w:rPr>
          <w:rFonts w:ascii="Open Sans" w:hAnsi="Open Sans" w:cs="Open Sans"/>
          <w:color w:val="555555"/>
          <w:sz w:val="30"/>
          <w:szCs w:val="30"/>
        </w:rPr>
      </w:pPr>
      <w:r>
        <w:rPr>
          <w:rFonts w:ascii="Open Sans" w:hAnsi="Open Sans" w:cs="Open Sans"/>
          <w:color w:val="555555"/>
          <w:sz w:val="30"/>
          <w:szCs w:val="30"/>
        </w:rPr>
        <w:t xml:space="preserve">The </w:t>
      </w:r>
      <w:r w:rsidR="00CD2042">
        <w:rPr>
          <w:rFonts w:ascii="Open Sans" w:hAnsi="Open Sans" w:cs="Open Sans"/>
          <w:color w:val="555555"/>
          <w:sz w:val="30"/>
          <w:szCs w:val="30"/>
        </w:rPr>
        <w:t xml:space="preserve">data set message structure </w:t>
      </w:r>
      <w:r w:rsidR="00C32906">
        <w:rPr>
          <w:rFonts w:ascii="Open Sans" w:hAnsi="Open Sans" w:cs="Open Sans"/>
          <w:color w:val="555555"/>
          <w:sz w:val="30"/>
          <w:szCs w:val="30"/>
        </w:rPr>
        <w:t xml:space="preserve">will </w:t>
      </w:r>
      <w:r>
        <w:rPr>
          <w:rFonts w:ascii="Open Sans" w:hAnsi="Open Sans" w:cs="Open Sans"/>
          <w:color w:val="555555"/>
          <w:sz w:val="30"/>
          <w:szCs w:val="30"/>
        </w:rPr>
        <w:t>change for</w:t>
      </w:r>
      <w:r w:rsidR="00CD2042">
        <w:rPr>
          <w:rFonts w:ascii="Open Sans" w:hAnsi="Open Sans" w:cs="Open Sans"/>
          <w:color w:val="555555"/>
          <w:sz w:val="30"/>
          <w:szCs w:val="30"/>
        </w:rPr>
        <w:t xml:space="preserve"> the liquidity data schema for the Liquidity Management Publication RSS </w:t>
      </w:r>
      <w:r>
        <w:rPr>
          <w:rFonts w:ascii="Open Sans" w:hAnsi="Open Sans" w:cs="Open Sans"/>
          <w:color w:val="555555"/>
          <w:sz w:val="30"/>
          <w:szCs w:val="30"/>
        </w:rPr>
        <w:t>flow:</w:t>
      </w:r>
      <w:r>
        <w:rPr>
          <w:rFonts w:ascii="Open Sans" w:hAnsi="Open Sans" w:cs="Open Sans"/>
          <w:color w:val="555555"/>
          <w:sz w:val="30"/>
          <w:szCs w:val="30"/>
        </w:rPr>
        <w:br/>
        <w:t>- the thematic tags “LiquidityConditionsEuroArea” and “historyDuringMaintenancePeriod” will be merged into a new thematic tag “liquidityHistory”</w:t>
      </w:r>
      <w:r w:rsidR="00F84F0D">
        <w:rPr>
          <w:rFonts w:ascii="Open Sans" w:hAnsi="Open Sans" w:cs="Open Sans"/>
          <w:color w:val="555555"/>
          <w:sz w:val="30"/>
          <w:szCs w:val="30"/>
        </w:rPr>
        <w:t xml:space="preserve"> with different fields and the field avgCurAccHoldings is removed</w:t>
      </w:r>
      <w:r>
        <w:rPr>
          <w:rFonts w:ascii="Open Sans" w:hAnsi="Open Sans" w:cs="Open Sans"/>
          <w:color w:val="555555"/>
          <w:sz w:val="30"/>
          <w:szCs w:val="30"/>
        </w:rPr>
        <w:br/>
        <w:t xml:space="preserve">- the content of </w:t>
      </w:r>
      <w:r w:rsidR="003C3D69">
        <w:rPr>
          <w:rFonts w:ascii="Open Sans" w:hAnsi="Open Sans" w:cs="Open Sans"/>
          <w:color w:val="555555"/>
          <w:sz w:val="30"/>
          <w:szCs w:val="30"/>
        </w:rPr>
        <w:t xml:space="preserve">the </w:t>
      </w:r>
      <w:r>
        <w:rPr>
          <w:rFonts w:ascii="Open Sans" w:hAnsi="Open Sans" w:cs="Open Sans"/>
          <w:color w:val="555555"/>
          <w:sz w:val="30"/>
          <w:szCs w:val="30"/>
        </w:rPr>
        <w:t>thematic tag “tenderOperations” will change</w:t>
      </w:r>
      <w:r w:rsidR="00F84F0D">
        <w:rPr>
          <w:rFonts w:ascii="Open Sans" w:hAnsi="Open Sans" w:cs="Open Sans"/>
          <w:color w:val="555555"/>
          <w:sz w:val="30"/>
          <w:szCs w:val="30"/>
        </w:rPr>
        <w:t xml:space="preserve"> as </w:t>
      </w:r>
      <w:r w:rsidR="0011180B">
        <w:rPr>
          <w:rFonts w:ascii="Open Sans" w:hAnsi="Open Sans" w:cs="Open Sans"/>
          <w:color w:val="555555"/>
          <w:sz w:val="30"/>
          <w:szCs w:val="30"/>
        </w:rPr>
        <w:t xml:space="preserve">5 </w:t>
      </w:r>
      <w:r w:rsidR="00F84F0D">
        <w:rPr>
          <w:rFonts w:ascii="Open Sans" w:hAnsi="Open Sans" w:cs="Open Sans"/>
          <w:color w:val="555555"/>
          <w:sz w:val="30"/>
          <w:szCs w:val="30"/>
        </w:rPr>
        <w:t>new fields are added and one field</w:t>
      </w:r>
      <w:r w:rsidR="0011180B">
        <w:rPr>
          <w:rFonts w:ascii="Open Sans" w:hAnsi="Open Sans" w:cs="Open Sans"/>
          <w:color w:val="555555"/>
          <w:sz w:val="30"/>
          <w:szCs w:val="30"/>
        </w:rPr>
        <w:t xml:space="preserve"> (tenderType)</w:t>
      </w:r>
      <w:r w:rsidR="00F84F0D">
        <w:rPr>
          <w:rFonts w:ascii="Open Sans" w:hAnsi="Open Sans" w:cs="Open Sans"/>
          <w:color w:val="555555"/>
          <w:sz w:val="30"/>
          <w:szCs w:val="30"/>
        </w:rPr>
        <w:t xml:space="preserve"> is renamed</w:t>
      </w:r>
      <w:r w:rsidR="0011180B">
        <w:rPr>
          <w:rFonts w:ascii="Open Sans" w:hAnsi="Open Sans" w:cs="Open Sans"/>
          <w:color w:val="555555"/>
          <w:sz w:val="30"/>
          <w:szCs w:val="30"/>
        </w:rPr>
        <w:t xml:space="preserve"> (into operationCat)</w:t>
      </w:r>
    </w:p>
    <w:p w14:paraId="5368C005" w14:textId="77777777" w:rsidR="00CD2042" w:rsidRDefault="00CD2042" w:rsidP="00CD2042">
      <w:pPr>
        <w:pStyle w:val="Heading2"/>
        <w:spacing w:before="750" w:after="300" w:line="582" w:lineRule="atLeast"/>
        <w:textAlignment w:val="baseline"/>
        <w:rPr>
          <w:rFonts w:ascii="inherit" w:hAnsi="inherit" w:cs="Open Sans"/>
          <w:color w:val="003299"/>
          <w:sz w:val="42"/>
          <w:szCs w:val="42"/>
        </w:rPr>
      </w:pPr>
      <w:r>
        <w:rPr>
          <w:rFonts w:ascii="inherit" w:hAnsi="inherit" w:cs="Open Sans"/>
          <w:color w:val="003299"/>
          <w:sz w:val="42"/>
          <w:szCs w:val="42"/>
        </w:rPr>
        <w:t>Go-Live Date</w:t>
      </w:r>
    </w:p>
    <w:p w14:paraId="5ACE3042" w14:textId="6B4E8C7E" w:rsidR="0011180B" w:rsidRPr="00CD2042" w:rsidRDefault="0011180B" w:rsidP="0011180B">
      <w:pPr>
        <w:spacing w:after="450" w:line="240" w:lineRule="auto"/>
        <w:textAlignment w:val="baseline"/>
        <w:rPr>
          <w:rFonts w:ascii="Open Sans" w:eastAsia="Times New Roman" w:hAnsi="Open Sans" w:cs="Open Sans"/>
          <w:color w:val="555555"/>
          <w:kern w:val="0"/>
          <w:sz w:val="30"/>
          <w:szCs w:val="30"/>
          <w:lang w:eastAsia="en-GB"/>
          <w14:ligatures w14:val="none"/>
        </w:rPr>
      </w:pPr>
      <w:r w:rsidRPr="00CD2042">
        <w:rPr>
          <w:rFonts w:ascii="Open Sans" w:eastAsia="Times New Roman" w:hAnsi="Open Sans" w:cs="Open Sans"/>
          <w:color w:val="555555"/>
          <w:kern w:val="0"/>
          <w:sz w:val="30"/>
          <w:szCs w:val="30"/>
          <w:lang w:eastAsia="en-GB"/>
          <w14:ligatures w14:val="none"/>
        </w:rPr>
        <w:t xml:space="preserve">The provisional go-live date is Thursday, </w:t>
      </w:r>
      <w:r>
        <w:rPr>
          <w:rFonts w:ascii="Open Sans" w:eastAsia="Times New Roman" w:hAnsi="Open Sans" w:cs="Open Sans"/>
          <w:color w:val="555555"/>
          <w:kern w:val="0"/>
          <w:sz w:val="30"/>
          <w:szCs w:val="30"/>
          <w:lang w:eastAsia="en-GB"/>
          <w14:ligatures w14:val="none"/>
        </w:rPr>
        <w:t>7</w:t>
      </w:r>
      <w:r w:rsidRPr="00CD2042">
        <w:rPr>
          <w:rFonts w:ascii="Open Sans" w:eastAsia="Times New Roman" w:hAnsi="Open Sans" w:cs="Open Sans"/>
          <w:color w:val="555555"/>
          <w:kern w:val="0"/>
          <w:sz w:val="30"/>
          <w:szCs w:val="30"/>
          <w:lang w:eastAsia="en-GB"/>
          <w14:ligatures w14:val="none"/>
        </w:rPr>
        <w:t xml:space="preserve"> November 202</w:t>
      </w:r>
      <w:r>
        <w:rPr>
          <w:rFonts w:ascii="Open Sans" w:eastAsia="Times New Roman" w:hAnsi="Open Sans" w:cs="Open Sans"/>
          <w:color w:val="555555"/>
          <w:kern w:val="0"/>
          <w:sz w:val="30"/>
          <w:szCs w:val="30"/>
          <w:lang w:eastAsia="en-GB"/>
          <w14:ligatures w14:val="none"/>
        </w:rPr>
        <w:t>4</w:t>
      </w:r>
      <w:r w:rsidRPr="00CD2042">
        <w:rPr>
          <w:rFonts w:ascii="Open Sans" w:eastAsia="Times New Roman" w:hAnsi="Open Sans" w:cs="Open Sans"/>
          <w:color w:val="555555"/>
          <w:kern w:val="0"/>
          <w:sz w:val="30"/>
          <w:szCs w:val="30"/>
          <w:lang w:eastAsia="en-GB"/>
          <w14:ligatures w14:val="none"/>
        </w:rPr>
        <w:t xml:space="preserve"> (any deviation from this date will be communicated closer to the time).</w:t>
      </w:r>
    </w:p>
    <w:p w14:paraId="0710509A" w14:textId="77777777" w:rsidR="00CD2042" w:rsidRDefault="00CD2042" w:rsidP="00CD2042">
      <w:pPr>
        <w:pStyle w:val="Heading2"/>
        <w:spacing w:before="750" w:after="300" w:line="582" w:lineRule="atLeast"/>
        <w:textAlignment w:val="baseline"/>
        <w:rPr>
          <w:rFonts w:ascii="inherit" w:hAnsi="inherit" w:cs="Open Sans"/>
          <w:color w:val="003299"/>
          <w:sz w:val="42"/>
          <w:szCs w:val="42"/>
        </w:rPr>
      </w:pPr>
      <w:r>
        <w:rPr>
          <w:rFonts w:ascii="inherit" w:hAnsi="inherit" w:cs="Open Sans"/>
          <w:color w:val="003299"/>
          <w:sz w:val="42"/>
          <w:szCs w:val="42"/>
        </w:rPr>
        <w:t>Detailed Change Components Description</w:t>
      </w:r>
    </w:p>
    <w:p w14:paraId="6F921218" w14:textId="09F4718D" w:rsidR="00FE6871" w:rsidRDefault="00CD2042" w:rsidP="00CD2042">
      <w:pPr>
        <w:pStyle w:val="NormalWeb"/>
        <w:spacing w:before="0" w:beforeAutospacing="0" w:after="450" w:afterAutospacing="0"/>
        <w:textAlignment w:val="baseline"/>
        <w:rPr>
          <w:rFonts w:ascii="Open Sans" w:hAnsi="Open Sans" w:cs="Open Sans"/>
          <w:color w:val="555555"/>
          <w:sz w:val="30"/>
          <w:szCs w:val="30"/>
        </w:rPr>
      </w:pPr>
      <w:r>
        <w:rPr>
          <w:rFonts w:ascii="Open Sans" w:hAnsi="Open Sans" w:cs="Open Sans"/>
          <w:color w:val="555555"/>
          <w:sz w:val="30"/>
          <w:szCs w:val="30"/>
        </w:rPr>
        <w:t>The “</w:t>
      </w:r>
      <w:r w:rsidR="00F84F0D">
        <w:rPr>
          <w:rFonts w:ascii="Open Sans" w:hAnsi="Open Sans" w:cs="Open Sans"/>
          <w:color w:val="555555"/>
          <w:sz w:val="30"/>
          <w:szCs w:val="30"/>
        </w:rPr>
        <w:t>liquidityHistory</w:t>
      </w:r>
      <w:r>
        <w:rPr>
          <w:rFonts w:ascii="Open Sans" w:hAnsi="Open Sans" w:cs="Open Sans"/>
          <w:color w:val="555555"/>
          <w:sz w:val="30"/>
          <w:szCs w:val="30"/>
        </w:rPr>
        <w:t>” message contains the fields “</w:t>
      </w:r>
      <w:r w:rsidR="00F84F0D">
        <w:rPr>
          <w:rFonts w:ascii="Open Sans" w:hAnsi="Open Sans" w:cs="Open Sans"/>
          <w:color w:val="555555"/>
          <w:sz w:val="30"/>
          <w:szCs w:val="30"/>
        </w:rPr>
        <w:t>calendarDate</w:t>
      </w:r>
      <w:r>
        <w:rPr>
          <w:rFonts w:ascii="Open Sans" w:hAnsi="Open Sans" w:cs="Open Sans"/>
          <w:color w:val="555555"/>
          <w:sz w:val="30"/>
          <w:szCs w:val="30"/>
        </w:rPr>
        <w:t>”, “</w:t>
      </w:r>
      <w:r w:rsidR="00F84F0D">
        <w:rPr>
          <w:rFonts w:ascii="Open Sans" w:hAnsi="Open Sans" w:cs="Open Sans"/>
          <w:color w:val="555555"/>
          <w:sz w:val="30"/>
          <w:szCs w:val="30"/>
        </w:rPr>
        <w:t>curAccHoldings&gt;amount</w:t>
      </w:r>
      <w:r>
        <w:rPr>
          <w:rFonts w:ascii="Open Sans" w:hAnsi="Open Sans" w:cs="Open Sans"/>
          <w:color w:val="555555"/>
          <w:sz w:val="30"/>
          <w:szCs w:val="30"/>
        </w:rPr>
        <w:t xml:space="preserve">”, </w:t>
      </w:r>
      <w:r w:rsidR="00F84F0D">
        <w:rPr>
          <w:rFonts w:ascii="Open Sans" w:hAnsi="Open Sans" w:cs="Open Sans"/>
          <w:color w:val="555555"/>
          <w:sz w:val="30"/>
          <w:szCs w:val="30"/>
        </w:rPr>
        <w:t>“curAccHoldings&gt;revised”, “netLiqEffect&gt;amount”,</w:t>
      </w:r>
      <w:r w:rsidR="00F84F0D" w:rsidRPr="00F84F0D">
        <w:rPr>
          <w:rFonts w:ascii="Open Sans" w:hAnsi="Open Sans" w:cs="Open Sans"/>
          <w:color w:val="555555"/>
          <w:sz w:val="30"/>
          <w:szCs w:val="30"/>
        </w:rPr>
        <w:t xml:space="preserve"> </w:t>
      </w:r>
      <w:r w:rsidR="00F84F0D">
        <w:rPr>
          <w:rFonts w:ascii="Open Sans" w:hAnsi="Open Sans" w:cs="Open Sans"/>
          <w:color w:val="555555"/>
          <w:sz w:val="30"/>
          <w:szCs w:val="30"/>
        </w:rPr>
        <w:t>“netLiqEffect&gt;revised”, “excessLiquidity&gt;amount”, “excessLiquidity&gt;revised”, “avgReserveRequirements&gt;amount”,</w:t>
      </w:r>
      <w:r w:rsidR="00F84F0D" w:rsidRPr="00F84F0D">
        <w:rPr>
          <w:rFonts w:ascii="Open Sans" w:hAnsi="Open Sans" w:cs="Open Sans"/>
          <w:color w:val="555555"/>
          <w:sz w:val="30"/>
          <w:szCs w:val="30"/>
        </w:rPr>
        <w:t xml:space="preserve"> </w:t>
      </w:r>
      <w:r w:rsidR="00F84F0D">
        <w:rPr>
          <w:rFonts w:ascii="Open Sans" w:hAnsi="Open Sans" w:cs="Open Sans"/>
          <w:color w:val="555555"/>
          <w:sz w:val="30"/>
          <w:szCs w:val="30"/>
        </w:rPr>
        <w:t xml:space="preserve">“avgReserveRequirements&gt;revised”, </w:t>
      </w:r>
      <w:r w:rsidR="00FE6871">
        <w:rPr>
          <w:rFonts w:ascii="Open Sans" w:hAnsi="Open Sans" w:cs="Open Sans"/>
          <w:color w:val="555555"/>
          <w:sz w:val="30"/>
          <w:szCs w:val="30"/>
        </w:rPr>
        <w:t>“dailyUseOfMargLendingFacility&gt;amount”,</w:t>
      </w:r>
      <w:r w:rsidR="00FE6871" w:rsidRPr="00F84F0D">
        <w:rPr>
          <w:rFonts w:ascii="Open Sans" w:hAnsi="Open Sans" w:cs="Open Sans"/>
          <w:color w:val="555555"/>
          <w:sz w:val="30"/>
          <w:szCs w:val="30"/>
        </w:rPr>
        <w:t xml:space="preserve"> </w:t>
      </w:r>
      <w:r w:rsidR="00FE6871">
        <w:rPr>
          <w:rFonts w:ascii="Open Sans" w:hAnsi="Open Sans" w:cs="Open Sans"/>
          <w:color w:val="555555"/>
          <w:sz w:val="30"/>
          <w:szCs w:val="30"/>
        </w:rPr>
        <w:lastRenderedPageBreak/>
        <w:t>“dailyUseOfMargLendingFacility&gt;revised”, “openMarketOperationsExclMonPolPortfolios&gt;amount”,</w:t>
      </w:r>
      <w:r w:rsidR="00FE6871" w:rsidRPr="00F84F0D">
        <w:rPr>
          <w:rFonts w:ascii="Open Sans" w:hAnsi="Open Sans" w:cs="Open Sans"/>
          <w:color w:val="555555"/>
          <w:sz w:val="30"/>
          <w:szCs w:val="30"/>
        </w:rPr>
        <w:t xml:space="preserve"> </w:t>
      </w:r>
      <w:r w:rsidR="00FE6871">
        <w:rPr>
          <w:rFonts w:ascii="Open Sans" w:hAnsi="Open Sans" w:cs="Open Sans"/>
          <w:color w:val="555555"/>
          <w:sz w:val="30"/>
          <w:szCs w:val="30"/>
        </w:rPr>
        <w:t>“openMarketOperationsExclMonPolPortfolios&gt;revised”</w:t>
      </w:r>
      <w:r w:rsidR="0011180B">
        <w:rPr>
          <w:rFonts w:ascii="Open Sans" w:hAnsi="Open Sans" w:cs="Open Sans"/>
          <w:color w:val="555555"/>
          <w:sz w:val="30"/>
          <w:szCs w:val="30"/>
        </w:rPr>
        <w:t>.</w:t>
      </w:r>
    </w:p>
    <w:p w14:paraId="7C22FF69" w14:textId="000C41AE" w:rsidR="00FE6871" w:rsidRDefault="00FE6871" w:rsidP="00CD2042">
      <w:pPr>
        <w:pStyle w:val="NormalWeb"/>
        <w:spacing w:before="0" w:beforeAutospacing="0" w:after="450" w:afterAutospacing="0"/>
        <w:textAlignment w:val="baseline"/>
        <w:rPr>
          <w:rFonts w:ascii="Open Sans" w:hAnsi="Open Sans" w:cs="Open Sans"/>
          <w:color w:val="555555"/>
          <w:sz w:val="30"/>
          <w:szCs w:val="30"/>
        </w:rPr>
      </w:pPr>
      <w:r>
        <w:rPr>
          <w:rFonts w:ascii="Open Sans" w:hAnsi="Open Sans" w:cs="Open Sans"/>
          <w:color w:val="555555"/>
          <w:sz w:val="30"/>
          <w:szCs w:val="30"/>
        </w:rPr>
        <w:t>The “tenderOperations” message contains the fields “referenceDate”, “tenderID”, “operationCat”, “operationSub</w:t>
      </w:r>
      <w:r w:rsidR="00383182">
        <w:rPr>
          <w:rFonts w:ascii="Open Sans" w:hAnsi="Open Sans" w:cs="Open Sans"/>
          <w:color w:val="555555"/>
          <w:sz w:val="30"/>
          <w:szCs w:val="30"/>
        </w:rPr>
        <w:t>C</w:t>
      </w:r>
      <w:r>
        <w:rPr>
          <w:rFonts w:ascii="Open Sans" w:hAnsi="Open Sans" w:cs="Open Sans"/>
          <w:color w:val="555555"/>
          <w:sz w:val="30"/>
          <w:szCs w:val="30"/>
        </w:rPr>
        <w:t>at”,</w:t>
      </w:r>
      <w:r w:rsidRPr="00F84F0D">
        <w:rPr>
          <w:rFonts w:ascii="Open Sans" w:hAnsi="Open Sans" w:cs="Open Sans"/>
          <w:color w:val="555555"/>
          <w:sz w:val="30"/>
          <w:szCs w:val="30"/>
        </w:rPr>
        <w:t xml:space="preserve"> </w:t>
      </w:r>
      <w:r>
        <w:rPr>
          <w:rFonts w:ascii="Open Sans" w:hAnsi="Open Sans" w:cs="Open Sans"/>
          <w:color w:val="555555"/>
          <w:sz w:val="30"/>
          <w:szCs w:val="30"/>
        </w:rPr>
        <w:t>“settlementDate”, “maturityDate”,</w:t>
      </w:r>
      <w:r w:rsidRPr="00F84F0D">
        <w:rPr>
          <w:rFonts w:ascii="Open Sans" w:hAnsi="Open Sans" w:cs="Open Sans"/>
          <w:color w:val="555555"/>
          <w:sz w:val="30"/>
          <w:szCs w:val="30"/>
        </w:rPr>
        <w:t xml:space="preserve"> </w:t>
      </w:r>
      <w:r>
        <w:rPr>
          <w:rFonts w:ascii="Open Sans" w:hAnsi="Open Sans" w:cs="Open Sans"/>
          <w:color w:val="555555"/>
          <w:sz w:val="30"/>
          <w:szCs w:val="30"/>
        </w:rPr>
        <w:t>“allottedAmount”, “amount”, “operationCurrency”</w:t>
      </w:r>
    </w:p>
    <w:p w14:paraId="0FE6807E" w14:textId="4C2D784B" w:rsidR="00CD2042" w:rsidRDefault="00CD2042" w:rsidP="00CD2042">
      <w:pPr>
        <w:pStyle w:val="NormalWeb"/>
        <w:spacing w:before="0" w:beforeAutospacing="0" w:after="450" w:afterAutospacing="0"/>
        <w:textAlignment w:val="baseline"/>
        <w:rPr>
          <w:rFonts w:ascii="Open Sans" w:hAnsi="Open Sans" w:cs="Open Sans"/>
          <w:color w:val="555555"/>
          <w:sz w:val="30"/>
          <w:szCs w:val="30"/>
        </w:rPr>
      </w:pPr>
      <w:r>
        <w:rPr>
          <w:rFonts w:ascii="Open Sans" w:hAnsi="Open Sans" w:cs="Open Sans"/>
          <w:color w:val="555555"/>
          <w:sz w:val="30"/>
          <w:szCs w:val="30"/>
        </w:rPr>
        <w:t>Please refer to the zip folder above entitled “API specifications and template files”</w:t>
      </w:r>
      <w:r w:rsidR="0011180B">
        <w:rPr>
          <w:rFonts w:ascii="Open Sans" w:hAnsi="Open Sans" w:cs="Open Sans"/>
          <w:color w:val="555555"/>
          <w:sz w:val="30"/>
          <w:szCs w:val="30"/>
        </w:rPr>
        <w:t xml:space="preserve"> </w:t>
      </w:r>
      <w:r>
        <w:rPr>
          <w:rFonts w:ascii="Open Sans" w:hAnsi="Open Sans" w:cs="Open Sans"/>
          <w:color w:val="555555"/>
          <w:sz w:val="30"/>
          <w:szCs w:val="30"/>
        </w:rPr>
        <w:t>,which contains:</w:t>
      </w:r>
    </w:p>
    <w:p w14:paraId="18DC1D7E" w14:textId="609B6105" w:rsidR="00CD2042" w:rsidRDefault="00CD2042" w:rsidP="00CD2042">
      <w:pPr>
        <w:numPr>
          <w:ilvl w:val="0"/>
          <w:numId w:val="3"/>
        </w:numPr>
        <w:spacing w:after="0" w:line="450" w:lineRule="atLeast"/>
        <w:textAlignment w:val="baseline"/>
        <w:rPr>
          <w:rFonts w:ascii="Open Sans" w:hAnsi="Open Sans" w:cs="Open Sans"/>
          <w:color w:val="555555"/>
          <w:sz w:val="30"/>
          <w:szCs w:val="30"/>
        </w:rPr>
      </w:pPr>
      <w:r>
        <w:rPr>
          <w:rFonts w:ascii="Open Sans" w:hAnsi="Open Sans" w:cs="Open Sans"/>
          <w:color w:val="555555"/>
          <w:sz w:val="30"/>
          <w:szCs w:val="30"/>
        </w:rPr>
        <w:t xml:space="preserve">a table showing the differences between the old schema (before </w:t>
      </w:r>
      <w:r w:rsidR="0011180B">
        <w:rPr>
          <w:rFonts w:ascii="Open Sans" w:hAnsi="Open Sans" w:cs="Open Sans"/>
          <w:color w:val="555555"/>
          <w:sz w:val="30"/>
          <w:szCs w:val="30"/>
        </w:rPr>
        <w:t>7</w:t>
      </w:r>
      <w:r w:rsidR="00FE6871">
        <w:rPr>
          <w:rFonts w:ascii="Open Sans" w:hAnsi="Open Sans" w:cs="Open Sans"/>
          <w:color w:val="555555"/>
          <w:sz w:val="30"/>
          <w:szCs w:val="30"/>
        </w:rPr>
        <w:t xml:space="preserve"> </w:t>
      </w:r>
      <w:r w:rsidR="00F84F0D">
        <w:rPr>
          <w:rFonts w:ascii="Open Sans" w:hAnsi="Open Sans" w:cs="Open Sans"/>
          <w:color w:val="555555"/>
          <w:sz w:val="30"/>
          <w:szCs w:val="30"/>
        </w:rPr>
        <w:t>November 2024</w:t>
      </w:r>
      <w:r>
        <w:rPr>
          <w:rFonts w:ascii="Open Sans" w:hAnsi="Open Sans" w:cs="Open Sans"/>
          <w:color w:val="555555"/>
          <w:sz w:val="30"/>
          <w:szCs w:val="30"/>
        </w:rPr>
        <w:t xml:space="preserve">) and the new schema (from </w:t>
      </w:r>
      <w:r w:rsidR="0011180B">
        <w:rPr>
          <w:rFonts w:ascii="Open Sans" w:hAnsi="Open Sans" w:cs="Open Sans"/>
          <w:color w:val="555555"/>
          <w:sz w:val="30"/>
          <w:szCs w:val="30"/>
        </w:rPr>
        <w:t>7</w:t>
      </w:r>
      <w:r w:rsidR="00FE6871">
        <w:rPr>
          <w:rFonts w:ascii="Open Sans" w:hAnsi="Open Sans" w:cs="Open Sans"/>
          <w:color w:val="555555"/>
          <w:sz w:val="30"/>
          <w:szCs w:val="30"/>
        </w:rPr>
        <w:t xml:space="preserve"> </w:t>
      </w:r>
      <w:r w:rsidR="00F84F0D">
        <w:rPr>
          <w:rFonts w:ascii="Open Sans" w:hAnsi="Open Sans" w:cs="Open Sans"/>
          <w:color w:val="555555"/>
          <w:sz w:val="30"/>
          <w:szCs w:val="30"/>
        </w:rPr>
        <w:t>November 2024</w:t>
      </w:r>
      <w:r>
        <w:rPr>
          <w:rFonts w:ascii="Open Sans" w:hAnsi="Open Sans" w:cs="Open Sans"/>
          <w:color w:val="555555"/>
          <w:sz w:val="30"/>
          <w:szCs w:val="30"/>
        </w:rPr>
        <w:t xml:space="preserve"> onwards)</w:t>
      </w:r>
    </w:p>
    <w:p w14:paraId="4F643BB2" w14:textId="7AB350BE" w:rsidR="00CD2042" w:rsidRDefault="00CD2042" w:rsidP="00CD2042">
      <w:pPr>
        <w:numPr>
          <w:ilvl w:val="0"/>
          <w:numId w:val="3"/>
        </w:numPr>
        <w:spacing w:after="0" w:line="450" w:lineRule="atLeast"/>
        <w:textAlignment w:val="baseline"/>
        <w:rPr>
          <w:rFonts w:ascii="Open Sans" w:hAnsi="Open Sans" w:cs="Open Sans"/>
          <w:color w:val="555555"/>
          <w:sz w:val="30"/>
          <w:szCs w:val="30"/>
        </w:rPr>
      </w:pPr>
      <w:r>
        <w:rPr>
          <w:rFonts w:ascii="Open Sans" w:hAnsi="Open Sans" w:cs="Open Sans"/>
          <w:color w:val="555555"/>
          <w:sz w:val="30"/>
          <w:szCs w:val="30"/>
        </w:rPr>
        <w:t xml:space="preserve">the old schema file (before </w:t>
      </w:r>
      <w:r w:rsidR="0011180B">
        <w:rPr>
          <w:rFonts w:ascii="Open Sans" w:hAnsi="Open Sans" w:cs="Open Sans"/>
          <w:color w:val="555555"/>
          <w:sz w:val="30"/>
          <w:szCs w:val="30"/>
        </w:rPr>
        <w:t xml:space="preserve">7 </w:t>
      </w:r>
      <w:r w:rsidR="00F84F0D">
        <w:rPr>
          <w:rFonts w:ascii="Open Sans" w:hAnsi="Open Sans" w:cs="Open Sans"/>
          <w:color w:val="555555"/>
          <w:sz w:val="30"/>
          <w:szCs w:val="30"/>
        </w:rPr>
        <w:t>November 2024</w:t>
      </w:r>
      <w:r>
        <w:rPr>
          <w:rFonts w:ascii="Open Sans" w:hAnsi="Open Sans" w:cs="Open Sans"/>
          <w:color w:val="555555"/>
          <w:sz w:val="30"/>
          <w:szCs w:val="30"/>
        </w:rPr>
        <w:t>)</w:t>
      </w:r>
    </w:p>
    <w:p w14:paraId="5352FC19" w14:textId="634DA15D" w:rsidR="00CD2042" w:rsidRDefault="00CD2042" w:rsidP="00CD2042">
      <w:pPr>
        <w:numPr>
          <w:ilvl w:val="0"/>
          <w:numId w:val="3"/>
        </w:numPr>
        <w:spacing w:after="0" w:line="450" w:lineRule="atLeast"/>
        <w:textAlignment w:val="baseline"/>
        <w:rPr>
          <w:rFonts w:ascii="Open Sans" w:hAnsi="Open Sans" w:cs="Open Sans"/>
          <w:color w:val="555555"/>
          <w:sz w:val="30"/>
          <w:szCs w:val="30"/>
        </w:rPr>
      </w:pPr>
      <w:r>
        <w:rPr>
          <w:rFonts w:ascii="Open Sans" w:hAnsi="Open Sans" w:cs="Open Sans"/>
          <w:color w:val="555555"/>
          <w:sz w:val="30"/>
          <w:szCs w:val="30"/>
        </w:rPr>
        <w:t>the new schema file, including the new data set message structure with the “</w:t>
      </w:r>
      <w:r w:rsidR="00F84F0D">
        <w:rPr>
          <w:rFonts w:ascii="Open Sans" w:hAnsi="Open Sans" w:cs="Open Sans"/>
          <w:color w:val="555555"/>
          <w:sz w:val="30"/>
          <w:szCs w:val="30"/>
        </w:rPr>
        <w:t>liquidityHistory</w:t>
      </w:r>
      <w:r>
        <w:rPr>
          <w:rFonts w:ascii="Open Sans" w:hAnsi="Open Sans" w:cs="Open Sans"/>
          <w:color w:val="555555"/>
          <w:sz w:val="30"/>
          <w:szCs w:val="30"/>
        </w:rPr>
        <w:t>” tag</w:t>
      </w:r>
    </w:p>
    <w:p w14:paraId="319E1C28" w14:textId="7BA05442" w:rsidR="00CD2042" w:rsidRDefault="006D74B8" w:rsidP="00CD2042">
      <w:pPr>
        <w:numPr>
          <w:ilvl w:val="0"/>
          <w:numId w:val="3"/>
        </w:numPr>
        <w:spacing w:after="0" w:line="450" w:lineRule="atLeast"/>
        <w:textAlignment w:val="baseline"/>
        <w:rPr>
          <w:rFonts w:ascii="Open Sans" w:hAnsi="Open Sans" w:cs="Open Sans"/>
          <w:color w:val="555555"/>
          <w:sz w:val="30"/>
          <w:szCs w:val="30"/>
        </w:rPr>
      </w:pPr>
      <w:r>
        <w:rPr>
          <w:rFonts w:ascii="Open Sans" w:hAnsi="Open Sans" w:cs="Open Sans"/>
          <w:color w:val="555555"/>
          <w:sz w:val="30"/>
          <w:szCs w:val="30"/>
        </w:rPr>
        <w:t>eight</w:t>
      </w:r>
      <w:r w:rsidR="0011180B">
        <w:rPr>
          <w:rFonts w:ascii="Open Sans" w:hAnsi="Open Sans" w:cs="Open Sans"/>
          <w:color w:val="555555"/>
          <w:sz w:val="30"/>
          <w:szCs w:val="30"/>
        </w:rPr>
        <w:t xml:space="preserve"> </w:t>
      </w:r>
      <w:r w:rsidR="00CD2042">
        <w:rPr>
          <w:rFonts w:ascii="Open Sans" w:hAnsi="Open Sans" w:cs="Open Sans"/>
          <w:color w:val="555555"/>
          <w:sz w:val="30"/>
          <w:szCs w:val="30"/>
        </w:rPr>
        <w:t>sample files using the new schema</w:t>
      </w:r>
    </w:p>
    <w:p w14:paraId="19AAF28A" w14:textId="77777777" w:rsidR="00CD2042" w:rsidRDefault="00CD2042" w:rsidP="00CD2042">
      <w:pPr>
        <w:pStyle w:val="NormalWeb"/>
        <w:spacing w:before="0" w:beforeAutospacing="0" w:after="450" w:afterAutospacing="0"/>
        <w:textAlignment w:val="baseline"/>
        <w:rPr>
          <w:rFonts w:ascii="Open Sans" w:hAnsi="Open Sans" w:cs="Open Sans"/>
          <w:color w:val="555555"/>
          <w:sz w:val="30"/>
          <w:szCs w:val="30"/>
        </w:rPr>
      </w:pPr>
      <w:r>
        <w:rPr>
          <w:rFonts w:ascii="Open Sans" w:hAnsi="Open Sans" w:cs="Open Sans"/>
          <w:color w:val="555555"/>
          <w:sz w:val="30"/>
          <w:szCs w:val="30"/>
        </w:rPr>
        <w:t>The sample files were created using test data.</w:t>
      </w:r>
    </w:p>
    <w:p w14:paraId="4E2760F6" w14:textId="00CBF5E0" w:rsidR="00CD2042" w:rsidRDefault="00CD2042" w:rsidP="00CD2042">
      <w:pPr>
        <w:pStyle w:val="NormalWeb"/>
        <w:spacing w:before="0" w:beforeAutospacing="0" w:after="450" w:afterAutospacing="0"/>
        <w:textAlignment w:val="baseline"/>
        <w:rPr>
          <w:rFonts w:ascii="Open Sans" w:hAnsi="Open Sans" w:cs="Open Sans"/>
          <w:color w:val="555555"/>
          <w:sz w:val="30"/>
          <w:szCs w:val="30"/>
        </w:rPr>
      </w:pPr>
      <w:r>
        <w:rPr>
          <w:rFonts w:ascii="Open Sans" w:hAnsi="Open Sans" w:cs="Open Sans"/>
          <w:color w:val="555555"/>
          <w:sz w:val="30"/>
          <w:szCs w:val="30"/>
        </w:rPr>
        <w:t xml:space="preserve">Each of the </w:t>
      </w:r>
      <w:r w:rsidR="006D74B8">
        <w:rPr>
          <w:rFonts w:ascii="Open Sans" w:hAnsi="Open Sans" w:cs="Open Sans"/>
          <w:color w:val="555555"/>
          <w:sz w:val="30"/>
          <w:szCs w:val="30"/>
        </w:rPr>
        <w:t>eight</w:t>
      </w:r>
      <w:r>
        <w:rPr>
          <w:rFonts w:ascii="Open Sans" w:hAnsi="Open Sans" w:cs="Open Sans"/>
          <w:color w:val="555555"/>
          <w:sz w:val="30"/>
          <w:szCs w:val="30"/>
        </w:rPr>
        <w:t xml:space="preserve"> files will be published separately, although in the RSS they will have the same name (i.e. Liquidity Management Publication). The thematic tag inside the header of each file indicates the name of the file sent.</w:t>
      </w:r>
    </w:p>
    <w:p w14:paraId="57BFAC7C" w14:textId="77777777" w:rsidR="00CD2042" w:rsidRDefault="00CD2042" w:rsidP="00CD2042">
      <w:pPr>
        <w:pStyle w:val="Heading2"/>
        <w:spacing w:before="750" w:after="300" w:line="582" w:lineRule="atLeast"/>
        <w:textAlignment w:val="baseline"/>
        <w:rPr>
          <w:rFonts w:ascii="inherit" w:hAnsi="inherit" w:cs="Open Sans"/>
          <w:color w:val="003299"/>
          <w:sz w:val="42"/>
          <w:szCs w:val="42"/>
        </w:rPr>
      </w:pPr>
      <w:r>
        <w:rPr>
          <w:rFonts w:ascii="inherit" w:hAnsi="inherit" w:cs="Open Sans"/>
          <w:color w:val="003299"/>
          <w:sz w:val="42"/>
          <w:szCs w:val="42"/>
        </w:rPr>
        <w:t>Supporting Information</w:t>
      </w:r>
    </w:p>
    <w:p w14:paraId="6F48F932" w14:textId="77777777" w:rsidR="00CD2042" w:rsidRDefault="00CD2042" w:rsidP="00CD2042">
      <w:pPr>
        <w:pStyle w:val="NormalWeb"/>
        <w:spacing w:before="0" w:beforeAutospacing="0" w:after="450" w:afterAutospacing="0"/>
        <w:textAlignment w:val="baseline"/>
        <w:rPr>
          <w:rFonts w:ascii="Open Sans" w:hAnsi="Open Sans" w:cs="Open Sans"/>
          <w:color w:val="555555"/>
          <w:sz w:val="30"/>
          <w:szCs w:val="30"/>
        </w:rPr>
      </w:pPr>
      <w:r>
        <w:rPr>
          <w:rFonts w:ascii="Open Sans" w:hAnsi="Open Sans" w:cs="Open Sans"/>
          <w:color w:val="555555"/>
          <w:sz w:val="30"/>
          <w:szCs w:val="30"/>
        </w:rPr>
        <w:t>For further information regarding release types and structured content, please refer to the MID Catalogue and Integration Guide.</w:t>
      </w:r>
    </w:p>
    <w:p w14:paraId="5D8CDF6F" w14:textId="77777777" w:rsidR="00CD2042" w:rsidRDefault="00CD2042" w:rsidP="00CD2042">
      <w:pPr>
        <w:pStyle w:val="NormalWeb"/>
        <w:spacing w:before="0" w:beforeAutospacing="0" w:after="0" w:afterAutospacing="0"/>
        <w:textAlignment w:val="baseline"/>
        <w:rPr>
          <w:rFonts w:ascii="Open Sans" w:hAnsi="Open Sans" w:cs="Open Sans"/>
          <w:color w:val="555555"/>
          <w:sz w:val="30"/>
          <w:szCs w:val="30"/>
        </w:rPr>
      </w:pPr>
      <w:r>
        <w:rPr>
          <w:rFonts w:ascii="Open Sans" w:hAnsi="Open Sans" w:cs="Open Sans"/>
          <w:color w:val="555555"/>
          <w:sz w:val="30"/>
          <w:szCs w:val="30"/>
        </w:rPr>
        <w:lastRenderedPageBreak/>
        <w:t>The liquidity data schema update was additionally announced in the MID maintenance </w:t>
      </w:r>
      <w:hyperlink r:id="rId7" w:history="1">
        <w:r>
          <w:rPr>
            <w:rStyle w:val="Hyperlink"/>
            <w:rFonts w:ascii="Open Sans" w:hAnsi="Open Sans" w:cs="Open Sans"/>
            <w:color w:val="2B7AB6"/>
            <w:sz w:val="30"/>
            <w:szCs w:val="30"/>
            <w:u w:val="none"/>
            <w:bdr w:val="none" w:sz="0" w:space="0" w:color="auto" w:frame="1"/>
          </w:rPr>
          <w:t>RSS 2.0 feed</w:t>
        </w:r>
      </w:hyperlink>
      <w:r>
        <w:rPr>
          <w:rFonts w:ascii="Open Sans" w:hAnsi="Open Sans" w:cs="Open Sans"/>
          <w:color w:val="555555"/>
          <w:sz w:val="30"/>
          <w:szCs w:val="30"/>
        </w:rPr>
        <w:t>. To receive automatic updates for all future changes linked to the liquidity data, please subscribe to the MID maintenance RSS feed. Chapter 6.3 of the guide contains additional information on how to specifically filter for updates for liquidity data only.</w:t>
      </w:r>
    </w:p>
    <w:p w14:paraId="0064914D" w14:textId="77777777" w:rsidR="00CD2042" w:rsidRDefault="00CD2042" w:rsidP="00CD2042">
      <w:pPr>
        <w:pStyle w:val="NormalWeb"/>
        <w:spacing w:before="0" w:beforeAutospacing="0" w:after="0" w:afterAutospacing="0"/>
        <w:textAlignment w:val="baseline"/>
        <w:rPr>
          <w:rFonts w:ascii="Open Sans" w:hAnsi="Open Sans" w:cs="Open Sans"/>
          <w:color w:val="555555"/>
          <w:sz w:val="30"/>
          <w:szCs w:val="30"/>
        </w:rPr>
      </w:pPr>
      <w:r>
        <w:rPr>
          <w:rFonts w:ascii="Open Sans" w:hAnsi="Open Sans" w:cs="Open Sans"/>
          <w:color w:val="555555"/>
          <w:sz w:val="30"/>
          <w:szCs w:val="30"/>
        </w:rPr>
        <w:t>For further assistance, please contact the Market Information Dissemination support team at </w:t>
      </w:r>
      <w:hyperlink r:id="rId8" w:history="1">
        <w:r>
          <w:rPr>
            <w:rStyle w:val="Hyperlink"/>
            <w:rFonts w:ascii="Open Sans" w:hAnsi="Open Sans" w:cs="Open Sans"/>
            <w:color w:val="2B7AB6"/>
            <w:sz w:val="30"/>
            <w:szCs w:val="30"/>
            <w:u w:val="none"/>
            <w:bdr w:val="none" w:sz="0" w:space="0" w:color="auto" w:frame="1"/>
          </w:rPr>
          <w:t>mid@ecb.europa.eu</w:t>
        </w:r>
      </w:hyperlink>
    </w:p>
    <w:p w14:paraId="5DC15D30" w14:textId="57188629" w:rsidR="00CD2042" w:rsidRDefault="00CD2042">
      <w:pPr>
        <w:rPr>
          <w:rFonts w:ascii="inherit" w:eastAsia="Times New Roman" w:hAnsi="inherit" w:cs="Open Sans"/>
          <w:b/>
          <w:bCs/>
          <w:color w:val="000000"/>
          <w:kern w:val="36"/>
          <w:sz w:val="51"/>
          <w:szCs w:val="51"/>
          <w:lang w:eastAsia="en-GB"/>
          <w14:ligatures w14:val="none"/>
        </w:rPr>
      </w:pPr>
    </w:p>
    <w:sectPr w:rsidR="00CD2042">
      <w:headerReference w:type="even" r:id="rId9"/>
      <w:head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4FE9A" w14:textId="77777777" w:rsidR="00D211B8" w:rsidRDefault="00D211B8" w:rsidP="00FE6871">
      <w:pPr>
        <w:spacing w:after="0" w:line="240" w:lineRule="auto"/>
      </w:pPr>
      <w:r>
        <w:separator/>
      </w:r>
    </w:p>
  </w:endnote>
  <w:endnote w:type="continuationSeparator" w:id="0">
    <w:p w14:paraId="71DE4F8C" w14:textId="77777777" w:rsidR="00D211B8" w:rsidRDefault="00D211B8" w:rsidP="00FE6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B526C" w14:textId="77777777" w:rsidR="00D211B8" w:rsidRDefault="00D211B8" w:rsidP="00FE6871">
      <w:pPr>
        <w:spacing w:after="0" w:line="240" w:lineRule="auto"/>
      </w:pPr>
      <w:r>
        <w:separator/>
      </w:r>
    </w:p>
  </w:footnote>
  <w:footnote w:type="continuationSeparator" w:id="0">
    <w:p w14:paraId="79B5E2D0" w14:textId="77777777" w:rsidR="00D211B8" w:rsidRDefault="00D211B8" w:rsidP="00FE6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C967" w14:textId="33AC4809" w:rsidR="00FE6871" w:rsidRDefault="00FE6871">
    <w:pPr>
      <w:pStyle w:val="Header"/>
    </w:pPr>
    <w:r>
      <w:rPr>
        <w:noProof/>
      </w:rPr>
      <mc:AlternateContent>
        <mc:Choice Requires="wps">
          <w:drawing>
            <wp:anchor distT="0" distB="0" distL="0" distR="0" simplePos="0" relativeHeight="251659264" behindDoc="0" locked="0" layoutInCell="1" allowOverlap="1" wp14:anchorId="7354478D" wp14:editId="1ADEAB4E">
              <wp:simplePos x="635" y="635"/>
              <wp:positionH relativeFrom="page">
                <wp:align>right</wp:align>
              </wp:positionH>
              <wp:positionV relativeFrom="page">
                <wp:align>top</wp:align>
              </wp:positionV>
              <wp:extent cx="443865" cy="443865"/>
              <wp:effectExtent l="0" t="0" r="0" b="13970"/>
              <wp:wrapNone/>
              <wp:docPr id="3" name="Text Box 3" descr="ECB-UN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49FE1A" w14:textId="76A5E224" w:rsidR="00FE6871" w:rsidRPr="00FE6871" w:rsidRDefault="00FE6871" w:rsidP="00FE6871">
                          <w:pPr>
                            <w:spacing w:after="0"/>
                            <w:rPr>
                              <w:rFonts w:ascii="Arial" w:eastAsia="Arial" w:hAnsi="Arial" w:cs="Arial"/>
                              <w:noProof/>
                              <w:color w:val="000000"/>
                              <w:sz w:val="20"/>
                              <w:szCs w:val="20"/>
                            </w:rPr>
                          </w:pPr>
                          <w:r w:rsidRPr="00FE6871">
                            <w:rPr>
                              <w:rFonts w:ascii="Arial" w:eastAsia="Arial" w:hAnsi="Arial" w:cs="Arial"/>
                              <w:noProof/>
                              <w:color w:val="000000"/>
                              <w:sz w:val="20"/>
                              <w:szCs w:val="20"/>
                            </w:rPr>
                            <w:t>ECB-UNRESTRICTED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54478D" id="_x0000_t202" coordsize="21600,21600" o:spt="202" path="m,l,21600r21600,l21600,xe">
              <v:stroke joinstyle="miter"/>
              <v:path gradientshapeok="t" o:connecttype="rect"/>
            </v:shapetype>
            <v:shape id="Text Box 3" o:spid="_x0000_s1026" type="#_x0000_t202" alt="ECB-UNRESTRICTED"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949FE1A" w14:textId="76A5E224" w:rsidR="00FE6871" w:rsidRPr="00FE6871" w:rsidRDefault="00FE6871" w:rsidP="00FE6871">
                    <w:pPr>
                      <w:spacing w:after="0"/>
                      <w:rPr>
                        <w:rFonts w:ascii="Arial" w:eastAsia="Arial" w:hAnsi="Arial" w:cs="Arial"/>
                        <w:noProof/>
                        <w:color w:val="000000"/>
                        <w:sz w:val="20"/>
                        <w:szCs w:val="20"/>
                      </w:rPr>
                    </w:pPr>
                    <w:r w:rsidRPr="00FE6871">
                      <w:rPr>
                        <w:rFonts w:ascii="Arial" w:eastAsia="Arial" w:hAnsi="Arial" w:cs="Arial"/>
                        <w:noProof/>
                        <w:color w:val="000000"/>
                        <w:sz w:val="20"/>
                        <w:szCs w:val="20"/>
                      </w:rPr>
                      <w:t>ECB-UNRESTRICTED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6A3C" w14:textId="272E704F" w:rsidR="00FE6871" w:rsidRDefault="00FE6871">
    <w:pPr>
      <w:pStyle w:val="Header"/>
    </w:pPr>
    <w:r>
      <w:rPr>
        <w:noProof/>
      </w:rPr>
      <mc:AlternateContent>
        <mc:Choice Requires="wps">
          <w:drawing>
            <wp:anchor distT="0" distB="0" distL="0" distR="0" simplePos="0" relativeHeight="251660288" behindDoc="0" locked="0" layoutInCell="1" allowOverlap="1" wp14:anchorId="3B97535A" wp14:editId="02FFB05C">
              <wp:simplePos x="914400" y="447675"/>
              <wp:positionH relativeFrom="page">
                <wp:align>right</wp:align>
              </wp:positionH>
              <wp:positionV relativeFrom="page">
                <wp:align>top</wp:align>
              </wp:positionV>
              <wp:extent cx="443865" cy="443865"/>
              <wp:effectExtent l="0" t="0" r="0" b="13970"/>
              <wp:wrapNone/>
              <wp:docPr id="4" name="Text Box 4" descr="ECB-UN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D4CA9D" w14:textId="666D946B" w:rsidR="00FE6871" w:rsidRPr="00FE6871" w:rsidRDefault="00FE6871" w:rsidP="00FE6871">
                          <w:pPr>
                            <w:spacing w:after="0"/>
                            <w:rPr>
                              <w:rFonts w:ascii="Arial" w:eastAsia="Arial" w:hAnsi="Arial" w:cs="Arial"/>
                              <w:noProof/>
                              <w:color w:val="000000"/>
                              <w:sz w:val="20"/>
                              <w:szCs w:val="20"/>
                            </w:rPr>
                          </w:pPr>
                          <w:r w:rsidRPr="00FE6871">
                            <w:rPr>
                              <w:rFonts w:ascii="Arial" w:eastAsia="Arial" w:hAnsi="Arial" w:cs="Arial"/>
                              <w:noProof/>
                              <w:color w:val="000000"/>
                              <w:sz w:val="20"/>
                              <w:szCs w:val="20"/>
                            </w:rPr>
                            <w:t>ECB-UNRESTRICTED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97535A" id="_x0000_t202" coordsize="21600,21600" o:spt="202" path="m,l,21600r21600,l21600,xe">
              <v:stroke joinstyle="miter"/>
              <v:path gradientshapeok="t" o:connecttype="rect"/>
            </v:shapetype>
            <v:shape id="Text Box 4" o:spid="_x0000_s1027" type="#_x0000_t202" alt="ECB-UNRESTRICTED"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8D4CA9D" w14:textId="666D946B" w:rsidR="00FE6871" w:rsidRPr="00FE6871" w:rsidRDefault="00FE6871" w:rsidP="00FE6871">
                    <w:pPr>
                      <w:spacing w:after="0"/>
                      <w:rPr>
                        <w:rFonts w:ascii="Arial" w:eastAsia="Arial" w:hAnsi="Arial" w:cs="Arial"/>
                        <w:noProof/>
                        <w:color w:val="000000"/>
                        <w:sz w:val="20"/>
                        <w:szCs w:val="20"/>
                      </w:rPr>
                    </w:pPr>
                    <w:r w:rsidRPr="00FE6871">
                      <w:rPr>
                        <w:rFonts w:ascii="Arial" w:eastAsia="Arial" w:hAnsi="Arial" w:cs="Arial"/>
                        <w:noProof/>
                        <w:color w:val="000000"/>
                        <w:sz w:val="20"/>
                        <w:szCs w:val="20"/>
                      </w:rPr>
                      <w:t>ECB-UNRESTRICTED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3FDB1" w14:textId="5A9FE911" w:rsidR="00FE6871" w:rsidRDefault="00FE6871">
    <w:pPr>
      <w:pStyle w:val="Header"/>
    </w:pPr>
    <w:r>
      <w:rPr>
        <w:noProof/>
      </w:rPr>
      <mc:AlternateContent>
        <mc:Choice Requires="wps">
          <w:drawing>
            <wp:anchor distT="0" distB="0" distL="0" distR="0" simplePos="0" relativeHeight="251658240" behindDoc="0" locked="0" layoutInCell="1" allowOverlap="1" wp14:anchorId="43BD1069" wp14:editId="0372AF6D">
              <wp:simplePos x="635" y="635"/>
              <wp:positionH relativeFrom="page">
                <wp:align>right</wp:align>
              </wp:positionH>
              <wp:positionV relativeFrom="page">
                <wp:align>top</wp:align>
              </wp:positionV>
              <wp:extent cx="443865" cy="443865"/>
              <wp:effectExtent l="0" t="0" r="0" b="13970"/>
              <wp:wrapNone/>
              <wp:docPr id="2" name="Text Box 2" descr="ECB-UN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3C2148" w14:textId="1CD57B89" w:rsidR="00FE6871" w:rsidRPr="00FE6871" w:rsidRDefault="00FE6871" w:rsidP="00FE6871">
                          <w:pPr>
                            <w:spacing w:after="0"/>
                            <w:rPr>
                              <w:rFonts w:ascii="Arial" w:eastAsia="Arial" w:hAnsi="Arial" w:cs="Arial"/>
                              <w:noProof/>
                              <w:color w:val="000000"/>
                              <w:sz w:val="20"/>
                              <w:szCs w:val="20"/>
                            </w:rPr>
                          </w:pPr>
                          <w:r w:rsidRPr="00FE6871">
                            <w:rPr>
                              <w:rFonts w:ascii="Arial" w:eastAsia="Arial" w:hAnsi="Arial" w:cs="Arial"/>
                              <w:noProof/>
                              <w:color w:val="000000"/>
                              <w:sz w:val="20"/>
                              <w:szCs w:val="20"/>
                            </w:rPr>
                            <w:t>ECB-UNRESTRICTED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3BD1069" id="_x0000_t202" coordsize="21600,21600" o:spt="202" path="m,l,21600r21600,l21600,xe">
              <v:stroke joinstyle="miter"/>
              <v:path gradientshapeok="t" o:connecttype="rect"/>
            </v:shapetype>
            <v:shape id="Text Box 2" o:spid="_x0000_s1028" type="#_x0000_t202" alt="ECB-UNRESTRICTED"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B3C2148" w14:textId="1CD57B89" w:rsidR="00FE6871" w:rsidRPr="00FE6871" w:rsidRDefault="00FE6871" w:rsidP="00FE6871">
                    <w:pPr>
                      <w:spacing w:after="0"/>
                      <w:rPr>
                        <w:rFonts w:ascii="Arial" w:eastAsia="Arial" w:hAnsi="Arial" w:cs="Arial"/>
                        <w:noProof/>
                        <w:color w:val="000000"/>
                        <w:sz w:val="20"/>
                        <w:szCs w:val="20"/>
                      </w:rPr>
                    </w:pPr>
                    <w:r w:rsidRPr="00FE6871">
                      <w:rPr>
                        <w:rFonts w:ascii="Arial" w:eastAsia="Arial" w:hAnsi="Arial" w:cs="Arial"/>
                        <w:noProof/>
                        <w:color w:val="000000"/>
                        <w:sz w:val="20"/>
                        <w:szCs w:val="20"/>
                      </w:rPr>
                      <w:t>ECB-UNRESTRICTED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A1169"/>
    <w:multiLevelType w:val="multilevel"/>
    <w:tmpl w:val="18DCF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8E6310"/>
    <w:multiLevelType w:val="multilevel"/>
    <w:tmpl w:val="476C6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15312C"/>
    <w:multiLevelType w:val="multilevel"/>
    <w:tmpl w:val="3E746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5058597">
    <w:abstractNumId w:val="2"/>
  </w:num>
  <w:num w:numId="2" w16cid:durableId="1537035882">
    <w:abstractNumId w:val="1"/>
  </w:num>
  <w:num w:numId="3" w16cid:durableId="1955869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042"/>
    <w:rsid w:val="00086FED"/>
    <w:rsid w:val="000A2BD6"/>
    <w:rsid w:val="0011180B"/>
    <w:rsid w:val="00383182"/>
    <w:rsid w:val="003C3D69"/>
    <w:rsid w:val="006D74B8"/>
    <w:rsid w:val="0088097D"/>
    <w:rsid w:val="009C6E45"/>
    <w:rsid w:val="00C32906"/>
    <w:rsid w:val="00C90D86"/>
    <w:rsid w:val="00CD2042"/>
    <w:rsid w:val="00CD56C3"/>
    <w:rsid w:val="00D10056"/>
    <w:rsid w:val="00D211B8"/>
    <w:rsid w:val="00E25774"/>
    <w:rsid w:val="00F84F0D"/>
    <w:rsid w:val="00FD21D1"/>
    <w:rsid w:val="00FE6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58B0"/>
  <w15:chartTrackingRefBased/>
  <w15:docId w15:val="{A91265A4-0826-480A-9E64-527842D3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D20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14:ligatures w14:val="none"/>
    </w:rPr>
  </w:style>
  <w:style w:type="paragraph" w:styleId="Heading2">
    <w:name w:val="heading 2"/>
    <w:basedOn w:val="Normal"/>
    <w:next w:val="Normal"/>
    <w:link w:val="Heading2Char"/>
    <w:uiPriority w:val="9"/>
    <w:semiHidden/>
    <w:unhideWhenUsed/>
    <w:qFormat/>
    <w:rsid w:val="00CD20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5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character" w:customStyle="1" w:styleId="Heading1Char">
    <w:name w:val="Heading 1 Char"/>
    <w:basedOn w:val="DefaultParagraphFont"/>
    <w:link w:val="Heading1"/>
    <w:uiPriority w:val="9"/>
    <w:rsid w:val="00CD2042"/>
    <w:rPr>
      <w:rFonts w:ascii="Times New Roman" w:eastAsia="Times New Roman" w:hAnsi="Times New Roman" w:cs="Times New Roman"/>
      <w:b/>
      <w:bCs/>
      <w:kern w:val="36"/>
      <w:sz w:val="48"/>
      <w:szCs w:val="48"/>
      <w:lang w:eastAsia="en-GB"/>
      <w14:ligatures w14:val="none"/>
    </w:rPr>
  </w:style>
  <w:style w:type="paragraph" w:customStyle="1" w:styleId="ecb-publicationdate">
    <w:name w:val="ecb-publicationdate"/>
    <w:basedOn w:val="Normal"/>
    <w:rsid w:val="00CD204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NormalWeb">
    <w:name w:val="Normal (Web)"/>
    <w:basedOn w:val="Normal"/>
    <w:uiPriority w:val="99"/>
    <w:semiHidden/>
    <w:unhideWhenUsed/>
    <w:rsid w:val="00CD204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cb-footnote-toggle">
    <w:name w:val="ecb-footnote-toggle"/>
    <w:basedOn w:val="DefaultParagraphFont"/>
    <w:rsid w:val="00CD2042"/>
  </w:style>
  <w:style w:type="character" w:styleId="Hyperlink">
    <w:name w:val="Hyperlink"/>
    <w:basedOn w:val="DefaultParagraphFont"/>
    <w:uiPriority w:val="99"/>
    <w:semiHidden/>
    <w:unhideWhenUsed/>
    <w:rsid w:val="00CD2042"/>
    <w:rPr>
      <w:color w:val="0000FF"/>
      <w:u w:val="single"/>
    </w:rPr>
  </w:style>
  <w:style w:type="character" w:customStyle="1" w:styleId="Heading2Char">
    <w:name w:val="Heading 2 Char"/>
    <w:basedOn w:val="DefaultParagraphFont"/>
    <w:link w:val="Heading2"/>
    <w:uiPriority w:val="9"/>
    <w:semiHidden/>
    <w:rsid w:val="00CD2042"/>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CD2042"/>
    <w:rPr>
      <w:color w:val="954F72" w:themeColor="followedHyperlink"/>
      <w:u w:val="single"/>
    </w:rPr>
  </w:style>
  <w:style w:type="paragraph" w:styleId="Header">
    <w:name w:val="header"/>
    <w:basedOn w:val="Normal"/>
    <w:link w:val="HeaderChar"/>
    <w:uiPriority w:val="99"/>
    <w:unhideWhenUsed/>
    <w:rsid w:val="00FE68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14764">
      <w:bodyDiv w:val="1"/>
      <w:marLeft w:val="0"/>
      <w:marRight w:val="0"/>
      <w:marTop w:val="0"/>
      <w:marBottom w:val="0"/>
      <w:divBdr>
        <w:top w:val="none" w:sz="0" w:space="0" w:color="auto"/>
        <w:left w:val="none" w:sz="0" w:space="0" w:color="auto"/>
        <w:bottom w:val="none" w:sz="0" w:space="0" w:color="auto"/>
        <w:right w:val="none" w:sz="0" w:space="0" w:color="auto"/>
      </w:divBdr>
      <w:divsChild>
        <w:div w:id="2075274660">
          <w:marLeft w:val="0"/>
          <w:marRight w:val="0"/>
          <w:marTop w:val="0"/>
          <w:marBottom w:val="525"/>
          <w:divBdr>
            <w:top w:val="none" w:sz="0" w:space="0" w:color="auto"/>
            <w:left w:val="none" w:sz="0" w:space="0" w:color="auto"/>
            <w:bottom w:val="none" w:sz="0" w:space="0" w:color="auto"/>
            <w:right w:val="none" w:sz="0" w:space="0" w:color="auto"/>
          </w:divBdr>
        </w:div>
        <w:div w:id="1814061176">
          <w:marLeft w:val="0"/>
          <w:marRight w:val="0"/>
          <w:marTop w:val="450"/>
          <w:marBottom w:val="0"/>
          <w:divBdr>
            <w:top w:val="none" w:sz="0" w:space="0" w:color="auto"/>
            <w:left w:val="none" w:sz="0" w:space="0" w:color="auto"/>
            <w:bottom w:val="none" w:sz="0" w:space="0" w:color="auto"/>
            <w:right w:val="none" w:sz="0" w:space="0" w:color="auto"/>
          </w:divBdr>
        </w:div>
      </w:divsChild>
    </w:div>
    <w:div w:id="740325215">
      <w:bodyDiv w:val="1"/>
      <w:marLeft w:val="0"/>
      <w:marRight w:val="0"/>
      <w:marTop w:val="0"/>
      <w:marBottom w:val="0"/>
      <w:divBdr>
        <w:top w:val="none" w:sz="0" w:space="0" w:color="auto"/>
        <w:left w:val="none" w:sz="0" w:space="0" w:color="auto"/>
        <w:bottom w:val="none" w:sz="0" w:space="0" w:color="auto"/>
        <w:right w:val="none" w:sz="0" w:space="0" w:color="auto"/>
      </w:divBdr>
    </w:div>
    <w:div w:id="1630435661">
      <w:bodyDiv w:val="1"/>
      <w:marLeft w:val="0"/>
      <w:marRight w:val="0"/>
      <w:marTop w:val="0"/>
      <w:marBottom w:val="0"/>
      <w:divBdr>
        <w:top w:val="none" w:sz="0" w:space="0" w:color="auto"/>
        <w:left w:val="none" w:sz="0" w:space="0" w:color="auto"/>
        <w:bottom w:val="none" w:sz="0" w:space="0" w:color="auto"/>
        <w:right w:val="none" w:sz="0" w:space="0" w:color="auto"/>
      </w:divBdr>
      <w:divsChild>
        <w:div w:id="394201223">
          <w:marLeft w:val="0"/>
          <w:marRight w:val="0"/>
          <w:marTop w:val="0"/>
          <w:marBottom w:val="525"/>
          <w:divBdr>
            <w:top w:val="none" w:sz="0" w:space="0" w:color="auto"/>
            <w:left w:val="none" w:sz="0" w:space="0" w:color="auto"/>
            <w:bottom w:val="none" w:sz="0" w:space="0" w:color="auto"/>
            <w:right w:val="none" w:sz="0" w:space="0" w:color="auto"/>
          </w:divBdr>
        </w:div>
        <w:div w:id="852114392">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d@ecb.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id.ecb.europa.eu/rss/mid_maintenance.x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European Central Bank</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Heckmanns, Nicole</dc:creator>
  <cp:keywords/>
  <dc:description/>
  <cp:lastModifiedBy>Ravula, Pranay (External)</cp:lastModifiedBy>
  <cp:revision>4</cp:revision>
  <dcterms:created xsi:type="dcterms:W3CDTF">2024-08-19T14:06:00Z</dcterms:created>
  <dcterms:modified xsi:type="dcterms:W3CDTF">2024-08-23T16:46:00Z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#000000,10,Arial</vt:lpwstr>
  </property>
  <property fmtid="{D5CDD505-2E9C-101B-9397-08002B2CF9AE}" pid="4" name="ClassificationContentMarkingHeaderText">
    <vt:lpwstr>ECB-UNRESTRICTED</vt:lpwstr>
  </property>
  <property fmtid="{D5CDD505-2E9C-101B-9397-08002B2CF9AE}" pid="5" name="MSIP_Label_a9004f6e-0cb0-4bb2-8c11-22112a056e1d_Enabled">
    <vt:lpwstr>true</vt:lpwstr>
  </property>
  <property fmtid="{D5CDD505-2E9C-101B-9397-08002B2CF9AE}" pid="6" name="MSIP_Label_a9004f6e-0cb0-4bb2-8c11-22112a056e1d_SetDate">
    <vt:lpwstr>2024-06-03T15:46:52Z</vt:lpwstr>
  </property>
  <property fmtid="{D5CDD505-2E9C-101B-9397-08002B2CF9AE}" pid="7" name="MSIP_Label_a9004f6e-0cb0-4bb2-8c11-22112a056e1d_Method">
    <vt:lpwstr>Privileged</vt:lpwstr>
  </property>
  <property fmtid="{D5CDD505-2E9C-101B-9397-08002B2CF9AE}" pid="8" name="MSIP_Label_a9004f6e-0cb0-4bb2-8c11-22112a056e1d_Name">
    <vt:lpwstr>ECB-UNRESTRICTED - Label</vt:lpwstr>
  </property>
  <property fmtid="{D5CDD505-2E9C-101B-9397-08002B2CF9AE}" pid="9" name="MSIP_Label_a9004f6e-0cb0-4bb2-8c11-22112a056e1d_SiteId">
    <vt:lpwstr>b84ee435-4816-49d2-8d92-e740dbda4064</vt:lpwstr>
  </property>
  <property fmtid="{D5CDD505-2E9C-101B-9397-08002B2CF9AE}" pid="10" name="MSIP_Label_a9004f6e-0cb0-4bb2-8c11-22112a056e1d_ActionId">
    <vt:lpwstr>21e28c4b-a963-422b-8699-53bb96e5153f</vt:lpwstr>
  </property>
  <property fmtid="{D5CDD505-2E9C-101B-9397-08002B2CF9AE}" pid="11" name="MSIP_Label_a9004f6e-0cb0-4bb2-8c11-22112a056e1d_ContentBits">
    <vt:lpwstr>1</vt:lpwstr>
  </property>
</Properties>
</file>