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9C0" w:rsidRPr="00D33AFE" w:rsidRDefault="009859C0" w:rsidP="009859C0">
      <w:pPr>
        <w:rPr>
          <w:sz w:val="2"/>
          <w:szCs w:val="2"/>
        </w:rPr>
      </w:pPr>
      <w:bookmarkStart w:id="0" w:name="_GoBack"/>
      <w:bookmarkEnd w:id="0"/>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0" w:type="dxa"/>
          <w:right w:w="60" w:type="dxa"/>
        </w:tblCellMar>
        <w:tblLook w:val="04A0" w:firstRow="1" w:lastRow="0" w:firstColumn="1" w:lastColumn="0" w:noHBand="0" w:noVBand="1"/>
      </w:tblPr>
      <w:tblGrid>
        <w:gridCol w:w="5987"/>
        <w:gridCol w:w="3084"/>
      </w:tblGrid>
      <w:tr w:rsidR="009859C0" w:rsidRPr="00D33AFE" w:rsidTr="00BC55E5">
        <w:trPr>
          <w:jc w:val="center"/>
        </w:trPr>
        <w:tc>
          <w:tcPr>
            <w:tcW w:w="5987" w:type="dxa"/>
            <w:tcBorders>
              <w:top w:val="nil"/>
              <w:left w:val="nil"/>
              <w:bottom w:val="nil"/>
              <w:right w:val="nil"/>
            </w:tcBorders>
            <w:shd w:val="clear" w:color="auto" w:fill="FFFFFF"/>
            <w:tcMar>
              <w:top w:w="60" w:type="dxa"/>
              <w:left w:w="60" w:type="dxa"/>
              <w:bottom w:w="60" w:type="dxa"/>
              <w:right w:w="60" w:type="dxa"/>
            </w:tcMar>
            <w:vAlign w:val="bottom"/>
            <w:hideMark/>
          </w:tcPr>
          <w:p w:rsidR="009859C0" w:rsidRPr="00D33AFE" w:rsidRDefault="009859C0" w:rsidP="00BC55E5">
            <w:pPr>
              <w:spacing w:after="160"/>
              <w:rPr>
                <w:rFonts w:ascii="Arial Narrow" w:hAnsi="Arial Narrow" w:cs="Arial Narrow"/>
                <w:sz w:val="32"/>
                <w:szCs w:val="32"/>
              </w:rPr>
            </w:pPr>
            <w:r w:rsidRPr="00D33AFE">
              <w:rPr>
                <w:rFonts w:ascii="Arial Narrow" w:hAnsi="Arial Narrow"/>
                <w:b/>
                <w:sz w:val="32"/>
              </w:rPr>
              <w:t>Europos Parlamentas</w:t>
            </w:r>
          </w:p>
          <w:p w:rsidR="009859C0" w:rsidRPr="00D33AFE" w:rsidRDefault="009859C0" w:rsidP="00BC55E5">
            <w:pPr>
              <w:rPr>
                <w:rFonts w:ascii="Arial" w:hAnsi="Arial" w:cs="Arial"/>
                <w:sz w:val="20"/>
              </w:rPr>
            </w:pPr>
            <w:r w:rsidRPr="00D33AFE">
              <w:rPr>
                <w:rFonts w:ascii="Arial" w:hAnsi="Arial"/>
                <w:sz w:val="20"/>
              </w:rPr>
              <w:t>2024-2029</w:t>
            </w:r>
          </w:p>
        </w:tc>
        <w:tc>
          <w:tcPr>
            <w:tcW w:w="3084" w:type="dxa"/>
            <w:tcBorders>
              <w:top w:val="nil"/>
              <w:left w:val="nil"/>
              <w:bottom w:val="nil"/>
              <w:right w:val="nil"/>
            </w:tcBorders>
            <w:shd w:val="clear" w:color="auto" w:fill="FFFFFF"/>
            <w:tcMar>
              <w:top w:w="60" w:type="dxa"/>
              <w:left w:w="60" w:type="dxa"/>
              <w:bottom w:w="60" w:type="dxa"/>
              <w:right w:w="60" w:type="dxa"/>
            </w:tcMar>
            <w:vAlign w:val="bottom"/>
            <w:hideMark/>
          </w:tcPr>
          <w:p w:rsidR="009859C0" w:rsidRPr="00D33AFE" w:rsidRDefault="009859C0" w:rsidP="00BC55E5">
            <w:pPr>
              <w:spacing w:line="320" w:lineRule="atLeast"/>
              <w:jc w:val="right"/>
              <w:rPr>
                <w:szCs w:val="24"/>
              </w:rPr>
            </w:pPr>
            <w:r w:rsidRPr="00D33AFE">
              <w:rPr>
                <w:noProof/>
              </w:rPr>
              <w:drawing>
                <wp:inline distT="0" distB="0" distL="0" distR="0" wp14:anchorId="619794C9" wp14:editId="0F33CA59">
                  <wp:extent cx="1119505" cy="6146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9505" cy="614680"/>
                          </a:xfrm>
                          <a:prstGeom prst="rect">
                            <a:avLst/>
                          </a:prstGeom>
                          <a:noFill/>
                          <a:ln>
                            <a:noFill/>
                          </a:ln>
                        </pic:spPr>
                      </pic:pic>
                    </a:graphicData>
                  </a:graphic>
                </wp:inline>
              </w:drawing>
            </w:r>
          </w:p>
        </w:tc>
      </w:tr>
      <w:tr w:rsidR="009859C0" w:rsidRPr="00D33AFE" w:rsidTr="00BC55E5">
        <w:trPr>
          <w:jc w:val="center"/>
        </w:trPr>
        <w:tc>
          <w:tcPr>
            <w:tcW w:w="9071" w:type="dxa"/>
            <w:gridSpan w:val="2"/>
            <w:tcBorders>
              <w:top w:val="nil"/>
              <w:left w:val="nil"/>
              <w:bottom w:val="single" w:sz="4" w:space="0" w:color="000000"/>
              <w:right w:val="nil"/>
            </w:tcBorders>
            <w:shd w:val="clear" w:color="auto" w:fill="FFFFFF"/>
            <w:tcMar>
              <w:top w:w="60" w:type="dxa"/>
              <w:left w:w="60" w:type="dxa"/>
              <w:bottom w:w="60" w:type="dxa"/>
              <w:right w:w="60" w:type="dxa"/>
            </w:tcMar>
          </w:tcPr>
          <w:p w:rsidR="009859C0" w:rsidRPr="00D33AFE" w:rsidRDefault="009859C0" w:rsidP="00BC55E5"/>
        </w:tc>
      </w:tr>
    </w:tbl>
    <w:p w:rsidR="009859C0" w:rsidRPr="00D33AFE" w:rsidRDefault="009859C0" w:rsidP="009859C0">
      <w:pPr>
        <w:rPr>
          <w:rFonts w:ascii="Arial" w:hAnsi="Arial" w:cs="Arial"/>
          <w:sz w:val="20"/>
        </w:rPr>
      </w:pPr>
    </w:p>
    <w:p w:rsidR="009859C0" w:rsidRPr="00D33AFE" w:rsidRDefault="009859C0" w:rsidP="009859C0">
      <w:pPr>
        <w:spacing w:after="120"/>
        <w:jc w:val="center"/>
        <w:rPr>
          <w:rFonts w:ascii="Arial" w:hAnsi="Arial" w:cs="Arial"/>
          <w:sz w:val="22"/>
          <w:szCs w:val="22"/>
        </w:rPr>
      </w:pPr>
      <w:r w:rsidRPr="00D33AFE">
        <w:rPr>
          <w:rFonts w:ascii="Arial" w:hAnsi="Arial"/>
          <w:i/>
          <w:sz w:val="22"/>
        </w:rPr>
        <w:t>Piliečių laisvių, teisingumo ir vidaus reikalų komitetas</w:t>
      </w:r>
    </w:p>
    <w:p w:rsidR="009859C0" w:rsidRPr="00D33AFE" w:rsidRDefault="009859C0" w:rsidP="009859C0">
      <w:pPr>
        <w:rPr>
          <w:rFonts w:ascii="Arial" w:hAnsi="Arial" w:cs="Arial"/>
          <w:sz w:val="22"/>
          <w:szCs w:val="22"/>
        </w:rPr>
      </w:pPr>
    </w:p>
    <w:p w:rsidR="009859C0" w:rsidRPr="00D33AFE" w:rsidRDefault="009859C0" w:rsidP="009859C0">
      <w:pPr>
        <w:spacing w:before="240" w:after="240" w:line="320" w:lineRule="atLeast"/>
        <w:jc w:val="center"/>
        <w:rPr>
          <w:rFonts w:ascii="Arial" w:hAnsi="Arial" w:cs="Arial"/>
          <w:szCs w:val="24"/>
        </w:rPr>
      </w:pPr>
      <w:r w:rsidRPr="00D33AFE">
        <w:rPr>
          <w:noProof/>
        </w:rPr>
        <mc:AlternateContent>
          <mc:Choice Requires="wps">
            <w:drawing>
              <wp:anchor distT="0" distB="0" distL="114300" distR="114300" simplePos="0" relativeHeight="251659264" behindDoc="0" locked="0" layoutInCell="0" allowOverlap="1" wp14:anchorId="50E67E50" wp14:editId="3588B5EE">
                <wp:simplePos x="0" y="0"/>
                <wp:positionH relativeFrom="page">
                  <wp:posOffset>889000</wp:posOffset>
                </wp:positionH>
                <wp:positionV relativeFrom="paragraph">
                  <wp:posOffset>-152400</wp:posOffset>
                </wp:positionV>
                <wp:extent cx="57658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559A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pt,-12pt" to="5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u/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aTad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" o:allowincell="f">
                <w10:wrap anchorx="page"/>
              </v:line>
            </w:pict>
          </mc:Fallback>
        </mc:AlternateContent>
      </w:r>
    </w:p>
    <w:p w:rsidR="009859C0" w:rsidRPr="00D33AFE" w:rsidRDefault="009859C0" w:rsidP="009859C0">
      <w:pPr>
        <w:jc w:val="center"/>
        <w:rPr>
          <w:b/>
        </w:rPr>
      </w:pPr>
      <w:r w:rsidRPr="00D33AFE">
        <w:rPr>
          <w:b/>
        </w:rPr>
        <w:t>Europos duomenų apsaugos priežiūros pareigūno skyrimas 2024–2029 m. kadencijai</w:t>
      </w:r>
    </w:p>
    <w:p w:rsidR="009859C0" w:rsidRPr="00D33AFE" w:rsidRDefault="009859C0" w:rsidP="009859C0">
      <w:pPr>
        <w:jc w:val="center"/>
        <w:rPr>
          <w:b/>
        </w:rPr>
      </w:pPr>
      <w:r w:rsidRPr="00D33AFE">
        <w:rPr>
          <w:b/>
        </w:rPr>
        <w:t>Kandidatų klausymas 2025 m. sausio 16 d. 9.00–10.30 val.</w:t>
      </w:r>
    </w:p>
    <w:p w:rsidR="009859C0" w:rsidRPr="00D33AFE" w:rsidRDefault="009859C0" w:rsidP="009859C0">
      <w:pPr>
        <w:jc w:val="center"/>
        <w:rPr>
          <w:b/>
        </w:rPr>
      </w:pPr>
      <w:r w:rsidRPr="00D33AFE">
        <w:rPr>
          <w:b/>
        </w:rPr>
        <w:t>Europos Parlamente</w:t>
      </w:r>
    </w:p>
    <w:p w:rsidR="009859C0" w:rsidRPr="00D33AFE" w:rsidRDefault="009859C0" w:rsidP="009859C0">
      <w:pPr>
        <w:jc w:val="center"/>
        <w:rPr>
          <w:b/>
        </w:rPr>
      </w:pPr>
      <w:r w:rsidRPr="00D33AFE">
        <w:rPr>
          <w:b/>
        </w:rPr>
        <w:t>Briuselis</w:t>
      </w:r>
    </w:p>
    <w:p w:rsidR="009859C0" w:rsidRPr="00D33AFE" w:rsidRDefault="009859C0" w:rsidP="009859C0"/>
    <w:p w:rsidR="009859C0" w:rsidRPr="00D33AFE" w:rsidRDefault="009859C0" w:rsidP="009859C0"/>
    <w:p w:rsidR="009859C0" w:rsidRPr="00D33AFE" w:rsidRDefault="009859C0" w:rsidP="009859C0">
      <w:pPr>
        <w:jc w:val="center"/>
      </w:pPr>
      <w:r w:rsidRPr="00D33AFE">
        <w:t>Kandidato Bruno GENCARELLI atsakymai</w:t>
      </w:r>
    </w:p>
    <w:p w:rsidR="009859C0" w:rsidRPr="00D33AFE" w:rsidRDefault="009859C0" w:rsidP="009859C0">
      <w:pPr>
        <w:rPr>
          <w:sz w:val="22"/>
          <w:szCs w:val="22"/>
        </w:rPr>
      </w:pPr>
    </w:p>
    <w:p w:rsidR="009859C0" w:rsidRPr="00D33AFE" w:rsidRDefault="009859C0" w:rsidP="009859C0">
      <w:pPr>
        <w:rPr>
          <w:sz w:val="22"/>
          <w:szCs w:val="22"/>
        </w:rPr>
      </w:pPr>
    </w:p>
    <w:p w:rsidR="009859C0" w:rsidRPr="00D33AFE" w:rsidRDefault="009859C0" w:rsidP="009859C0">
      <w:pPr>
        <w:rPr>
          <w:b/>
          <w:sz w:val="22"/>
          <w:szCs w:val="22"/>
        </w:rPr>
      </w:pPr>
      <w:r w:rsidRPr="00D33AFE">
        <w:rPr>
          <w:b/>
          <w:sz w:val="22"/>
        </w:rPr>
        <w:t>1. Prašom nurodyti priežastis, kodėl pateikėte paraišką šioms pareigoms užimti ir kodėl manote, kad esate tinkamas (-a) šioms pareigoms.</w:t>
      </w:r>
    </w:p>
    <w:p w:rsidR="009859C0" w:rsidRPr="00D33AFE" w:rsidRDefault="009859C0" w:rsidP="009859C0">
      <w:pPr>
        <w:rPr>
          <w:sz w:val="22"/>
          <w:szCs w:val="22"/>
        </w:rPr>
      </w:pPr>
    </w:p>
    <w:p w:rsidR="009859C0" w:rsidRPr="00D33AFE" w:rsidRDefault="009859C0" w:rsidP="009859C0">
      <w:pPr>
        <w:spacing w:after="120"/>
        <w:jc w:val="both"/>
        <w:rPr>
          <w:sz w:val="22"/>
          <w:szCs w:val="22"/>
        </w:rPr>
      </w:pPr>
      <w:r w:rsidRPr="00D33AFE">
        <w:rPr>
          <w:sz w:val="22"/>
        </w:rPr>
        <w:t xml:space="preserve">Privatumo svarbą pirmą kartą suvokiau skaitydamas Milano Kunderos citatą, kurioje teigiama, kad </w:t>
      </w:r>
      <w:bookmarkStart w:id="1" w:name="_Hlk184554955"/>
      <w:r w:rsidRPr="00D33AFE">
        <w:rPr>
          <w:sz w:val="22"/>
        </w:rPr>
        <w:t xml:space="preserve">privatus ir viešas gyvenimas yra du iš esmės skirtingi pasauliai ir norint, kad žmogus galėtų laisvai gyventi, būtina sąlyga – </w:t>
      </w:r>
      <w:r w:rsidRPr="00D33AFE">
        <w:rPr>
          <w:i/>
          <w:iCs/>
          <w:sz w:val="22"/>
        </w:rPr>
        <w:t>sine qua non</w:t>
      </w:r>
      <w:r w:rsidRPr="00D33AFE">
        <w:rPr>
          <w:sz w:val="22"/>
        </w:rPr>
        <w:t xml:space="preserve"> – yra paisyti šio atskyrimo</w:t>
      </w:r>
      <w:bookmarkEnd w:id="1"/>
      <w:r w:rsidRPr="00D33AFE">
        <w:rPr>
          <w:sz w:val="22"/>
        </w:rPr>
        <w:t xml:space="preserve">. Tuo metu buvau studentas ir skaitmeninė revoliucija buvo tik prasidėjusi, tačiau šių žodžių niekada nepamiršau. Šiandien, neįtikėtinai sparčiai besivystant skaitmeniniam pasauliui ir susiklosčius sudėtingai geopolitinei aplinkai, kai autoritariniai režimai vis dažniau kvestionuoja demokratines normas, esama dar didesnės būtinybės parodyti, kad Europa gali pasinaudoti technologinių inovacijų teikiamomis galimybėmis nepakenkdama savo pagrindinėms vertybėms. Patardamas teisėkūros institucijoms ir Komisijai, prižiūrėdamas, kaip Europos institucijos, organai, įstaigos ir agentūros laikosi reikalavimų, skatindamas užtikrinti nuoseklią asmens duomenų apsaugą visame ES skaitmeninio sektoriaus taisyklių sąvade, </w:t>
      </w:r>
      <w:r w:rsidRPr="00D33AFE">
        <w:rPr>
          <w:b/>
          <w:bCs/>
          <w:sz w:val="22"/>
        </w:rPr>
        <w:t>Europos duomenų apsaugos priežiūros pareigūnas gali svariai ir konkrečiai prisidėti prie to, kad vykstant skaitmeninei pertvarkai būtų išlaikytas šis į žmogų orientuotas požiūris</w:t>
      </w:r>
      <w:r w:rsidRPr="00D33AFE">
        <w:rPr>
          <w:sz w:val="22"/>
        </w:rPr>
        <w:t xml:space="preserve">. Tai yra </w:t>
      </w:r>
      <w:r w:rsidRPr="00D33AFE">
        <w:rPr>
          <w:b/>
          <w:bCs/>
          <w:sz w:val="22"/>
        </w:rPr>
        <w:t>pagrindinis mano motyvacijos aspektas</w:t>
      </w:r>
      <w:r w:rsidRPr="00D33AFE">
        <w:rPr>
          <w:sz w:val="22"/>
        </w:rPr>
        <w:t>, skatinantis mane kandidatuoti į šias pareigas.</w:t>
      </w:r>
    </w:p>
    <w:p w:rsidR="009859C0" w:rsidRPr="00D33AFE" w:rsidRDefault="009859C0" w:rsidP="009859C0">
      <w:pPr>
        <w:spacing w:after="120"/>
        <w:jc w:val="both"/>
        <w:rPr>
          <w:sz w:val="22"/>
          <w:szCs w:val="22"/>
        </w:rPr>
      </w:pPr>
      <w:r w:rsidRPr="00D33AFE">
        <w:rPr>
          <w:sz w:val="22"/>
        </w:rPr>
        <w:t xml:space="preserve">Manau, kad 20 metų patirties dirbant ES teisės kūrimo, derybų, aiškinimo ir vykdymo užtikrinimo srityje, įskaitant </w:t>
      </w:r>
      <w:r w:rsidRPr="00D33AFE">
        <w:rPr>
          <w:b/>
          <w:bCs/>
          <w:sz w:val="22"/>
        </w:rPr>
        <w:t>12 metų patirties einant vadovaujamas pareigas duomenų apsaugos srityje</w:t>
      </w:r>
      <w:r w:rsidRPr="00D33AFE">
        <w:rPr>
          <w:sz w:val="22"/>
        </w:rPr>
        <w:t>, suteikė man reikalingų įgūdžių ir ekspertinių žinių, kad galėčiau vadovautų EDAPP institucijai, ir padėjo suprasti, su kokiais iššūkiais susiduria ši institucija ir kokius sprendimus ji gali pasiūlyti. Mano gyvenimo aprašyme pateikta išsami informacija, bet norėčiau atkreipti dėmesį į kai kuriuos savo karjeros aspektus, kurie man ypač padėjo pasirengti eiti šias pareigas.</w:t>
      </w:r>
    </w:p>
    <w:p w:rsidR="009859C0" w:rsidRPr="00D33AFE" w:rsidRDefault="009859C0" w:rsidP="009859C0">
      <w:pPr>
        <w:spacing w:after="120"/>
        <w:jc w:val="both"/>
        <w:rPr>
          <w:sz w:val="22"/>
          <w:szCs w:val="22"/>
        </w:rPr>
      </w:pPr>
      <w:r w:rsidRPr="00D33AFE">
        <w:rPr>
          <w:sz w:val="22"/>
        </w:rPr>
        <w:t xml:space="preserve">Pirma, mano įvairi profesinė patirtis, įskaitant 6 metų darbo Teisingumo Teisme patirtį, glaudų bendradarbiavimą su ES ir užsienio duomenų apsaugos institucijomis, siekiant sustiprinti jų įgaliojimus ir skatinti teisinės valstybės reformas šalyse kandidatėse, padėjo man suprasti </w:t>
      </w:r>
      <w:r w:rsidRPr="00D33AFE">
        <w:rPr>
          <w:b/>
          <w:bCs/>
          <w:sz w:val="22"/>
        </w:rPr>
        <w:t>esminę nepriklausomų priežiūros institucijų, kaip veiksmingos stabdžių ir atsvarų sistemos dalies, svarbą</w:t>
      </w:r>
      <w:r w:rsidRPr="00D33AFE">
        <w:rPr>
          <w:sz w:val="22"/>
        </w:rPr>
        <w:t>. Manau, kad ši patirtis padės man skatinti, ginti ir stiprinti EDAPP vaidmenį.</w:t>
      </w:r>
    </w:p>
    <w:p w:rsidR="009859C0" w:rsidRPr="00D33AFE" w:rsidRDefault="009859C0" w:rsidP="009859C0">
      <w:pPr>
        <w:spacing w:after="120"/>
        <w:jc w:val="both"/>
        <w:rPr>
          <w:sz w:val="22"/>
          <w:szCs w:val="22"/>
        </w:rPr>
      </w:pPr>
      <w:r w:rsidRPr="00D33AFE">
        <w:rPr>
          <w:sz w:val="22"/>
        </w:rPr>
        <w:t xml:space="preserve">Antra, eidamas skirtingas pareigas Europos Komisijoje, vadovavau grupėms, atsakingoms už visų pagrindinių pastarojo dešimtmečio ES duomenų apsaugos teisės aktų (visų pirma BDAR ir Teisėsaugos direktyvos) rengimą, derybas su teisėkūros institucijomis ir šių aktų įgyvendinimo priežiūrą. Tas pats pasakytina apie tarptautinius susitarimus ir susitarimus dėl privatumo ir duomenų srautų (pvz., ES vardu </w:t>
      </w:r>
      <w:r w:rsidRPr="00D33AFE">
        <w:rPr>
          <w:sz w:val="22"/>
        </w:rPr>
        <w:lastRenderedPageBreak/>
        <w:t xml:space="preserve">derantis dėl modernizuotos Europos Tarybos 108-osios konvencijos, sukuriant didžiausią pasaulyje saugių ir laisvų duomenų srautų erdvę su Japonija, plėtojant ES ir JAV duomenų privatumo sistemą). Visa tai man padėjo </w:t>
      </w:r>
      <w:r w:rsidRPr="00D33AFE">
        <w:rPr>
          <w:b/>
          <w:bCs/>
          <w:sz w:val="22"/>
        </w:rPr>
        <w:t>itin gerai suprasti duomenų apsaugos teisės aktus ne tik teoriniu, bet ir praktiniu aspektais</w:t>
      </w:r>
      <w:r w:rsidRPr="00D33AFE">
        <w:rPr>
          <w:sz w:val="22"/>
        </w:rPr>
        <w:t>, įskaitant iššūkius, kylančius siekiant užtikrinti, kad šių aktų būtų laikomasi, valdymo sistemą (pvz., dalyvaujant Europos duomenų apsaugos valdybos darbe) ir sąveiką su kitomis politikos kryptimis ir reguliavimo sritimis (nuo sveikatos iki saugumo ar prekybos). Įgyta patirtis taip pat padėjo man aiškiai suvokti, kas pasiekta ir kokiose srityse reikėtų nuveikti daugiau ir dėti didesnes pastangas.</w:t>
      </w:r>
    </w:p>
    <w:p w:rsidR="009859C0" w:rsidRPr="00D33AFE" w:rsidRDefault="009859C0" w:rsidP="009859C0">
      <w:pPr>
        <w:spacing w:after="120"/>
        <w:jc w:val="both"/>
        <w:rPr>
          <w:sz w:val="22"/>
          <w:szCs w:val="22"/>
        </w:rPr>
      </w:pPr>
      <w:r w:rsidRPr="00D33AFE">
        <w:rPr>
          <w:sz w:val="22"/>
        </w:rPr>
        <w:t xml:space="preserve">Trečia, dar vienas pagrindinis mano karjeros aspektas buvo </w:t>
      </w:r>
      <w:r w:rsidRPr="00D33AFE">
        <w:rPr>
          <w:b/>
          <w:bCs/>
          <w:sz w:val="22"/>
        </w:rPr>
        <w:t>remti atitikties užtikrinimą ir imtis vykdymo užtikrinimo veiksmų</w:t>
      </w:r>
      <w:r w:rsidRPr="00D33AFE">
        <w:rPr>
          <w:sz w:val="22"/>
        </w:rPr>
        <w:t>. Ši patirtis apima mano darbą konkurencijos teisės srityje ir mano pareigas duomenų apsaugos srityje, susijusias su pagalba valstybėms narėms ir ES institucijoms, organams, įstaigoms ir agentūroms įgyvendinant naujus teisės aktus, vykdant pažeidimo nagrinėjimo procedūras (įskaitant nacionalinių duomenų apsaugos institucijų nepriklausomumo gynimą) ir rengiant atitikties užtikrinimo priemones (gaires, standartines sutarčių sąlygas, pavyzdinius administracinius susitarimus ir kt.), skirtas privatiems veiklos vykdytojams ir viešosioms įstaigoms.</w:t>
      </w:r>
    </w:p>
    <w:p w:rsidR="009859C0" w:rsidRPr="00D33AFE" w:rsidRDefault="009859C0" w:rsidP="009859C0">
      <w:pPr>
        <w:spacing w:after="120"/>
        <w:jc w:val="both"/>
        <w:rPr>
          <w:sz w:val="22"/>
          <w:szCs w:val="22"/>
        </w:rPr>
      </w:pPr>
      <w:r w:rsidRPr="00D33AFE">
        <w:rPr>
          <w:sz w:val="22"/>
        </w:rPr>
        <w:t xml:space="preserve">Ketvirta, </w:t>
      </w:r>
      <w:r w:rsidRPr="00D33AFE">
        <w:rPr>
          <w:b/>
          <w:bCs/>
          <w:sz w:val="22"/>
        </w:rPr>
        <w:t>konstruktyvus bendradarbiavimas su visais atitinkamais instituciniais subjektais ir suinteresuotaisiais subjektais ES, nacionaliniu ir tarptautiniu lygmenimis</w:t>
      </w:r>
      <w:r w:rsidRPr="00D33AFE">
        <w:rPr>
          <w:sz w:val="22"/>
        </w:rPr>
        <w:t xml:space="preserve"> visada buvo mano darbo prioritetas. Tai apima dalyvavimą daugelyje klausymų ir (arba) posėdžių Europos Parlamente, taip pat valstybių narių ir trečiųjų valstybių teisėkūros asamblėjose. Mano gebėjimą užmegzti ryšius su įvairiais partneriais ir kurti sąsajas tarp jų neseniai pripažino Pasaulinė privatumo asamblėja (tarptautiniu lygmeniu privatumo apsaugos institucijas vienijanti organizacija), kuri man skyrė Giovanni Buttarelli vardo apdovanojimą (2024 m.). Šis metinis apdovanojimas skiriamas pripažįstant asmens lyderystę privatumo srityje ir indėlį skatinant tarpvalstybinį bendradarbiavimą.</w:t>
      </w:r>
    </w:p>
    <w:p w:rsidR="009859C0" w:rsidRPr="00D33AFE" w:rsidRDefault="009859C0" w:rsidP="009859C0">
      <w:pPr>
        <w:jc w:val="both"/>
        <w:rPr>
          <w:sz w:val="22"/>
          <w:szCs w:val="22"/>
        </w:rPr>
      </w:pPr>
      <w:r w:rsidRPr="00D33AFE">
        <w:rPr>
          <w:sz w:val="22"/>
        </w:rPr>
        <w:t xml:space="preserve">Galiausiai, skirtingais savo karjeros etapais </w:t>
      </w:r>
      <w:r w:rsidRPr="00D33AFE">
        <w:rPr>
          <w:b/>
          <w:bCs/>
          <w:sz w:val="22"/>
        </w:rPr>
        <w:t>vadovavau komandoms pokyčių laikotarpiais,</w:t>
      </w:r>
      <w:r w:rsidRPr="00D33AFE">
        <w:rPr>
          <w:sz w:val="22"/>
        </w:rPr>
        <w:t xml:space="preserve"> kai jos buvo naujai sukurtos, atsakingos už projektus, apimančius skirtingas politikos ar teisines sritis, arba turėjo parengti naujas strategijas. Manau, kad tokio pobūdžio patirtis, kai reikia suburti žmones, kad vizija virstų konkrečiais veiksmais sparčiai kintančioje aplinkoje, būtų ypač naudinga EDAPP institucijai vykdant naujas užduotis ir veikiant platesnėje skaitmeninio sektoriaus valdymo sistemoje.</w:t>
      </w:r>
    </w:p>
    <w:p w:rsidR="009859C0" w:rsidRPr="00D33AFE" w:rsidRDefault="009859C0" w:rsidP="009859C0">
      <w:pPr>
        <w:rPr>
          <w:sz w:val="22"/>
          <w:szCs w:val="22"/>
        </w:rPr>
      </w:pPr>
    </w:p>
    <w:p w:rsidR="009859C0" w:rsidRPr="00D33AFE" w:rsidRDefault="009859C0" w:rsidP="009859C0">
      <w:pPr>
        <w:rPr>
          <w:sz w:val="22"/>
          <w:szCs w:val="22"/>
        </w:rPr>
      </w:pPr>
    </w:p>
    <w:p w:rsidR="009859C0" w:rsidRPr="00D33AFE" w:rsidRDefault="009859C0" w:rsidP="009859C0">
      <w:pPr>
        <w:rPr>
          <w:b/>
          <w:sz w:val="22"/>
          <w:szCs w:val="22"/>
        </w:rPr>
      </w:pPr>
      <w:r w:rsidRPr="00D33AFE">
        <w:rPr>
          <w:b/>
          <w:sz w:val="22"/>
        </w:rPr>
        <w:t>2. Kaip ketinate atlikti Europos duomenų apsaugos priežiūros pareigūnui teisiškai priskirtą vaidmenį?</w:t>
      </w:r>
    </w:p>
    <w:p w:rsidR="009859C0" w:rsidRPr="00D33AFE" w:rsidRDefault="009859C0" w:rsidP="009859C0">
      <w:pPr>
        <w:rPr>
          <w:sz w:val="22"/>
          <w:szCs w:val="22"/>
        </w:rPr>
      </w:pPr>
    </w:p>
    <w:p w:rsidR="009859C0" w:rsidRPr="00D33AFE" w:rsidRDefault="009859C0" w:rsidP="009859C0">
      <w:pPr>
        <w:spacing w:after="120"/>
        <w:jc w:val="both"/>
        <w:rPr>
          <w:sz w:val="22"/>
          <w:szCs w:val="22"/>
        </w:rPr>
      </w:pPr>
      <w:r w:rsidRPr="00D33AFE">
        <w:rPr>
          <w:sz w:val="22"/>
        </w:rPr>
        <w:t xml:space="preserve">Jei būčiau paskirtas eiti duomenų apsaugos priežiūros pareigūno pareigas, savo įgaliojimus vykdyčiau </w:t>
      </w:r>
      <w:r w:rsidRPr="00D33AFE">
        <w:rPr>
          <w:b/>
          <w:bCs/>
          <w:sz w:val="22"/>
        </w:rPr>
        <w:t>visapusiškai laikydamasis Reglamento (ES) 2018/1725 ir apskritai ES teisės, kaip ją yra išaiškinęs Teisingumo Teismas, nuostatų ir principų, o EDAPP darbe daugiausia dėmesio skirčiau asmenų teisėms ir interesams</w:t>
      </w:r>
      <w:r w:rsidRPr="00D33AFE">
        <w:rPr>
          <w:sz w:val="22"/>
        </w:rPr>
        <w:t>. To paisydamas ir remdamasis savo pirmtakų darbu, vadovaučiau institucijai laikydamasis šių pagrindinių principų:</w:t>
      </w:r>
    </w:p>
    <w:p w:rsidR="009859C0" w:rsidRPr="00D33AFE" w:rsidRDefault="009859C0" w:rsidP="009859C0">
      <w:pPr>
        <w:spacing w:after="120"/>
        <w:jc w:val="both"/>
        <w:rPr>
          <w:sz w:val="22"/>
          <w:szCs w:val="22"/>
        </w:rPr>
      </w:pPr>
      <w:r w:rsidRPr="00D33AFE">
        <w:rPr>
          <w:b/>
          <w:bCs/>
          <w:sz w:val="22"/>
        </w:rPr>
        <w:t>Veikti visiškai nepriklausomai ir nešališkai.</w:t>
      </w:r>
      <w:r w:rsidRPr="00D33AFE">
        <w:rPr>
          <w:sz w:val="22"/>
        </w:rPr>
        <w:t xml:space="preserve"> Tai ne tik pagrindinis teisinis reikalavimas, kurio esu tvirtai pasiryžęs laikytis, bet ir esminė EDAPP darbo teisėtumo, patikimumo ir veiksmingumo sąlyga. Šis principas reglamentuotų visus mano, kaip duomenų apsaugos priežiūros pareigūno, vaidmens aspektus: nuo atvejų nagrinėjimo be jokio šališkumo ar išankstinių nuostatų iki užtikrinimo, kad įvairioms EDAPP institucijos funkcijoms būtų skiriami tinkami finansiniai ir žmogiškieji ištekliai, arba prireikus pasirengimo nedvejojant naudotis vykdymo užtikrinimo įgaliojimais. Tokiu principu taip pat būtų grindžiami mano vieši pareiškimai ir bendradarbiavimas, nes esu tvirtai įsitikinęs, kad duomenų apsaugos priežiūros institucijos vadovas, remiantis žinomu posakiu, </w:t>
      </w:r>
      <w:r w:rsidRPr="00D33AFE">
        <w:rPr>
          <w:b/>
          <w:bCs/>
          <w:sz w:val="22"/>
        </w:rPr>
        <w:t>ne tik turi būti nepriklausomas, bet ir turi būti matoma, kad jis yra nepriklausomas</w:t>
      </w:r>
      <w:r w:rsidRPr="00D33AFE">
        <w:rPr>
          <w:sz w:val="22"/>
        </w:rPr>
        <w:t>.</w:t>
      </w:r>
    </w:p>
    <w:p w:rsidR="009859C0" w:rsidRPr="00D33AFE" w:rsidRDefault="009859C0" w:rsidP="009859C0">
      <w:pPr>
        <w:spacing w:after="120"/>
        <w:jc w:val="both"/>
        <w:rPr>
          <w:sz w:val="22"/>
          <w:szCs w:val="22"/>
        </w:rPr>
      </w:pPr>
      <w:r w:rsidRPr="00D33AFE">
        <w:rPr>
          <w:b/>
          <w:bCs/>
          <w:sz w:val="22"/>
        </w:rPr>
        <w:t>Skatinti bendradarbiavimą ir įtraukumą, kalbant apie kolegas institucijoje ir išorės partnerius</w:t>
      </w:r>
      <w:r w:rsidRPr="00D33AFE">
        <w:rPr>
          <w:sz w:val="22"/>
        </w:rPr>
        <w:t xml:space="preserve">. Daugiadalykėje ir sparčiai kintančioje privatumo srityje, kur susipina teisės, technologijų ir etikos aspektai, itin svarbus vaidmuo tenka </w:t>
      </w:r>
      <w:r w:rsidRPr="00D33AFE">
        <w:rPr>
          <w:b/>
          <w:bCs/>
          <w:sz w:val="22"/>
        </w:rPr>
        <w:t>išklausymui, mokymuisi ir sąveikai</w:t>
      </w:r>
      <w:r w:rsidRPr="00D33AFE">
        <w:rPr>
          <w:sz w:val="22"/>
        </w:rPr>
        <w:t xml:space="preserve">. Šiuo principu vadovaučiausi kaip teisėkūros institucijų ir Komisijos patarėjas viso teisėkūros proceso metu, kad į duomenų apsaugos reikalavimus ir aspektus būtų galima atsižvelgti kuo ankstesniu etapu. Šiuo tikslu, jei būčiau paskirtas, </w:t>
      </w:r>
      <w:r w:rsidRPr="00D33AFE">
        <w:rPr>
          <w:sz w:val="22"/>
        </w:rPr>
        <w:lastRenderedPageBreak/>
        <w:t xml:space="preserve">per pirmąsias savo kadencijos savaites kreipčiausi į Parlamentą, Tarybą ir Komisiją, kad, remiantis iki šiol įgyta patirtimi, būtų ieškoma būdų, kaip užtikrinti, kad </w:t>
      </w:r>
      <w:r w:rsidRPr="00D33AFE">
        <w:rPr>
          <w:b/>
          <w:bCs/>
          <w:sz w:val="22"/>
        </w:rPr>
        <w:t>tokia konsultacinė parama būtų kuo veiksmingesnė</w:t>
      </w:r>
      <w:r w:rsidRPr="00D33AFE">
        <w:rPr>
          <w:sz w:val="22"/>
        </w:rPr>
        <w:t xml:space="preserve"> laiko, metodų ar dėmesio sutelkimo į prioritetus aspektais. Taip pat laikyčiausi tokio </w:t>
      </w:r>
      <w:r w:rsidRPr="00D33AFE">
        <w:rPr>
          <w:b/>
          <w:bCs/>
          <w:sz w:val="22"/>
        </w:rPr>
        <w:t>proaktyvaus įsitraukimo principo bendradarbiaudamas su kitomis duomenų apsaugos institucijomis ir skaitmeninio sektoriaus reguliavimo institucijomis</w:t>
      </w:r>
      <w:r w:rsidRPr="00D33AFE">
        <w:rPr>
          <w:sz w:val="22"/>
        </w:rPr>
        <w:t xml:space="preserve">, kad būtų galima ankstyvu etapu dalytis informacija, žiniomis ir patirtimi sprendžiant panašius klausimus ir taip kuo labiau išvengti prieštaringų rezultatų. Kalbant apie EDAPP priežiūros funkcijas, manau, kad </w:t>
      </w:r>
      <w:r w:rsidRPr="00D33AFE">
        <w:rPr>
          <w:b/>
          <w:bCs/>
          <w:sz w:val="22"/>
        </w:rPr>
        <w:t>užduodami tinkami klausimai</w:t>
      </w:r>
      <w:r w:rsidRPr="00D33AFE">
        <w:rPr>
          <w:sz w:val="22"/>
        </w:rPr>
        <w:t xml:space="preserve"> ne tik padeda geriau suprasti ES institucijų, organų, įstaigų ir agentūrų reikmes užtikrinant atitiktį reikalavimams, bet ir užkirsti kelią galimiems privatumo taisyklių pažeidimams arba su jais kovoti, be kita ko, imantis vykdymo užtikrinimo veiksmų. Be to, manau, kad reguliarus keitimasis nuomonėmis su mokslo bendruomene, akademine bendruomene, pilietine visuomene ir verslo atstovais besiformuojančių technologinių ir komercinių tendencijų temomis būtų labai svarbus siekiant užtikrinti, kad </w:t>
      </w:r>
      <w:r w:rsidRPr="00D33AFE">
        <w:rPr>
          <w:b/>
          <w:bCs/>
          <w:sz w:val="22"/>
        </w:rPr>
        <w:t>EDAPP institucija būtų nuolat informuota apie atitinkamus pokyčius</w:t>
      </w:r>
      <w:r w:rsidRPr="00D33AFE">
        <w:rPr>
          <w:sz w:val="22"/>
        </w:rPr>
        <w:t xml:space="preserve">, susijusius tiek su jų galimu poveikiu privatumui, tiek su sprendimais, kuriais siekiama sumažinti galimą riziką. Taip pat skatinčiau </w:t>
      </w:r>
      <w:r w:rsidRPr="00D33AFE">
        <w:rPr>
          <w:b/>
          <w:bCs/>
          <w:sz w:val="22"/>
        </w:rPr>
        <w:t>kolegų diskusijas ir keitimąsi nuomonėmis institucijos lygmeniu</w:t>
      </w:r>
      <w:r w:rsidRPr="00D33AFE">
        <w:rPr>
          <w:sz w:val="22"/>
        </w:rPr>
        <w:t xml:space="preserve">. Galiausiai užtikrinčiau, kad EDAPP institucija visada daug dėmesio skirtų </w:t>
      </w:r>
      <w:r w:rsidRPr="00D33AFE">
        <w:rPr>
          <w:b/>
          <w:bCs/>
          <w:sz w:val="22"/>
        </w:rPr>
        <w:t>bendradarbiavimui su piliečiais</w:t>
      </w:r>
      <w:r w:rsidRPr="00D33AFE">
        <w:rPr>
          <w:sz w:val="22"/>
        </w:rPr>
        <w:t>, teikdama prieinamą informaciją, organizuodama teminius piliečių dialogus ar greitai nagrinėdama skundus, ir informuotų apie įvairių savo užduočių vykdymo rezultatus.</w:t>
      </w:r>
    </w:p>
    <w:p w:rsidR="009859C0" w:rsidRPr="00D33AFE" w:rsidRDefault="009859C0" w:rsidP="009859C0">
      <w:pPr>
        <w:jc w:val="both"/>
        <w:rPr>
          <w:sz w:val="22"/>
          <w:szCs w:val="22"/>
        </w:rPr>
      </w:pPr>
      <w:r w:rsidRPr="00D33AFE">
        <w:rPr>
          <w:b/>
          <w:bCs/>
          <w:sz w:val="22"/>
        </w:rPr>
        <w:t>Toliau plėtoti konkretų ir į sprendimus orientuotą požiūrį</w:t>
      </w:r>
      <w:r w:rsidRPr="00D33AFE">
        <w:rPr>
          <w:sz w:val="22"/>
        </w:rPr>
        <w:t xml:space="preserve">. Mano nuomone, pagrindinis sėkmingos duomenų apsaugos institucijos veiklos rodiklis yra tai, kokiu mastu suinteresuotieji subjektai išplėtojo atitikties reikalavimams kultūrą. Todėl didelė mano dėmesio dalis būtų skirta tokioms pastangoms remti atsižvelgiant į skirtingus EDAPP vaidmenis. Todėl daugiau dėmesio būtų skiriama nuomonėms, teikiamoms teisėkūros institucijoms ir Komisijai, arba ES institucijoms, organams, įstaigoms ir agentūroms skirtoms gairėms dėl svarbiausių aspektų, kai įmanoma, įtraukiant </w:t>
      </w:r>
      <w:r w:rsidRPr="00D33AFE">
        <w:rPr>
          <w:b/>
          <w:bCs/>
          <w:sz w:val="22"/>
        </w:rPr>
        <w:t>konkrečius pasiūlymus ir gerosios praktikos pavyzdžius</w:t>
      </w:r>
      <w:r w:rsidRPr="00D33AFE">
        <w:rPr>
          <w:sz w:val="22"/>
        </w:rPr>
        <w:t xml:space="preserve">. Taip pat bandyčiau visapusiškai pasinaudoti teisės aktų leidėjo suteiktomis galimybėmis, kad veikdamas kaip EDAPP arba Europos duomenų apsaugos valdybos sistemoje galėčiau įdiegti </w:t>
      </w:r>
      <w:r w:rsidRPr="00D33AFE">
        <w:rPr>
          <w:b/>
          <w:bCs/>
          <w:sz w:val="22"/>
        </w:rPr>
        <w:t>atitikties užtikrinimo mechanizmus ir priemones</w:t>
      </w:r>
      <w:r w:rsidRPr="00D33AFE">
        <w:rPr>
          <w:sz w:val="22"/>
        </w:rPr>
        <w:t xml:space="preserve"> (pavyzdines nuostatas, elgesio kodeksus, sertifikavimo schemas, apribotą bandomąją reglamentavimo aplinką ir kt.) ir tai darydamas užtikrinti, kad būtų laikomasi naudotojams patogaus požiūrio, grindžiamo klausimais ir atsakymais, šablonais, priemonių rinkiniais ir kitais formatais, kurie, kaip paaiškėjo, yra ypač veiksmingi. Esu įsitikinęs, kad galiausiai vienas iš veiksmingiausių būdų tarnauti asmenų interesams – padėti duomenis tvarkantiems subjektams tinkamai laikytis privatumo taisyklių. </w:t>
      </w:r>
    </w:p>
    <w:p w:rsidR="009859C0" w:rsidRPr="00D33AFE" w:rsidRDefault="009859C0" w:rsidP="009859C0">
      <w:pPr>
        <w:jc w:val="both"/>
        <w:rPr>
          <w:sz w:val="22"/>
          <w:szCs w:val="22"/>
        </w:rPr>
      </w:pPr>
    </w:p>
    <w:p w:rsidR="009859C0" w:rsidRPr="00D33AFE" w:rsidRDefault="009859C0" w:rsidP="009859C0">
      <w:pPr>
        <w:jc w:val="both"/>
        <w:rPr>
          <w:sz w:val="22"/>
          <w:szCs w:val="22"/>
        </w:rPr>
      </w:pPr>
    </w:p>
    <w:p w:rsidR="009859C0" w:rsidRPr="00D33AFE" w:rsidRDefault="009859C0" w:rsidP="009859C0">
      <w:pPr>
        <w:rPr>
          <w:b/>
          <w:sz w:val="22"/>
          <w:szCs w:val="22"/>
        </w:rPr>
      </w:pPr>
      <w:r w:rsidRPr="00D33AFE">
        <w:rPr>
          <w:b/>
          <w:sz w:val="22"/>
        </w:rPr>
        <w:t>3. Prašom apibūdinti, kokią ateities viziją esate numatęs institucijai, kuriai vadovautumėte kaip Europos duomenų apsaugos priežiūros pareigūnas, įskaitant galimus iššūkius, kuriuos numatote, ir Jūsų šiai nepriklausomai institucijai keliamus prioritetus?</w:t>
      </w:r>
    </w:p>
    <w:p w:rsidR="009859C0" w:rsidRPr="00D33AFE" w:rsidRDefault="009859C0" w:rsidP="009859C0">
      <w:pPr>
        <w:rPr>
          <w:sz w:val="22"/>
          <w:szCs w:val="22"/>
        </w:rPr>
      </w:pPr>
    </w:p>
    <w:p w:rsidR="009859C0" w:rsidRPr="00D33AFE" w:rsidRDefault="009859C0" w:rsidP="009859C0">
      <w:pPr>
        <w:spacing w:after="120"/>
        <w:jc w:val="both"/>
        <w:rPr>
          <w:sz w:val="22"/>
          <w:szCs w:val="22"/>
        </w:rPr>
      </w:pPr>
      <w:r w:rsidRPr="00D33AFE">
        <w:rPr>
          <w:sz w:val="22"/>
        </w:rPr>
        <w:t xml:space="preserve">Jei būčiau paskirtas, vadovaučiau šiai institucijai remdamasis vizija, pagal kurią ES pagrindinės teisės ir vertybės būtų ne siektini pažadai, o teiktų </w:t>
      </w:r>
      <w:r w:rsidRPr="00D33AFE">
        <w:rPr>
          <w:b/>
          <w:bCs/>
          <w:sz w:val="22"/>
        </w:rPr>
        <w:t>veiksmingą apsaugą bei naudą ir sudarytų sąlygas laikytis į žmogų orientuoto požiūrio vykstant technologinei pažangai</w:t>
      </w:r>
      <w:r w:rsidRPr="00D33AFE">
        <w:rPr>
          <w:sz w:val="22"/>
        </w:rPr>
        <w:t xml:space="preserve">. Kaip duomenų apsaugos priežiūros pareigūnas siekčiau užtikrinti, kad </w:t>
      </w:r>
      <w:r w:rsidRPr="00D33AFE">
        <w:rPr>
          <w:b/>
          <w:bCs/>
          <w:sz w:val="22"/>
        </w:rPr>
        <w:t>EDAPP institucija, atlikdama įvairias savo funkcijas ir veikdama sparčiai kintančioje aplinkoje, konkrečiai įgyvendintų šią viziją</w:t>
      </w:r>
      <w:r w:rsidRPr="00D33AFE">
        <w:rPr>
          <w:sz w:val="22"/>
        </w:rPr>
        <w:t xml:space="preserve">. </w:t>
      </w:r>
    </w:p>
    <w:p w:rsidR="009859C0" w:rsidRPr="00D33AFE" w:rsidRDefault="009859C0" w:rsidP="009859C0">
      <w:pPr>
        <w:spacing w:after="120"/>
        <w:jc w:val="both"/>
        <w:rPr>
          <w:sz w:val="22"/>
          <w:szCs w:val="22"/>
        </w:rPr>
      </w:pPr>
      <w:r w:rsidRPr="00D33AFE">
        <w:rPr>
          <w:sz w:val="22"/>
        </w:rPr>
        <w:t xml:space="preserve">Artimiausiais metais palaipsniui pradedant taikyti įvairius skaitmeninio sektoriaus aktus EDAPP kompetencija ir įgaliojimai bus išplėsti didžiausiu mastu nuo pat šios institucijos įsteigimo momento prieš 20 metų. Ji taip pat turės veikti sudėtingesnėje valdymo sistemoje. Šioje atnaujintoje aplinkoje pagrindinis mano prioritetas būtų užtikrinti, kad </w:t>
      </w:r>
      <w:r w:rsidRPr="00D33AFE">
        <w:rPr>
          <w:b/>
          <w:bCs/>
          <w:sz w:val="22"/>
        </w:rPr>
        <w:t>EDAPP institucija būtų pasirengusi šiems pokyčiams</w:t>
      </w:r>
      <w:r w:rsidRPr="00D33AFE">
        <w:rPr>
          <w:sz w:val="22"/>
        </w:rPr>
        <w:t xml:space="preserve">, įskaitant papildomų pareigų, viršijančių jos tradicinį vaidmenį, vykdymą. Dirbtinis intelektas yra tinkamas šios raidos pavyzdys, nes EDAPP derins naujas, pagal Dirbtinio intelekto aktą paskirtas užduotis (pavyzdžiui, kaip ES institucijų, organų, įstaigų ir agentūrų rinkos priežiūros institucija didelės rizikos dirbtinio intelekto sistemų atveju), kurios turėtų būti vykdomos laikantis konkrečių tuose teisės aktuose nustatytų sąlygų ir tikslų, ir kartu savo, kaip duomenų apsaugos </w:t>
      </w:r>
      <w:r w:rsidRPr="00D33AFE">
        <w:rPr>
          <w:sz w:val="22"/>
        </w:rPr>
        <w:lastRenderedPageBreak/>
        <w:t xml:space="preserve">institucijos, prižiūrinčios ES institucijų, organų, įstaigų ir agentūrų atitiktį privatumo reikalavimams, taip pat ir dirbtinio intelekto naudojimo atveju, vaidmenį. </w:t>
      </w:r>
    </w:p>
    <w:p w:rsidR="009859C0" w:rsidRPr="00D33AFE" w:rsidRDefault="009859C0" w:rsidP="009859C0">
      <w:pPr>
        <w:spacing w:after="120"/>
        <w:jc w:val="both"/>
        <w:rPr>
          <w:sz w:val="22"/>
          <w:szCs w:val="22"/>
        </w:rPr>
      </w:pPr>
      <w:r w:rsidRPr="00D33AFE">
        <w:rPr>
          <w:sz w:val="22"/>
        </w:rPr>
        <w:t>Kad EDAPP institucija galėtų veiksmingai vykdyti šias įvairias pareigas, reikės atidžiai išnagrinėti įvairius aspektus – nuo jos organizacinės tvarkos ir struktūros iki užtikrinimo, kad ji naudotųsi tinkamu savo darbuotojų ekspertinių žinių (technologinių, teisinių, ekonominių ir t. t.) deriniu. Atsižvelgiant į tai, kad atsakomybės sritys plėsis, o biudžetas artimiausioje ateityje atitinkamai nepadidės, taip pat reikės atkreipti dėmesį į didesnį veiksmingumą ir sinergiją. Pavyzdžiui, tai galėtų apimti tolesnį priemonių, skirtų ištekliams telkti (kalbant apie tyrėjus, IT specialistus, teisės ekspertus ir t. t.), visų pirma kartu su kitomis ES duomenų apsaugos institucijomis, plėtojimą. Specialistų išsaugojimas ir pritraukimas bei išteklių sutelkimas taip pat yra labai svarbūs siekiant toliau plėtoti EDAPP gebėjimus suprasti</w:t>
      </w:r>
      <w:r w:rsidRPr="00D33AFE">
        <w:rPr>
          <w:b/>
          <w:bCs/>
          <w:sz w:val="22"/>
        </w:rPr>
        <w:t xml:space="preserve"> besiformuojančių technologijų</w:t>
      </w:r>
      <w:r w:rsidRPr="00D33AFE">
        <w:rPr>
          <w:sz w:val="22"/>
        </w:rPr>
        <w:t xml:space="preserve"> – nuo neurotechnologijų iki naujos kartos dirbtinio intelekto priemonių ir modelių arba papildytos realybės ir (arba) virtualiosios realybės taikymo įvairiose srityse, paminint tik keletą pavyzdžių, – </w:t>
      </w:r>
      <w:r w:rsidRPr="00D33AFE">
        <w:rPr>
          <w:b/>
          <w:bCs/>
          <w:sz w:val="22"/>
        </w:rPr>
        <w:t>poveikį</w:t>
      </w:r>
      <w:r w:rsidRPr="00D33AFE">
        <w:rPr>
          <w:sz w:val="22"/>
        </w:rPr>
        <w:t xml:space="preserve">, taip pat institucijos </w:t>
      </w:r>
      <w:r w:rsidRPr="00D33AFE">
        <w:rPr>
          <w:b/>
          <w:bCs/>
          <w:sz w:val="22"/>
        </w:rPr>
        <w:t>gebėjimą reaguoti į kintančią ES teisėkūros darbotvarkę</w:t>
      </w:r>
      <w:r w:rsidRPr="00D33AFE">
        <w:rPr>
          <w:sz w:val="22"/>
        </w:rPr>
        <w:t xml:space="preserve"> (pvz., dėl teisėsaugos institucijų prieigos prie duomenų ir jų saugojimo), be kita ko, prisidedant prie privatumo reikalavimus atitinkančių sprendimų.</w:t>
      </w:r>
    </w:p>
    <w:p w:rsidR="009859C0" w:rsidRPr="00D33AFE" w:rsidRDefault="009859C0" w:rsidP="009859C0">
      <w:pPr>
        <w:spacing w:after="120"/>
        <w:jc w:val="both"/>
        <w:rPr>
          <w:sz w:val="22"/>
          <w:szCs w:val="22"/>
        </w:rPr>
      </w:pPr>
      <w:r w:rsidRPr="00D33AFE">
        <w:rPr>
          <w:sz w:val="22"/>
        </w:rPr>
        <w:t xml:space="preserve">Užtikrinti, kad EDAPP institucija būtų pasirengusi šiems pokyčiams, yra labai svarbu ne tik pačiai institucijai, bet ir visai Europos duomenų apsaugos sistemai. Galiausiai svarbiausia garantuoti veiksmingą duomenų apsaugą ir nuoseklų aiškinimą bei užtikrinti vykdymą sudėtingesnėje teisinėje aplinkoje, kurioje skirtingos reguliavimo institucijos, vadovaudamosi skirtingais teisės aktais (Skaitmeninių rinkų aktu, Skaitmeninių paslaugų aktu, Dirbtinio intelekto aktu, vartotojų teisės aktais ir kt.), turės spręsti su asmens duomenimis ir privatumu susijusius klausimus. Šiuo metu įvairiuose reguliavimo forumuose vykstančios diskusijos dėl reikalavimų, taikomų tvarkant dirbtinio intelekto modelių mokymui naudojamus duomenis, aiškiai rodo, kad </w:t>
      </w:r>
      <w:r w:rsidRPr="00D33AFE">
        <w:rPr>
          <w:b/>
          <w:bCs/>
          <w:sz w:val="22"/>
        </w:rPr>
        <w:t>būtinas veiksmingas įvairių reguliavimo institucijų bendradarbiavimas</w:t>
      </w:r>
      <w:r w:rsidRPr="00D33AFE">
        <w:rPr>
          <w:sz w:val="22"/>
        </w:rPr>
        <w:t xml:space="preserve">. </w:t>
      </w:r>
      <w:r w:rsidRPr="00D33AFE">
        <w:rPr>
          <w:b/>
          <w:bCs/>
          <w:sz w:val="22"/>
        </w:rPr>
        <w:t>EDAPP institucija turi unikalią galimybę skatinti nuoseklų požiūrį</w:t>
      </w:r>
      <w:r w:rsidRPr="00D33AFE">
        <w:rPr>
          <w:sz w:val="22"/>
        </w:rPr>
        <w:t xml:space="preserve">, nes ji sieja, viena vertus, ES ir nacionalines privatumą reglamentuojančias sistemas (kaip Europos duomenų apsaugos valdybos narė) ir, kita vertus, privatumo bei platesnes skaitmeninio sektoriaus valdymo sistemas (dalyvaudama Skaitmeninių rinkų akto aukšto lygio grupės, Dirbtinio intelekto valdybos, Europos duomenų inovacijų valdybos ir kt. veikloje). Ji tai galėtų daryti, pavyzdžiui, sudarydama kelioms reguliavimo institucijoms palankesnes sąlygas ankstyvu etapu keistis informacija bendro intereso klausimais, siūlydama aiškinamuosius sprendimus, kuriais būtų galima suderinti skirtingų skaitmeninių teisės aktų taikymą, ir padėdama pasiekti bendrą įvairių reguliavimo institucijų supratimą. Todėl </w:t>
      </w:r>
      <w:r w:rsidRPr="00D33AFE">
        <w:rPr>
          <w:b/>
          <w:bCs/>
          <w:sz w:val="22"/>
        </w:rPr>
        <w:t>EDAPP darbe daugiausia dėmesio</w:t>
      </w:r>
      <w:r w:rsidRPr="00D33AFE">
        <w:rPr>
          <w:sz w:val="22"/>
        </w:rPr>
        <w:t xml:space="preserve"> skirčiau </w:t>
      </w:r>
      <w:r w:rsidRPr="00D33AFE">
        <w:rPr>
          <w:b/>
          <w:bCs/>
          <w:sz w:val="22"/>
        </w:rPr>
        <w:t>nuoseklumo skatinimui</w:t>
      </w:r>
      <w:r w:rsidRPr="00D33AFE">
        <w:rPr>
          <w:sz w:val="22"/>
        </w:rPr>
        <w:t xml:space="preserve">. Šis suderinamumo didinimo metodas gali svariai prisidėti prie tvarių inovacijų ir ekonomikos augimo ES skatinimo, užtikrinant didesnį teisinį tikrumą duomenis tvarkantiems subjektams ir veiksmingesnę piliečių apsaugą. </w:t>
      </w:r>
    </w:p>
    <w:p w:rsidR="009859C0" w:rsidRPr="00D33AFE" w:rsidRDefault="009859C0" w:rsidP="009859C0">
      <w:pPr>
        <w:jc w:val="both"/>
        <w:rPr>
          <w:sz w:val="22"/>
          <w:szCs w:val="22"/>
        </w:rPr>
      </w:pPr>
      <w:r w:rsidRPr="00D33AFE">
        <w:rPr>
          <w:sz w:val="22"/>
        </w:rPr>
        <w:t xml:space="preserve">Galiausiai iššūkių kupinoje ir nestabilioje tarptautinėje aplinkoje bus ypač svarbu suvienyti jėgas su kai kuriais panašiai mąstančiais partneriais (visų pirma Lotynų Amerikoje ir Azijoje, taip pat vis didesniu mastu Afrikoje) ir tarptautinėmis ir (arba) regioninėmis organizacijomis. Mano patirtis rodo, kad institucijų tarpusavio dialogas gali labai palengvinti sprendimų, susijusių su standartų konvergencija, kūrimą vietoje, nes reguliavimo institucijos visame pasaulyje dažnai susiduria su panašiais klausimais. Remdamasis EDAPP dalyvavimu keliuose tarptautiniuose forumuose ir tinkluose (EBPO sistemoje, G7 apskritojo stalo diskusijose dėl duomenų apsaugos, Europos Taryboje, Pasaulinėje privatumo asamblėjoje, Iberijos ir Amerikos tinkle ir kt.), </w:t>
      </w:r>
      <w:r w:rsidRPr="00D33AFE">
        <w:rPr>
          <w:b/>
          <w:bCs/>
          <w:sz w:val="22"/>
        </w:rPr>
        <w:t>skatinčiau aukštus duomenų apsaugos standartus aktyviau bendradarbiaudamas su užsienio partneriais.</w:t>
      </w:r>
    </w:p>
    <w:p w:rsidR="00006052" w:rsidRPr="00D33AFE" w:rsidRDefault="00006052"/>
    <w:sectPr w:rsidR="00006052" w:rsidRPr="00D33AFE" w:rsidSect="00D33AFE">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134" w:right="1418" w:bottom="1418" w:left="1418"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028" w:rsidRPr="00D33AFE" w:rsidRDefault="00041028">
      <w:r w:rsidRPr="00D33AFE">
        <w:separator/>
      </w:r>
    </w:p>
  </w:endnote>
  <w:endnote w:type="continuationSeparator" w:id="0">
    <w:p w:rsidR="00041028" w:rsidRPr="00D33AFE" w:rsidRDefault="00041028">
      <w:r w:rsidRPr="00D33A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FE" w:rsidRPr="00D33AFE" w:rsidRDefault="00D33AFE" w:rsidP="00D33AFE">
    <w:pPr>
      <w:pStyle w:val="EPFooter"/>
    </w:pPr>
    <w:r w:rsidRPr="00D33AFE">
      <w:t>PE</w:t>
    </w:r>
    <w:r w:rsidRPr="00D33AFE">
      <w:rPr>
        <w:rStyle w:val="HideTWBExt"/>
      </w:rPr>
      <w:t>&lt;NoPE&gt;</w:t>
    </w:r>
    <w:r w:rsidRPr="00D33AFE">
      <w:t>766.740</w:t>
    </w:r>
    <w:r w:rsidRPr="00D33AFE">
      <w:rPr>
        <w:rStyle w:val="HideTWBExt"/>
      </w:rPr>
      <w:t>&lt;/NoPE&gt;</w:t>
    </w:r>
    <w:r w:rsidRPr="00D33AFE">
      <w:tab/>
    </w:r>
    <w:r w:rsidRPr="00D33AFE">
      <w:fldChar w:fldCharType="begin"/>
    </w:r>
    <w:r w:rsidRPr="00D33AFE">
      <w:instrText xml:space="preserve"> PAGE  \* MERGEFORMAT </w:instrText>
    </w:r>
    <w:r w:rsidRPr="00D33AFE">
      <w:fldChar w:fldCharType="separate"/>
    </w:r>
    <w:r w:rsidR="00FF57AD">
      <w:rPr>
        <w:noProof/>
      </w:rPr>
      <w:t>2</w:t>
    </w:r>
    <w:r w:rsidRPr="00D33AFE">
      <w:fldChar w:fldCharType="end"/>
    </w:r>
    <w:r w:rsidRPr="00D33AFE">
      <w:t>/</w:t>
    </w:r>
    <w:fldSimple w:instr=" NUMPAGES  \* MERGEFORMAT ">
      <w:r w:rsidR="00FF57AD">
        <w:rPr>
          <w:noProof/>
        </w:rPr>
        <w:t>4</w:t>
      </w:r>
    </w:fldSimple>
    <w:r w:rsidRPr="00D33AFE">
      <w:tab/>
    </w:r>
    <w:r w:rsidRPr="00D33AFE">
      <w:rPr>
        <w:rStyle w:val="HideTWBExt"/>
      </w:rPr>
      <w:t>&lt;PathFdR&gt;</w:t>
    </w:r>
    <w:r w:rsidRPr="00D33AFE">
      <w:t>NT\1311200LT.docx</w:t>
    </w:r>
    <w:r w:rsidRPr="00D33AFE">
      <w:rPr>
        <w:rStyle w:val="HideTWBExt"/>
      </w:rPr>
      <w:t>&lt;/PathFdR&gt;</w:t>
    </w:r>
  </w:p>
  <w:p w:rsidR="00D95527" w:rsidRPr="00D33AFE" w:rsidRDefault="00D33AFE" w:rsidP="00D33AFE">
    <w:pPr>
      <w:pStyle w:val="EPFooter2"/>
    </w:pPr>
    <w:r w:rsidRPr="00D33AFE">
      <w:t>LT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FE" w:rsidRPr="00D33AFE" w:rsidRDefault="00D33AFE" w:rsidP="00D33AFE">
    <w:pPr>
      <w:pStyle w:val="EPFooter"/>
    </w:pPr>
    <w:r w:rsidRPr="00D33AFE">
      <w:rPr>
        <w:rStyle w:val="HideTWBExt"/>
      </w:rPr>
      <w:t>&lt;PathFdR&gt;</w:t>
    </w:r>
    <w:r w:rsidRPr="00D33AFE">
      <w:t>NT\1311200LT.docx</w:t>
    </w:r>
    <w:r w:rsidRPr="00D33AFE">
      <w:rPr>
        <w:rStyle w:val="HideTWBExt"/>
      </w:rPr>
      <w:t>&lt;/PathFdR&gt;</w:t>
    </w:r>
    <w:r w:rsidRPr="00D33AFE">
      <w:tab/>
    </w:r>
    <w:r w:rsidRPr="00D33AFE">
      <w:fldChar w:fldCharType="begin"/>
    </w:r>
    <w:r w:rsidRPr="00D33AFE">
      <w:instrText xml:space="preserve"> PAGE  \* MERGEFORMAT </w:instrText>
    </w:r>
    <w:r w:rsidRPr="00D33AFE">
      <w:fldChar w:fldCharType="separate"/>
    </w:r>
    <w:r w:rsidR="00FF57AD">
      <w:rPr>
        <w:noProof/>
      </w:rPr>
      <w:t>4</w:t>
    </w:r>
    <w:r w:rsidRPr="00D33AFE">
      <w:fldChar w:fldCharType="end"/>
    </w:r>
    <w:r w:rsidRPr="00D33AFE">
      <w:t>/</w:t>
    </w:r>
    <w:fldSimple w:instr=" NUMPAGES  \* MERGEFORMAT ">
      <w:r w:rsidR="00FF57AD">
        <w:rPr>
          <w:noProof/>
        </w:rPr>
        <w:t>4</w:t>
      </w:r>
    </w:fldSimple>
    <w:r w:rsidRPr="00D33AFE">
      <w:tab/>
      <w:t>PE</w:t>
    </w:r>
    <w:r w:rsidRPr="00D33AFE">
      <w:rPr>
        <w:rStyle w:val="HideTWBExt"/>
      </w:rPr>
      <w:t>&lt;NoPE&gt;</w:t>
    </w:r>
    <w:r w:rsidRPr="00D33AFE">
      <w:t>766.740</w:t>
    </w:r>
    <w:r w:rsidRPr="00D33AFE">
      <w:rPr>
        <w:rStyle w:val="HideTWBExt"/>
      </w:rPr>
      <w:t>&lt;/NoPE&gt;</w:t>
    </w:r>
  </w:p>
  <w:p w:rsidR="00D95527" w:rsidRPr="00D33AFE" w:rsidRDefault="00D33AFE" w:rsidP="00D33AFE">
    <w:pPr>
      <w:pStyle w:val="EPFooter2"/>
    </w:pPr>
    <w:r w:rsidRPr="00D33AFE">
      <w:tab/>
    </w:r>
    <w:r w:rsidRPr="00D33AFE">
      <w:tab/>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FE" w:rsidRPr="00D33AFE" w:rsidRDefault="00D33AFE" w:rsidP="00D33AFE">
    <w:pPr>
      <w:pStyle w:val="EPFooter"/>
    </w:pPr>
    <w:r w:rsidRPr="00D33AFE">
      <w:rPr>
        <w:rStyle w:val="HideTWBExt"/>
      </w:rPr>
      <w:t>&lt;PathFdR&gt;</w:t>
    </w:r>
    <w:r w:rsidRPr="00D33AFE">
      <w:t>NT\1311200LT.docx</w:t>
    </w:r>
    <w:r w:rsidRPr="00D33AFE">
      <w:rPr>
        <w:rStyle w:val="HideTWBExt"/>
      </w:rPr>
      <w:t>&lt;/PathFdR&gt;</w:t>
    </w:r>
    <w:r w:rsidRPr="00D33AFE">
      <w:tab/>
    </w:r>
    <w:r w:rsidRPr="00D33AFE">
      <w:tab/>
      <w:t>PE</w:t>
    </w:r>
    <w:r w:rsidRPr="00D33AFE">
      <w:rPr>
        <w:rStyle w:val="HideTWBExt"/>
      </w:rPr>
      <w:t>&lt;NoPE&gt;</w:t>
    </w:r>
    <w:r w:rsidRPr="00D33AFE">
      <w:t>766.740</w:t>
    </w:r>
    <w:r w:rsidRPr="00D33AFE">
      <w:rPr>
        <w:rStyle w:val="HideTWBExt"/>
      </w:rPr>
      <w:t>&lt;/NoPE&gt;</w:t>
    </w:r>
  </w:p>
  <w:p w:rsidR="00E93ED6" w:rsidRPr="00D33AFE" w:rsidRDefault="00D33AFE" w:rsidP="00D33AFE">
    <w:pPr>
      <w:pStyle w:val="EPFooter2"/>
    </w:pPr>
    <w:r w:rsidRPr="00D33AFE">
      <w:t>LT</w:t>
    </w:r>
    <w:r w:rsidRPr="00D33AFE">
      <w:tab/>
    </w:r>
    <w:r w:rsidRPr="00D33AFE">
      <w:tab/>
      <w:t>LT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028" w:rsidRPr="00D33AFE" w:rsidRDefault="00041028">
      <w:r w:rsidRPr="00D33AFE">
        <w:separator/>
      </w:r>
    </w:p>
  </w:footnote>
  <w:footnote w:type="continuationSeparator" w:id="0">
    <w:p w:rsidR="00041028" w:rsidRPr="00D33AFE" w:rsidRDefault="00041028">
      <w:r w:rsidRPr="00D33A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7AD" w:rsidRDefault="00FF5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7AD" w:rsidRDefault="00FF5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7AD" w:rsidRDefault="00FF57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DocTypeID" w:val="NONE"/>
    <w:docVar w:name="strSubDir" w:val="1311"/>
    <w:docVar w:name="TXTLANGUE" w:val="EN"/>
    <w:docVar w:name="TXTLANGUEMIN" w:val="en"/>
    <w:docVar w:name="TXTNRPE" w:val="766.740"/>
    <w:docVar w:name="TXTPEorAP" w:val="PE"/>
    <w:docVar w:name="TXTROUTE" w:val="NT\1311200EN.docx"/>
  </w:docVars>
  <w:rsids>
    <w:rsidRoot w:val="00041028"/>
    <w:rsid w:val="00006052"/>
    <w:rsid w:val="00036199"/>
    <w:rsid w:val="00041028"/>
    <w:rsid w:val="000B3765"/>
    <w:rsid w:val="001C553B"/>
    <w:rsid w:val="001F0314"/>
    <w:rsid w:val="002C30FA"/>
    <w:rsid w:val="002F39E3"/>
    <w:rsid w:val="00306F80"/>
    <w:rsid w:val="00351DF4"/>
    <w:rsid w:val="005719D6"/>
    <w:rsid w:val="005D7B22"/>
    <w:rsid w:val="00655845"/>
    <w:rsid w:val="00664292"/>
    <w:rsid w:val="00763C99"/>
    <w:rsid w:val="00773D44"/>
    <w:rsid w:val="009324B9"/>
    <w:rsid w:val="009859C0"/>
    <w:rsid w:val="009E76B7"/>
    <w:rsid w:val="00A60152"/>
    <w:rsid w:val="00BF40B7"/>
    <w:rsid w:val="00C0762D"/>
    <w:rsid w:val="00D00EBD"/>
    <w:rsid w:val="00D1454C"/>
    <w:rsid w:val="00D33ACA"/>
    <w:rsid w:val="00D33AFE"/>
    <w:rsid w:val="00D95527"/>
    <w:rsid w:val="00DC1887"/>
    <w:rsid w:val="00E314AE"/>
    <w:rsid w:val="00E93ED6"/>
    <w:rsid w:val="00FA335A"/>
    <w:rsid w:val="00FE3EFE"/>
    <w:rsid w:val="00FF57AD"/>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4D02B"/>
  <w15:chartTrackingRefBased/>
  <w15:docId w15:val="{84E9D1F4-B308-4478-9316-7435DC62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B22"/>
    <w:rPr>
      <w:sz w:val="24"/>
    </w:rPr>
  </w:style>
  <w:style w:type="paragraph" w:styleId="Heading1">
    <w:name w:val="heading 1"/>
    <w:basedOn w:val="Normal"/>
    <w:next w:val="Normal"/>
    <w:link w:val="Heading1Char"/>
    <w:semiHidden/>
    <w:qFormat/>
    <w:rsid w:val="002C30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Footer2">
    <w:name w:val="EPFooter2"/>
    <w:basedOn w:val="Normal"/>
    <w:next w:val="Normal"/>
    <w:rsid w:val="00006052"/>
    <w:pPr>
      <w:tabs>
        <w:tab w:val="center" w:pos="4535"/>
        <w:tab w:val="right" w:pos="9921"/>
      </w:tabs>
      <w:ind w:left="-850" w:right="-850"/>
    </w:pPr>
    <w:rPr>
      <w:rFonts w:ascii="Arial" w:hAnsi="Arial" w:cs="Arial"/>
      <w:b/>
      <w:sz w:val="48"/>
    </w:rPr>
  </w:style>
  <w:style w:type="character" w:customStyle="1" w:styleId="HideTWBExt">
    <w:name w:val="HideTWBExt"/>
    <w:rsid w:val="00655845"/>
    <w:rPr>
      <w:rFonts w:ascii="Arial" w:hAnsi="Arial"/>
      <w:noProof/>
      <w:vanish/>
      <w:color w:val="000080"/>
      <w:sz w:val="20"/>
    </w:rPr>
  </w:style>
  <w:style w:type="character" w:customStyle="1" w:styleId="HideTWBInt">
    <w:name w:val="HideTWBInt"/>
    <w:rsid w:val="00655845"/>
    <w:rPr>
      <w:rFonts w:ascii="Arial" w:hAnsi="Arial" w:cs="Arial"/>
      <w:vanish/>
      <w:color w:val="808080"/>
      <w:sz w:val="20"/>
    </w:rPr>
  </w:style>
  <w:style w:type="paragraph" w:customStyle="1" w:styleId="EPFooter">
    <w:name w:val="EPFooter"/>
    <w:basedOn w:val="Normal"/>
    <w:rsid w:val="00D95527"/>
    <w:pPr>
      <w:tabs>
        <w:tab w:val="center" w:pos="4535"/>
        <w:tab w:val="right" w:pos="9071"/>
      </w:tabs>
      <w:spacing w:before="240" w:after="240"/>
    </w:pPr>
    <w:rPr>
      <w:color w:val="010000"/>
      <w:sz w:val="22"/>
    </w:rPr>
  </w:style>
  <w:style w:type="character" w:customStyle="1" w:styleId="Heading1Char">
    <w:name w:val="Heading 1 Char"/>
    <w:basedOn w:val="DefaultParagraphFont"/>
    <w:link w:val="Heading1"/>
    <w:semiHidden/>
    <w:rsid w:val="00BF40B7"/>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semiHidden/>
    <w:unhideWhenUsed/>
    <w:qFormat/>
    <w:rsid w:val="002C30FA"/>
    <w:pPr>
      <w:spacing w:after="240"/>
    </w:pPr>
  </w:style>
  <w:style w:type="paragraph" w:styleId="Footer">
    <w:name w:val="footer"/>
    <w:basedOn w:val="Normal"/>
    <w:link w:val="FooterChar"/>
    <w:rsid w:val="00FA335A"/>
    <w:pPr>
      <w:tabs>
        <w:tab w:val="center" w:pos="4513"/>
        <w:tab w:val="right" w:pos="9026"/>
      </w:tabs>
    </w:pPr>
  </w:style>
  <w:style w:type="character" w:customStyle="1" w:styleId="FooterChar">
    <w:name w:val="Footer Char"/>
    <w:basedOn w:val="DefaultParagraphFont"/>
    <w:link w:val="Footer"/>
    <w:rsid w:val="00FA335A"/>
    <w:rPr>
      <w:sz w:val="24"/>
    </w:rPr>
  </w:style>
  <w:style w:type="paragraph" w:styleId="Header">
    <w:name w:val="header"/>
    <w:basedOn w:val="Normal"/>
    <w:link w:val="HeaderChar"/>
    <w:rsid w:val="00FF57AD"/>
    <w:pPr>
      <w:tabs>
        <w:tab w:val="center" w:pos="4513"/>
        <w:tab w:val="right" w:pos="9026"/>
      </w:tabs>
    </w:pPr>
  </w:style>
  <w:style w:type="character" w:customStyle="1" w:styleId="HeaderChar">
    <w:name w:val="Header Char"/>
    <w:basedOn w:val="DefaultParagraphFont"/>
    <w:link w:val="Header"/>
    <w:rsid w:val="00FF57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cuyer\AppData\Local\Temp\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Blank.dotx</Template>
  <TotalTime>0</TotalTime>
  <Pages>4</Pages>
  <Words>2019</Words>
  <Characters>14507</Characters>
  <Application>Microsoft Office Word</Application>
  <DocSecurity>0</DocSecurity>
  <Lines>197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LECUYER Katarzyna</dc:creator>
  <cp:keywords/>
  <dc:description/>
  <cp:lastModifiedBy>MATHERS Margarita</cp:lastModifiedBy>
  <cp:revision>2</cp:revision>
  <dcterms:created xsi:type="dcterms:W3CDTF">2025-01-10T10:58:00Z</dcterms:created>
  <dcterms:modified xsi:type="dcterms:W3CDTF">2025-01-10T10:58:00Z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LT</vt:lpwstr>
  </property>
  <property fmtid="{D5CDD505-2E9C-101B-9397-08002B2CF9AE}" pid="3" name="Created with">
    <vt:lpwstr>10.0.0 Build [20241115]</vt:lpwstr>
  </property>
  <property fmtid="{D5CDD505-2E9C-101B-9397-08002B2CF9AE}" pid="4" name="LastEdited with">
    <vt:lpwstr>10.0.0 Build [20241202]</vt:lpwstr>
  </property>
  <property fmtid="{D5CDD505-2E9C-101B-9397-08002B2CF9AE}" pid="5" name="&lt;FdR&gt;">
    <vt:lpwstr>1311200</vt:lpwstr>
  </property>
  <property fmtid="{D5CDD505-2E9C-101B-9397-08002B2CF9AE}" pid="6" name="&lt;Type&gt;">
    <vt:lpwstr>NT</vt:lpwstr>
  </property>
  <property fmtid="{D5CDD505-2E9C-101B-9397-08002B2CF9AE}" pid="7" name="&lt;ModelCod&gt;">
    <vt:lpwstr>NONE</vt:lpwstr>
  </property>
  <property fmtid="{D5CDD505-2E9C-101B-9397-08002B2CF9AE}" pid="8" name="&lt;ModelTra&gt;">
    <vt:lpwstr>NONE</vt:lpwstr>
  </property>
  <property fmtid="{D5CDD505-2E9C-101B-9397-08002B2CF9AE}" pid="9" name="&lt;Model&gt;">
    <vt:lpwstr>NONE</vt:lpwstr>
  </property>
  <property fmtid="{D5CDD505-2E9C-101B-9397-08002B2CF9AE}" pid="10" name="FooterPath">
    <vt:lpwstr>NT\1311200LT.docx</vt:lpwstr>
  </property>
  <property fmtid="{D5CDD505-2E9C-101B-9397-08002B2CF9AE}" pid="11" name="PE number">
    <vt:lpwstr>766.740</vt:lpwstr>
  </property>
  <property fmtid="{D5CDD505-2E9C-101B-9397-08002B2CF9AE}" pid="12" name="SendToEpades">
    <vt:lpwstr>OK - 2024/12/12 18:27</vt:lpwstr>
  </property>
  <property fmtid="{D5CDD505-2E9C-101B-9397-08002B2CF9AE}" pid="13" name="SDLStudio">
    <vt:lpwstr/>
  </property>
  <property fmtid="{D5CDD505-2E9C-101B-9397-08002B2CF9AE}" pid="14" name="Bookout">
    <vt:lpwstr>OK - 2025/01/10 11:58</vt:lpwstr>
  </property>
</Properties>
</file>