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4B0" w:rsidRPr="009F1999" w:rsidRDefault="009F74B0" w:rsidP="009F74B0">
      <w:pPr>
        <w:rPr>
          <w:sz w:val="2"/>
          <w:szCs w:val="2"/>
        </w:rPr>
      </w:pPr>
      <w:bookmarkStart w:id="0" w:name="_GoBack"/>
      <w:bookmarkEnd w:id="0"/>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4A0" w:firstRow="1" w:lastRow="0" w:firstColumn="1" w:lastColumn="0" w:noHBand="0" w:noVBand="1"/>
      </w:tblPr>
      <w:tblGrid>
        <w:gridCol w:w="5987"/>
        <w:gridCol w:w="3084"/>
      </w:tblGrid>
      <w:tr w:rsidR="009F74B0" w:rsidRPr="009F1999" w:rsidTr="00BC55E5">
        <w:trPr>
          <w:jc w:val="center"/>
        </w:trPr>
        <w:tc>
          <w:tcPr>
            <w:tcW w:w="5987" w:type="dxa"/>
            <w:tcBorders>
              <w:top w:val="nil"/>
              <w:left w:val="nil"/>
              <w:bottom w:val="nil"/>
              <w:right w:val="nil"/>
            </w:tcBorders>
            <w:shd w:val="clear" w:color="auto" w:fill="FFFFFF"/>
            <w:tcMar>
              <w:top w:w="60" w:type="dxa"/>
              <w:left w:w="60" w:type="dxa"/>
              <w:bottom w:w="60" w:type="dxa"/>
              <w:right w:w="60" w:type="dxa"/>
            </w:tcMar>
            <w:vAlign w:val="bottom"/>
            <w:hideMark/>
          </w:tcPr>
          <w:p w:rsidR="009F74B0" w:rsidRPr="009F1999" w:rsidRDefault="009F74B0" w:rsidP="00BC55E5">
            <w:pPr>
              <w:spacing w:after="160"/>
              <w:rPr>
                <w:rFonts w:ascii="Arial Narrow" w:hAnsi="Arial Narrow" w:cs="Arial Narrow"/>
                <w:sz w:val="32"/>
                <w:szCs w:val="32"/>
              </w:rPr>
            </w:pPr>
            <w:r w:rsidRPr="009F1999">
              <w:rPr>
                <w:rFonts w:ascii="Arial Narrow" w:hAnsi="Arial Narrow"/>
                <w:b/>
                <w:sz w:val="32"/>
              </w:rPr>
              <w:t>Parlamentul European</w:t>
            </w:r>
          </w:p>
          <w:p w:rsidR="009F74B0" w:rsidRPr="009F1999" w:rsidRDefault="009F74B0" w:rsidP="00BC55E5">
            <w:pPr>
              <w:rPr>
                <w:rFonts w:ascii="Arial" w:hAnsi="Arial" w:cs="Arial"/>
                <w:sz w:val="20"/>
              </w:rPr>
            </w:pPr>
            <w:r w:rsidRPr="009F1999">
              <w:rPr>
                <w:rFonts w:ascii="Arial" w:hAnsi="Arial"/>
                <w:sz w:val="20"/>
              </w:rPr>
              <w:t>2024-2029</w:t>
            </w:r>
          </w:p>
        </w:tc>
        <w:tc>
          <w:tcPr>
            <w:tcW w:w="3084" w:type="dxa"/>
            <w:tcBorders>
              <w:top w:val="nil"/>
              <w:left w:val="nil"/>
              <w:bottom w:val="nil"/>
              <w:right w:val="nil"/>
            </w:tcBorders>
            <w:shd w:val="clear" w:color="auto" w:fill="FFFFFF"/>
            <w:tcMar>
              <w:top w:w="60" w:type="dxa"/>
              <w:left w:w="60" w:type="dxa"/>
              <w:bottom w:w="60" w:type="dxa"/>
              <w:right w:w="60" w:type="dxa"/>
            </w:tcMar>
            <w:vAlign w:val="bottom"/>
            <w:hideMark/>
          </w:tcPr>
          <w:p w:rsidR="009F74B0" w:rsidRPr="009F1999" w:rsidRDefault="009F74B0" w:rsidP="00BC55E5">
            <w:pPr>
              <w:spacing w:line="320" w:lineRule="atLeast"/>
              <w:jc w:val="right"/>
              <w:rPr>
                <w:szCs w:val="24"/>
              </w:rPr>
            </w:pPr>
            <w:r w:rsidRPr="009F1999">
              <w:rPr>
                <w:noProof/>
              </w:rPr>
              <w:drawing>
                <wp:inline distT="0" distB="0" distL="0" distR="0" wp14:anchorId="43659FE0" wp14:editId="2CB338A1">
                  <wp:extent cx="1119505" cy="6146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9505" cy="614680"/>
                          </a:xfrm>
                          <a:prstGeom prst="rect">
                            <a:avLst/>
                          </a:prstGeom>
                          <a:noFill/>
                          <a:ln>
                            <a:noFill/>
                          </a:ln>
                        </pic:spPr>
                      </pic:pic>
                    </a:graphicData>
                  </a:graphic>
                </wp:inline>
              </w:drawing>
            </w:r>
          </w:p>
        </w:tc>
      </w:tr>
      <w:tr w:rsidR="009F74B0" w:rsidRPr="009F1999" w:rsidTr="00BC55E5">
        <w:trPr>
          <w:jc w:val="center"/>
        </w:trPr>
        <w:tc>
          <w:tcPr>
            <w:tcW w:w="9071" w:type="dxa"/>
            <w:gridSpan w:val="2"/>
            <w:tcBorders>
              <w:top w:val="nil"/>
              <w:left w:val="nil"/>
              <w:bottom w:val="single" w:sz="4" w:space="0" w:color="000000"/>
              <w:right w:val="nil"/>
            </w:tcBorders>
            <w:shd w:val="clear" w:color="auto" w:fill="FFFFFF"/>
            <w:tcMar>
              <w:top w:w="60" w:type="dxa"/>
              <w:left w:w="60" w:type="dxa"/>
              <w:bottom w:w="60" w:type="dxa"/>
              <w:right w:w="60" w:type="dxa"/>
            </w:tcMar>
          </w:tcPr>
          <w:p w:rsidR="009F74B0" w:rsidRPr="009F1999" w:rsidRDefault="009F74B0" w:rsidP="00BC55E5"/>
        </w:tc>
      </w:tr>
    </w:tbl>
    <w:p w:rsidR="009F74B0" w:rsidRPr="009F1999" w:rsidRDefault="009F74B0" w:rsidP="009F74B0">
      <w:pPr>
        <w:rPr>
          <w:rFonts w:ascii="Arial" w:hAnsi="Arial" w:cs="Arial"/>
          <w:sz w:val="20"/>
        </w:rPr>
      </w:pPr>
    </w:p>
    <w:p w:rsidR="009F74B0" w:rsidRPr="009F1999" w:rsidRDefault="009F74B0" w:rsidP="009F74B0">
      <w:pPr>
        <w:spacing w:after="120"/>
        <w:jc w:val="center"/>
        <w:rPr>
          <w:rFonts w:ascii="Arial" w:hAnsi="Arial" w:cs="Arial"/>
          <w:sz w:val="22"/>
          <w:szCs w:val="22"/>
        </w:rPr>
      </w:pPr>
      <w:r w:rsidRPr="009F1999">
        <w:rPr>
          <w:rFonts w:ascii="Arial" w:hAnsi="Arial"/>
          <w:i/>
          <w:sz w:val="22"/>
        </w:rPr>
        <w:t>Comisia pentru libertăți civile, justiție și afaceri interne</w:t>
      </w:r>
    </w:p>
    <w:p w:rsidR="009F74B0" w:rsidRPr="009F1999" w:rsidRDefault="009F74B0" w:rsidP="009F74B0">
      <w:pPr>
        <w:rPr>
          <w:rFonts w:ascii="Arial" w:hAnsi="Arial" w:cs="Arial"/>
          <w:sz w:val="22"/>
          <w:szCs w:val="22"/>
        </w:rPr>
      </w:pPr>
    </w:p>
    <w:p w:rsidR="009F74B0" w:rsidRPr="009F1999" w:rsidRDefault="009F74B0" w:rsidP="009F74B0">
      <w:pPr>
        <w:spacing w:before="240" w:after="240" w:line="320" w:lineRule="atLeast"/>
        <w:jc w:val="center"/>
        <w:rPr>
          <w:rFonts w:ascii="Arial" w:hAnsi="Arial" w:cs="Arial"/>
          <w:szCs w:val="24"/>
        </w:rPr>
      </w:pPr>
      <w:r w:rsidRPr="009F1999">
        <w:rPr>
          <w:noProof/>
        </w:rPr>
        <mc:AlternateContent>
          <mc:Choice Requires="wps">
            <w:drawing>
              <wp:anchor distT="0" distB="0" distL="114300" distR="114300" simplePos="0" relativeHeight="251659264" behindDoc="0" locked="0" layoutInCell="0" allowOverlap="1" wp14:anchorId="729053AC" wp14:editId="25E6EFDD">
                <wp:simplePos x="0" y="0"/>
                <wp:positionH relativeFrom="page">
                  <wp:posOffset>889000</wp:posOffset>
                </wp:positionH>
                <wp:positionV relativeFrom="paragraph">
                  <wp:posOffset>-152400</wp:posOffset>
                </wp:positionV>
                <wp:extent cx="57658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E635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pt,-12pt" to="5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u/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aTad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" o:allowincell="f">
                <w10:wrap anchorx="page"/>
              </v:line>
            </w:pict>
          </mc:Fallback>
        </mc:AlternateContent>
      </w:r>
    </w:p>
    <w:p w:rsidR="00844BDC" w:rsidRDefault="009F74B0" w:rsidP="009F74B0">
      <w:pPr>
        <w:jc w:val="center"/>
        <w:rPr>
          <w:b/>
        </w:rPr>
      </w:pPr>
      <w:r w:rsidRPr="009F1999">
        <w:rPr>
          <w:b/>
        </w:rPr>
        <w:t>Numirea șefului Autorității Europene pentru Pr</w:t>
      </w:r>
      <w:r w:rsidR="00844BDC">
        <w:rPr>
          <w:b/>
        </w:rPr>
        <w:t xml:space="preserve">otecția Datelor pentru </w:t>
      </w:r>
    </w:p>
    <w:p w:rsidR="009F74B0" w:rsidRPr="009F1999" w:rsidRDefault="00844BDC" w:rsidP="009F74B0">
      <w:pPr>
        <w:jc w:val="center"/>
        <w:rPr>
          <w:b/>
        </w:rPr>
      </w:pPr>
      <w:r>
        <w:rPr>
          <w:b/>
        </w:rPr>
        <w:t>perioada </w:t>
      </w:r>
      <w:r w:rsidR="009F74B0" w:rsidRPr="009F1999">
        <w:rPr>
          <w:b/>
        </w:rPr>
        <w:t>2024-2029</w:t>
      </w:r>
    </w:p>
    <w:p w:rsidR="009F74B0" w:rsidRPr="009F1999" w:rsidRDefault="009F74B0" w:rsidP="009F74B0">
      <w:pPr>
        <w:jc w:val="center"/>
        <w:rPr>
          <w:b/>
        </w:rPr>
      </w:pPr>
      <w:r w:rsidRPr="009F1999">
        <w:rPr>
          <w:b/>
        </w:rPr>
        <w:t>Audierea candidaților din 16 ianuarie 2025, între orele 9.00-10.30</w:t>
      </w:r>
    </w:p>
    <w:p w:rsidR="009F74B0" w:rsidRPr="009F1999" w:rsidRDefault="009F74B0" w:rsidP="009F74B0">
      <w:pPr>
        <w:jc w:val="center"/>
        <w:rPr>
          <w:b/>
        </w:rPr>
      </w:pPr>
      <w:r w:rsidRPr="009F1999">
        <w:rPr>
          <w:b/>
        </w:rPr>
        <w:t>la Parlamentul European</w:t>
      </w:r>
    </w:p>
    <w:p w:rsidR="009F74B0" w:rsidRPr="009F1999" w:rsidRDefault="009F74B0" w:rsidP="009F74B0">
      <w:pPr>
        <w:jc w:val="center"/>
        <w:rPr>
          <w:b/>
        </w:rPr>
      </w:pPr>
      <w:r w:rsidRPr="009F1999">
        <w:rPr>
          <w:b/>
        </w:rPr>
        <w:t>Bruxelles</w:t>
      </w:r>
    </w:p>
    <w:p w:rsidR="009F74B0" w:rsidRPr="009F1999" w:rsidRDefault="009F74B0" w:rsidP="009F74B0"/>
    <w:p w:rsidR="009F74B0" w:rsidRPr="009F1999" w:rsidRDefault="009F74B0" w:rsidP="009F74B0"/>
    <w:p w:rsidR="009F74B0" w:rsidRPr="009F1999" w:rsidRDefault="009F74B0" w:rsidP="009F74B0">
      <w:pPr>
        <w:jc w:val="center"/>
      </w:pPr>
      <w:r w:rsidRPr="009F1999">
        <w:t>Răspunsurile candidatei Anna POULIOU</w:t>
      </w:r>
    </w:p>
    <w:p w:rsidR="009F74B0" w:rsidRPr="009F1999" w:rsidRDefault="009F74B0" w:rsidP="009F74B0">
      <w:pPr>
        <w:rPr>
          <w:sz w:val="22"/>
          <w:szCs w:val="22"/>
        </w:rPr>
      </w:pPr>
    </w:p>
    <w:p w:rsidR="009F74B0" w:rsidRPr="009F1999" w:rsidRDefault="009F74B0" w:rsidP="009F74B0">
      <w:pPr>
        <w:rPr>
          <w:sz w:val="22"/>
          <w:szCs w:val="22"/>
        </w:rPr>
      </w:pPr>
    </w:p>
    <w:p w:rsidR="009F74B0" w:rsidRPr="009F1999" w:rsidRDefault="009F74B0" w:rsidP="009F74B0">
      <w:pPr>
        <w:rPr>
          <w:b/>
          <w:sz w:val="22"/>
          <w:szCs w:val="22"/>
        </w:rPr>
      </w:pPr>
      <w:r w:rsidRPr="009F1999">
        <w:rPr>
          <w:b/>
          <w:sz w:val="22"/>
        </w:rPr>
        <w:t>1. Vă rugăm să descrieți motivele pentru care doriți să ocupați acest post și de ce vă considerați persoana potrivită.</w:t>
      </w:r>
    </w:p>
    <w:p w:rsidR="009F74B0" w:rsidRPr="009F1999" w:rsidRDefault="009F74B0" w:rsidP="009F74B0">
      <w:pPr>
        <w:rPr>
          <w:sz w:val="22"/>
          <w:szCs w:val="22"/>
        </w:rPr>
      </w:pPr>
    </w:p>
    <w:p w:rsidR="009F74B0" w:rsidRPr="009F1999" w:rsidRDefault="009F74B0" w:rsidP="009F74B0">
      <w:pPr>
        <w:spacing w:before="100" w:beforeAutospacing="1" w:after="100" w:afterAutospacing="1"/>
        <w:contextualSpacing/>
        <w:jc w:val="both"/>
        <w:rPr>
          <w:sz w:val="22"/>
          <w:szCs w:val="22"/>
        </w:rPr>
      </w:pPr>
      <w:r w:rsidRPr="009F1999">
        <w:rPr>
          <w:sz w:val="22"/>
        </w:rPr>
        <w:t xml:space="preserve">Europa este un apogeu al protecției datelor la nivel mondial și locul unde dreptul la viață privată s-a născut în urmă cu mai mult de o jumătate de secol, în landul Hessa din Germania, unde și eu mi-am început cariera în domeniul protecției vieții private. În timpul călătoriilor mele în Asia și Africa pentru a-i învăța pe responsabilii cu protecția datelor din cadrul organizațiilor internaționale (Organizația Națiunilor Unite, Crucea Roșie etc.) cum pot proteja datele populațiilor vulnerabile, văd respectul și admirația pe care le au pentru protecția datelor la nivel european. Conducerea AEPD este, în opinia mea, cea mai importantă funcție din lume în domeniul protecției vieții private și cea mai solicitantă pentru </w:t>
      </w:r>
      <w:r w:rsidRPr="009F1999">
        <w:rPr>
          <w:b/>
          <w:bCs/>
          <w:sz w:val="22"/>
        </w:rPr>
        <w:t>a ne proteja moștenirea și reputația europeană în materie de protecție a datelor</w:t>
      </w:r>
      <w:r w:rsidRPr="009F1999">
        <w:rPr>
          <w:sz w:val="22"/>
        </w:rPr>
        <w:t>, deoarece trebuie să conducem prin puterea exemplului. Aș fi onorată să primesc un astfel de rol cu impact și să contribui cu experiența mea juridică, competențele de conducere și viziunea strategică, dezvoltate până în prezent în cariera mea îndelungată.</w:t>
      </w:r>
    </w:p>
    <w:p w:rsidR="009F74B0" w:rsidRPr="009F1999" w:rsidRDefault="009F74B0" w:rsidP="009F74B0">
      <w:pPr>
        <w:spacing w:before="100" w:beforeAutospacing="1" w:after="100" w:afterAutospacing="1"/>
        <w:contextualSpacing/>
        <w:jc w:val="both"/>
        <w:rPr>
          <w:sz w:val="10"/>
          <w:szCs w:val="10"/>
        </w:rPr>
      </w:pPr>
    </w:p>
    <w:p w:rsidR="009F74B0" w:rsidRPr="009F1999" w:rsidRDefault="009F74B0" w:rsidP="009F74B0">
      <w:pPr>
        <w:spacing w:before="100" w:beforeAutospacing="1" w:after="100" w:afterAutospacing="1"/>
        <w:contextualSpacing/>
        <w:jc w:val="both"/>
        <w:rPr>
          <w:sz w:val="22"/>
          <w:szCs w:val="22"/>
        </w:rPr>
      </w:pPr>
      <w:r w:rsidRPr="009F1999">
        <w:rPr>
          <w:sz w:val="22"/>
        </w:rPr>
        <w:t xml:space="preserve">Pe durata mandatului meu de parteneră a celor patru mari firme de contabilitate, echipele mele </w:t>
      </w:r>
      <w:r w:rsidRPr="009F1999">
        <w:rPr>
          <w:b/>
          <w:bCs/>
          <w:sz w:val="22"/>
        </w:rPr>
        <w:t>au sprijinit instituțiile, agențiile și organismele europene (IUE) în ceea ce privește respectarea de către acestea a Regulamentului (UE) 2018/1725</w:t>
      </w:r>
      <w:r w:rsidRPr="009F1999">
        <w:rPr>
          <w:sz w:val="22"/>
        </w:rPr>
        <w:t xml:space="preserve">, deci sunt în mod inerent familiarizată cu activitatea necesară. În plus, pe parcursul întregii mele cariere de 28 de ani, am lucrat în mediile internaționale cele mai solicitante. </w:t>
      </w:r>
      <w:r w:rsidRPr="009F1999">
        <w:rPr>
          <w:b/>
          <w:bCs/>
          <w:sz w:val="22"/>
        </w:rPr>
        <w:t>Competitivitatea mondială, inovarea și continuitatea activității trebuie garantate în paralel cu respectarea legislației și a reglementărilor, ambele fiind la fel de importante</w:t>
      </w:r>
      <w:r w:rsidRPr="009F1999">
        <w:rPr>
          <w:sz w:val="22"/>
        </w:rPr>
        <w:t>. A trebuit să asigur transformări digitale fără probleme, să gestionez incidente cibernetice și anchete în țări nedemocratice ostile, să explic dreptul fundamental la viață privată în consiliile de administrație, să rezist la presiuni, să apăr drepturile la viață privată ale angajaților și consumatorilor, să merg în fabricile și laboratoarele unde se nășteau și erau implementate aplicațiile de IA pentru a asigura conformitatea… Aceasta este</w:t>
      </w:r>
      <w:r w:rsidRPr="009F1999">
        <w:rPr>
          <w:b/>
          <w:bCs/>
          <w:sz w:val="22"/>
        </w:rPr>
        <w:t xml:space="preserve"> o activitate de protecție a datelor „pe teren”, aflată în centrul tehnologiilor de vârf</w:t>
      </w:r>
      <w:r w:rsidRPr="009F1999">
        <w:rPr>
          <w:sz w:val="22"/>
        </w:rPr>
        <w:t>, încurajând progresul și apărând dreptul fundamental la viață privată, nu doar observând și controlând dintr-un turn de fildeș.</w:t>
      </w:r>
    </w:p>
    <w:p w:rsidR="009F74B0" w:rsidRPr="009F1999" w:rsidRDefault="009F74B0" w:rsidP="009F74B0">
      <w:pPr>
        <w:contextualSpacing/>
        <w:jc w:val="both"/>
        <w:rPr>
          <w:sz w:val="10"/>
          <w:szCs w:val="10"/>
        </w:rPr>
      </w:pPr>
    </w:p>
    <w:p w:rsidR="009F74B0" w:rsidRPr="009F1999" w:rsidRDefault="009F74B0" w:rsidP="009F74B0">
      <w:pPr>
        <w:contextualSpacing/>
        <w:jc w:val="both"/>
        <w:rPr>
          <w:sz w:val="22"/>
          <w:szCs w:val="22"/>
        </w:rPr>
      </w:pPr>
      <w:r w:rsidRPr="009F1999">
        <w:rPr>
          <w:sz w:val="22"/>
        </w:rPr>
        <w:t xml:space="preserve">Conduc echipe care prezintă </w:t>
      </w:r>
      <w:r w:rsidRPr="009F1999">
        <w:rPr>
          <w:b/>
          <w:bCs/>
          <w:sz w:val="22"/>
        </w:rPr>
        <w:t>într-un mod simplificat</w:t>
      </w:r>
      <w:r w:rsidRPr="009F1999">
        <w:rPr>
          <w:sz w:val="22"/>
        </w:rPr>
        <w:t xml:space="preserve"> numeroase legi din întreaga lume și le operaționalizează, permițând competitivitatea și inovarea. Aceasta este rutina multor profesioniști din domeniul protecției vieții private care m-au încurajat să candidez la postul de față pentru </w:t>
      </w:r>
      <w:r w:rsidRPr="009F1999">
        <w:rPr>
          <w:b/>
          <w:bCs/>
          <w:sz w:val="22"/>
        </w:rPr>
        <w:t xml:space="preserve">a reprezenta </w:t>
      </w:r>
      <w:r w:rsidRPr="009F1999">
        <w:rPr>
          <w:b/>
          <w:bCs/>
          <w:sz w:val="22"/>
        </w:rPr>
        <w:lastRenderedPageBreak/>
        <w:t>„lumea reală” a sectorului</w:t>
      </w:r>
      <w:r w:rsidRPr="009F1999">
        <w:rPr>
          <w:sz w:val="22"/>
        </w:rPr>
        <w:t xml:space="preserve">. Multe sunt femei care ar dori, de asemenea, să vadă prima femeie care conduce AEPD în cei 20 de ani de istorie ai agenției. Doresc să aduc AEPD această perspectivă și să ajut Europa să facă față provocării și să obțină avantajul competitiv pe care îl merită, </w:t>
      </w:r>
      <w:r w:rsidRPr="009F1999">
        <w:rPr>
          <w:b/>
          <w:bCs/>
          <w:sz w:val="22"/>
        </w:rPr>
        <w:t>stabilind în același timp standardul global pentru respectarea vieții umane și a demnității umane, respectarea dreptului fundamental la viață privată</w:t>
      </w:r>
      <w:r w:rsidRPr="009F1999">
        <w:rPr>
          <w:sz w:val="22"/>
        </w:rPr>
        <w:t xml:space="preserve">. </w:t>
      </w:r>
    </w:p>
    <w:p w:rsidR="009F74B0" w:rsidRPr="009F1999" w:rsidRDefault="009F74B0" w:rsidP="009F74B0">
      <w:pPr>
        <w:contextualSpacing/>
        <w:jc w:val="both"/>
        <w:rPr>
          <w:sz w:val="10"/>
          <w:szCs w:val="10"/>
        </w:rPr>
      </w:pPr>
    </w:p>
    <w:p w:rsidR="009F74B0" w:rsidRPr="009F1999" w:rsidRDefault="009F74B0" w:rsidP="009F74B0">
      <w:pPr>
        <w:contextualSpacing/>
        <w:jc w:val="both"/>
        <w:rPr>
          <w:sz w:val="22"/>
          <w:szCs w:val="22"/>
        </w:rPr>
      </w:pPr>
      <w:r w:rsidRPr="009F1999">
        <w:rPr>
          <w:sz w:val="22"/>
        </w:rPr>
        <w:t xml:space="preserve">Inteligența artificială va pune sub semnul întrebării standardul nostru global și extinde deja rolul actual al AEPD în domenii neexplorate. Prin studiile mele de specialitate la MIT, dar și prin activitatea pe care o desfășor 1) ca membră a Grupului permanent de monitorizare pentru IA, protecția cibernetică și a datelor în cadrul Federației Mondiale a Oamenilor de Știință și al Fundației Ettore Majorana, unde, prin intermediul a 932 universități conectate, construim o școală internațională multidisciplinară pentru IA pe teritoriul UE, 2) prin intermediul conferințelor mele privind tehnologiile emergente, internetul obiectelor și IA la ECPC al Universității din Maastricht și 3) pentru DESY-Kommission für Ethik in der Forschung, </w:t>
      </w:r>
      <w:r w:rsidRPr="009F1999">
        <w:rPr>
          <w:b/>
          <w:bCs/>
          <w:sz w:val="22"/>
        </w:rPr>
        <w:t>mă simt calificată să conduc activitatea Unității privind IA</w:t>
      </w:r>
      <w:r w:rsidRPr="009F1999">
        <w:rPr>
          <w:sz w:val="22"/>
        </w:rPr>
        <w:t xml:space="preserve"> din cadrul AEPD. IA nu este nouă și lucrez de mai mulți ani la elemente ale „fabricii viitorului” și la numeroase aplicații de IA. Va exista un impact societal masiv asupra cetățenilor europeni. IA are puterea de a ne îmbunătăți asistența medicală, prosperitatea, calitatea vieții, dar și de a ne afecta negativ, în special în ceea ce privește datele noastre cu caracter personal. AEPD își asumă noi responsabilități pentru tehnologia IA și ar trebui să fie suficient de </w:t>
      </w:r>
      <w:r w:rsidRPr="009F1999">
        <w:rPr>
          <w:b/>
          <w:bCs/>
          <w:sz w:val="22"/>
        </w:rPr>
        <w:t>informată pentru a asigura siguranța cu garanții bine calculate</w:t>
      </w:r>
      <w:r w:rsidRPr="009F1999">
        <w:rPr>
          <w:sz w:val="22"/>
        </w:rPr>
        <w:t>, mai degrabă decât să emită aforisme și interdicții generale bazate pe teama de necunoscut.</w:t>
      </w:r>
    </w:p>
    <w:p w:rsidR="009F74B0" w:rsidRPr="009F1999" w:rsidRDefault="009F74B0" w:rsidP="009F74B0">
      <w:pPr>
        <w:spacing w:before="100" w:beforeAutospacing="1"/>
        <w:contextualSpacing/>
        <w:jc w:val="both"/>
        <w:rPr>
          <w:sz w:val="10"/>
          <w:szCs w:val="10"/>
        </w:rPr>
      </w:pPr>
    </w:p>
    <w:p w:rsidR="009F74B0" w:rsidRPr="009F1999" w:rsidRDefault="009F74B0" w:rsidP="009F74B0">
      <w:pPr>
        <w:contextualSpacing/>
        <w:jc w:val="both"/>
        <w:rPr>
          <w:sz w:val="22"/>
          <w:szCs w:val="22"/>
        </w:rPr>
      </w:pPr>
      <w:r w:rsidRPr="009F1999">
        <w:rPr>
          <w:sz w:val="22"/>
        </w:rPr>
        <w:t xml:space="preserve">În plus, </w:t>
      </w:r>
      <w:r w:rsidRPr="009F1999">
        <w:rPr>
          <w:b/>
          <w:bCs/>
          <w:sz w:val="22"/>
        </w:rPr>
        <w:t>vorbesc șapte limbi ale UE și am lucrat în diverse țări ale UE</w:t>
      </w:r>
      <w:r w:rsidRPr="009F1999">
        <w:rPr>
          <w:sz w:val="22"/>
        </w:rPr>
        <w:t xml:space="preserve"> și, totodată, am vizitat în mod regulat multe alte țări pentru activități de protecție a vieții private. Cel mai important, vorbesc limba multor autorități de reglementare. Am colaborat cu aproape toate aceste autorități din UE (și cu autorități din afara sa, unde ofer formări prin intermediul Academiei de Protecție a Datelor), deci sunt familiarizată cu diferențele lor istorice și cu abordările lor diverse și pot coordona o </w:t>
      </w:r>
      <w:r w:rsidRPr="009F1999">
        <w:rPr>
          <w:b/>
          <w:bCs/>
          <w:sz w:val="22"/>
        </w:rPr>
        <w:t>abordare mai armonizată prin intermediul secretariatului Comitetului European pentru Protecția Datelor</w:t>
      </w:r>
      <w:r w:rsidRPr="009F1999">
        <w:rPr>
          <w:sz w:val="22"/>
        </w:rPr>
        <w:t>.</w:t>
      </w:r>
    </w:p>
    <w:p w:rsidR="009F74B0" w:rsidRPr="009F1999" w:rsidRDefault="009F74B0" w:rsidP="009F74B0">
      <w:pPr>
        <w:jc w:val="both"/>
        <w:rPr>
          <w:sz w:val="22"/>
          <w:szCs w:val="22"/>
        </w:rPr>
      </w:pPr>
    </w:p>
    <w:p w:rsidR="009F74B0" w:rsidRPr="009F1999" w:rsidRDefault="009F74B0" w:rsidP="009F74B0">
      <w:pPr>
        <w:jc w:val="both"/>
        <w:rPr>
          <w:sz w:val="22"/>
          <w:szCs w:val="22"/>
        </w:rPr>
      </w:pPr>
    </w:p>
    <w:p w:rsidR="009F74B0" w:rsidRPr="009F1999" w:rsidRDefault="009F74B0" w:rsidP="009F74B0">
      <w:pPr>
        <w:rPr>
          <w:b/>
          <w:sz w:val="22"/>
          <w:szCs w:val="22"/>
        </w:rPr>
      </w:pPr>
      <w:r w:rsidRPr="009F1999">
        <w:rPr>
          <w:b/>
          <w:sz w:val="22"/>
        </w:rPr>
        <w:t>2. Cum intenționați să îndepliniți rolul atribuit în mod legal AEPD?</w:t>
      </w:r>
    </w:p>
    <w:p w:rsidR="009F74B0" w:rsidRPr="009F1999" w:rsidRDefault="009F74B0" w:rsidP="009F74B0">
      <w:pPr>
        <w:rPr>
          <w:sz w:val="22"/>
          <w:szCs w:val="22"/>
        </w:rPr>
      </w:pPr>
    </w:p>
    <w:p w:rsidR="009F74B0" w:rsidRPr="009F1999" w:rsidRDefault="009F74B0" w:rsidP="009F74B0">
      <w:pPr>
        <w:jc w:val="both"/>
        <w:rPr>
          <w:sz w:val="22"/>
          <w:szCs w:val="22"/>
        </w:rPr>
      </w:pPr>
      <w:r w:rsidRPr="009F1999">
        <w:rPr>
          <w:sz w:val="22"/>
        </w:rPr>
        <w:t xml:space="preserve">În primul rând, având în vedere contextul meu internațional, sunt o europeană adevărată înaintea oricărei naționalități specifice. Mă voi asigura că </w:t>
      </w:r>
      <w:r w:rsidRPr="009F1999">
        <w:rPr>
          <w:b/>
          <w:bCs/>
          <w:sz w:val="22"/>
        </w:rPr>
        <w:t>lucrăm cu integritate pentru interesele Uniunii</w:t>
      </w:r>
      <w:r w:rsidRPr="009F1999">
        <w:rPr>
          <w:sz w:val="22"/>
        </w:rPr>
        <w:t xml:space="preserve"> într-o funcție ce consolidează o disciplină care mă pasionează și căreia mi-am dedicat aproape 18 ani din viață. Venind dintr-un context variat, cu activități semnificative în mediul de afaceri și în comunitatea științifică, pot aduce o nouă perspectivă.</w:t>
      </w:r>
    </w:p>
    <w:p w:rsidR="009F74B0" w:rsidRPr="009F1999" w:rsidRDefault="009F74B0" w:rsidP="009F74B0">
      <w:pPr>
        <w:jc w:val="both"/>
        <w:rPr>
          <w:sz w:val="10"/>
          <w:szCs w:val="10"/>
        </w:rPr>
      </w:pPr>
    </w:p>
    <w:p w:rsidR="009F74B0" w:rsidRPr="009F1999" w:rsidRDefault="009F74B0" w:rsidP="009F74B0">
      <w:pPr>
        <w:jc w:val="both"/>
        <w:rPr>
          <w:sz w:val="22"/>
          <w:szCs w:val="22"/>
        </w:rPr>
      </w:pPr>
      <w:r w:rsidRPr="009F1999">
        <w:rPr>
          <w:sz w:val="22"/>
        </w:rPr>
        <w:t xml:space="preserve">Rolul autorității de supraveghere în cadrul unei organizații internaționale este, în opinia noastră, diferit de cel al unei autorități naționale de reglementare prin faptul că trebuie să adopte </w:t>
      </w:r>
      <w:r w:rsidRPr="009F1999">
        <w:rPr>
          <w:b/>
          <w:bCs/>
          <w:sz w:val="22"/>
        </w:rPr>
        <w:t>o abordare bazată pe colaborare</w:t>
      </w:r>
      <w:r w:rsidRPr="009F1999">
        <w:rPr>
          <w:sz w:val="22"/>
        </w:rPr>
        <w:t>.</w:t>
      </w:r>
      <w:r w:rsidRPr="009F1999">
        <w:rPr>
          <w:b/>
          <w:sz w:val="22"/>
        </w:rPr>
        <w:t xml:space="preserve"> </w:t>
      </w:r>
      <w:r w:rsidRPr="009F1999">
        <w:rPr>
          <w:sz w:val="22"/>
        </w:rPr>
        <w:t xml:space="preserve">Supravegherea și asigurarea respectării legislației nu urmează o abordare strictă și seacă, cu investigații aleatorii privind părți interesate necunoscute cu intenții necunoscute, cum ar face o autoritate națională de supraveghere. O organizație internațională ar trebui să se îndrepte către un obiectiv comun, cu contacte periodice și transparență între diferitele sale componente. Aceasta este calea pe care am urmat-o la autoritatea de supraveghere a Organizației Europene pentru Cercetare Nucleară, unde sunt președintă. Prin urmare, aș intenționa ca, în cadrul AEPD, să rămânem într-un </w:t>
      </w:r>
      <w:r w:rsidRPr="009F1999">
        <w:rPr>
          <w:b/>
          <w:bCs/>
          <w:sz w:val="22"/>
        </w:rPr>
        <w:t>dialog regulat</w:t>
      </w:r>
      <w:r w:rsidRPr="009F1999">
        <w:rPr>
          <w:sz w:val="22"/>
        </w:rPr>
        <w:t xml:space="preserve"> cu IUE, într-un </w:t>
      </w:r>
      <w:r w:rsidRPr="009F1999">
        <w:rPr>
          <w:b/>
          <w:bCs/>
          <w:sz w:val="22"/>
        </w:rPr>
        <w:t>spirit de colaborare și de reciprocitate</w:t>
      </w:r>
      <w:r w:rsidRPr="009F1999">
        <w:rPr>
          <w:sz w:val="22"/>
        </w:rPr>
        <w:t xml:space="preserve">, în care aspectele sunt discutate proactiv, nu după fapte sau erori, pentru a proteja reputația Uniunii. </w:t>
      </w:r>
    </w:p>
    <w:p w:rsidR="009F74B0" w:rsidRPr="009F1999" w:rsidRDefault="009F74B0" w:rsidP="009F74B0">
      <w:pPr>
        <w:jc w:val="both"/>
        <w:rPr>
          <w:sz w:val="10"/>
          <w:szCs w:val="10"/>
        </w:rPr>
      </w:pPr>
    </w:p>
    <w:p w:rsidR="009F74B0" w:rsidRPr="009F1999" w:rsidRDefault="009F74B0" w:rsidP="009F74B0">
      <w:pPr>
        <w:jc w:val="both"/>
        <w:rPr>
          <w:sz w:val="22"/>
          <w:szCs w:val="22"/>
        </w:rPr>
      </w:pPr>
      <w:r w:rsidRPr="009F1999">
        <w:rPr>
          <w:sz w:val="22"/>
        </w:rPr>
        <w:t xml:space="preserve">Întrucât elementele fundamentale ale economiei mondiale sunt în schimbare, iar Europa trebuie să țină pasul cu noile tehnologii care aspiră să fie competitive la nivel mondial, agilitatea IUE este de o importanță capitală. Așadar, acestea trebuie sprijinite și consiliate în consecință. </w:t>
      </w:r>
      <w:r w:rsidRPr="009F1999">
        <w:rPr>
          <w:b/>
          <w:bCs/>
          <w:sz w:val="22"/>
        </w:rPr>
        <w:t>Intenția și angajamentul meu sunt ca, în cadrul AEPD, să dăm dovadă de eficiență, simplificare, disponibilitate și răspundere</w:t>
      </w:r>
      <w:r w:rsidRPr="009F1999">
        <w:rPr>
          <w:sz w:val="22"/>
        </w:rPr>
        <w:t xml:space="preserve">. Bugetele vor fi ținute sub control, birocrația va fi redusă, personalul se va concentra în principal pe acordarea de asistență și orientare IUE, iar indicatorii-cheie de performanță vor fi mai calitativi pentru a ilustra promptitudinea și calitatea sprijinului nostru. Ne vom concentra asupra soluționării rapide a plângerilor și asupra îmbunătățirii promptitudinii răspunsurilor noastre. Și </w:t>
      </w:r>
      <w:r w:rsidRPr="009F1999">
        <w:rPr>
          <w:sz w:val="22"/>
        </w:rPr>
        <w:lastRenderedPageBreak/>
        <w:t xml:space="preserve">mai mult, ne vom asigura că, în rolul nostru consultativ, oferim consiliere de înaltă calitate, simplificată și rapidă, încurajând IUE să ne consulte în mod regulat și proactiv. </w:t>
      </w:r>
    </w:p>
    <w:p w:rsidR="009F74B0" w:rsidRPr="009F1999" w:rsidRDefault="009F74B0" w:rsidP="009F74B0">
      <w:pPr>
        <w:jc w:val="both"/>
        <w:rPr>
          <w:sz w:val="10"/>
          <w:szCs w:val="10"/>
        </w:rPr>
      </w:pPr>
    </w:p>
    <w:p w:rsidR="009F74B0" w:rsidRPr="009F1999" w:rsidRDefault="009F74B0" w:rsidP="009F74B0">
      <w:pPr>
        <w:jc w:val="both"/>
        <w:rPr>
          <w:sz w:val="22"/>
          <w:szCs w:val="22"/>
        </w:rPr>
      </w:pPr>
      <w:r w:rsidRPr="009F1999">
        <w:rPr>
          <w:sz w:val="22"/>
        </w:rPr>
        <w:t xml:space="preserve">În ceea ce privește cooperarea, vom colabora îndeaproape cu autoritățile naționale de protecție a datelor din UE, </w:t>
      </w:r>
      <w:r w:rsidRPr="009F1999">
        <w:rPr>
          <w:b/>
          <w:bCs/>
          <w:sz w:val="22"/>
        </w:rPr>
        <w:t>promovând un climat de respect și dialog deschis</w:t>
      </w:r>
      <w:r w:rsidRPr="009F1999">
        <w:rPr>
          <w:sz w:val="22"/>
        </w:rPr>
        <w:t xml:space="preserve">. Trecerea de la Grupul de lucru „Articolul 29” la CEPD [în prezent instituit în temeiul Regulamentului (UE) 2016/679, în centrul său aflându-se AEPD] este relativ recentă; însă au fost create legături, iar secretariatul împlinește câțiva ani de existență. Intenția mea este ca competențele mele lingvistice și activitatea mea în mai multe jurisdicții să permită </w:t>
      </w:r>
      <w:r w:rsidRPr="009F1999">
        <w:rPr>
          <w:b/>
          <w:bCs/>
          <w:sz w:val="22"/>
        </w:rPr>
        <w:t>o mai mare coerență</w:t>
      </w:r>
      <w:r w:rsidRPr="009F1999">
        <w:rPr>
          <w:sz w:val="22"/>
        </w:rPr>
        <w:t>. Cooperarea nu se va limita la autoritățile naționale pentru protecția datelor din UE și vor fi dezvoltate legături cu alte APD dacă și când acest lucru se va alinia cu AEPD și cu strategia globală a IUE (și anume statele luate în considerare pentru aderarea la UE).</w:t>
      </w:r>
    </w:p>
    <w:p w:rsidR="009F74B0" w:rsidRPr="009F1999" w:rsidRDefault="009F74B0" w:rsidP="009F74B0">
      <w:pPr>
        <w:jc w:val="both"/>
        <w:rPr>
          <w:sz w:val="10"/>
          <w:szCs w:val="10"/>
        </w:rPr>
      </w:pPr>
    </w:p>
    <w:p w:rsidR="009F74B0" w:rsidRPr="009F1999" w:rsidRDefault="009F74B0" w:rsidP="009F74B0">
      <w:pPr>
        <w:jc w:val="both"/>
        <w:rPr>
          <w:sz w:val="22"/>
          <w:szCs w:val="22"/>
        </w:rPr>
      </w:pPr>
      <w:r w:rsidRPr="009F1999">
        <w:rPr>
          <w:sz w:val="22"/>
        </w:rPr>
        <w:t xml:space="preserve">Deși AEPD se concentrează asupra IUE, nu se poate nega impactul mai larg. Aș dori ca AEPD să fie o sursă de inspirație prin acest rol și, împreună cu IUE, să abordeze impactul societal și etic al noilor tehnologii și modul de menținere a demnității umane și a vieții private, permițând în același timp competitivitatea și inovarea. Împreună cu echipa – în special cu unitatea nou creată privind IA – vom investi în educația noastră continuă în domeniul noilor tehnologii și în </w:t>
      </w:r>
      <w:r w:rsidRPr="009F1999">
        <w:rPr>
          <w:b/>
          <w:bCs/>
          <w:sz w:val="22"/>
        </w:rPr>
        <w:t>legăturile cu comunitatea științifică</w:t>
      </w:r>
      <w:r w:rsidRPr="009F1999">
        <w:rPr>
          <w:sz w:val="22"/>
        </w:rPr>
        <w:t xml:space="preserve">. Întreprinderea comună EuroHPC și fabricile de IA sunt acum o realitate de care ar trebui să ținem seama pentru un viitor mai bun pentru generațiile următoare. IA nu ar trebui să ne îngrijoreze. La fel cum omenirea a stăpânit energia electrică și, în 1879, dl Edison (la compania căruia am lucrat ca șefă a departamentului pentru protecția vieții private pentru Europa, Orientul Mijlociu și Africa) a adus-o în casele noastre și nu ne mai putem imagina viața fără ea, putem face același lucru cu alte tehnologii. O educație adecvată ne va ajuta să punem în aplicare garanțiile adecvate pentru a avansa fără a dezumaniza lumea noastră sau fără a ne compromite drepturile și libertățile fundamentale. </w:t>
      </w:r>
    </w:p>
    <w:p w:rsidR="009F74B0" w:rsidRPr="009F1999" w:rsidRDefault="009F74B0" w:rsidP="009F74B0">
      <w:pPr>
        <w:jc w:val="both"/>
        <w:rPr>
          <w:sz w:val="22"/>
          <w:szCs w:val="22"/>
        </w:rPr>
      </w:pPr>
    </w:p>
    <w:p w:rsidR="009F74B0" w:rsidRPr="009F1999" w:rsidRDefault="009F74B0" w:rsidP="009F74B0">
      <w:pPr>
        <w:rPr>
          <w:sz w:val="22"/>
          <w:szCs w:val="22"/>
        </w:rPr>
      </w:pPr>
    </w:p>
    <w:p w:rsidR="009F74B0" w:rsidRPr="009F1999" w:rsidRDefault="009F74B0" w:rsidP="009F74B0">
      <w:pPr>
        <w:rPr>
          <w:b/>
          <w:sz w:val="22"/>
          <w:szCs w:val="22"/>
        </w:rPr>
      </w:pPr>
      <w:r w:rsidRPr="009F1999">
        <w:rPr>
          <w:b/>
          <w:sz w:val="22"/>
        </w:rPr>
        <w:t>3. Vă rugăm să descrieți viziunea dumneavoastră pentru viitorul autorității pe care ar urma să o conduceți în calitate de șefă a AEPD, inclusiv eventualele provocări pe care le anticipați și prioritățile dumneavoastră pentru această autoritate independentă.</w:t>
      </w:r>
    </w:p>
    <w:p w:rsidR="009F74B0" w:rsidRPr="009F1999" w:rsidRDefault="009F74B0" w:rsidP="009F74B0">
      <w:pPr>
        <w:jc w:val="both"/>
        <w:rPr>
          <w:sz w:val="22"/>
          <w:szCs w:val="22"/>
        </w:rPr>
      </w:pPr>
    </w:p>
    <w:p w:rsidR="009F74B0" w:rsidRPr="009F1999" w:rsidRDefault="009F74B0" w:rsidP="009F74B0">
      <w:pPr>
        <w:jc w:val="both"/>
        <w:rPr>
          <w:color w:val="000000" w:themeColor="text1"/>
          <w:sz w:val="22"/>
          <w:szCs w:val="22"/>
        </w:rPr>
      </w:pPr>
      <w:r w:rsidRPr="009F1999">
        <w:rPr>
          <w:color w:val="000000" w:themeColor="text1"/>
          <w:sz w:val="22"/>
        </w:rPr>
        <w:t xml:space="preserve">Următorii cinci ani vor fi esențiali, deoarece ne confruntăm cu provocări geopolitice, trecând printr-o revoluție tehnologică și asistând la tehnologii emergente care generează noi riscuri și oportunități. IUE vor dori să beneficieze de utilizarea unor astfel de tehnologii și vor avea nevoie de orientări rapide și concise din partea AEPD. Intenționez ca AEPD să fie: </w:t>
      </w:r>
    </w:p>
    <w:p w:rsidR="009F74B0" w:rsidRPr="009F1999" w:rsidRDefault="009F74B0" w:rsidP="009F74B0">
      <w:pPr>
        <w:jc w:val="both"/>
        <w:rPr>
          <w:color w:val="000000" w:themeColor="text1"/>
          <w:sz w:val="10"/>
          <w:szCs w:val="10"/>
        </w:rPr>
      </w:pPr>
    </w:p>
    <w:p w:rsidR="009F74B0" w:rsidRPr="009F1999" w:rsidRDefault="00844BDC" w:rsidP="009F74B0">
      <w:pPr>
        <w:jc w:val="both"/>
        <w:rPr>
          <w:color w:val="000000" w:themeColor="text1"/>
          <w:sz w:val="22"/>
          <w:szCs w:val="22"/>
        </w:rPr>
      </w:pPr>
      <w:r>
        <w:rPr>
          <w:b/>
          <w:color w:val="000000" w:themeColor="text1"/>
          <w:sz w:val="22"/>
        </w:rPr>
        <w:t>1)</w:t>
      </w:r>
      <w:r w:rsidR="009F74B0" w:rsidRPr="009F1999">
        <w:rPr>
          <w:b/>
          <w:color w:val="000000" w:themeColor="text1"/>
          <w:sz w:val="22"/>
        </w:rPr>
        <w:t xml:space="preserve"> Un partener, un consilier și o autoritate de reglementare fiabilă și eficientă pentru IUE, care să le orienteze către conformitate. </w:t>
      </w:r>
      <w:r w:rsidR="009F74B0" w:rsidRPr="009F1999">
        <w:rPr>
          <w:color w:val="000000" w:themeColor="text1"/>
          <w:sz w:val="22"/>
        </w:rPr>
        <w:t xml:space="preserve">Într-o economie bazată pe date și în urma raportului Draghi, AEPD va lucra la simplificarea, claritatea, rapiditatea, pragmatismul și certitudinea recomandărilor sale. Deși legislația poate fi complexă, orientările trebuie să fie clare, simple și pragmatice. Întrucât orientările sunt adesea puse la dispoziția publicului pe site-ul AEPD, acestea pot stabili, de asemenea, un etalon ce va aduce beneficii cetățenilor UE și IMM-urilor și întreprinderilor nou-înființate europene care nu își pot permite consultanță juridică. Operațiunile, investigațiile și tratarea plângerilor trebuie să respecte termenele solicitate. </w:t>
      </w:r>
    </w:p>
    <w:p w:rsidR="009F74B0" w:rsidRPr="009F1999" w:rsidRDefault="009F74B0" w:rsidP="009F74B0">
      <w:pPr>
        <w:pStyle w:val="ListParagraph"/>
        <w:spacing w:after="0" w:line="240" w:lineRule="auto"/>
        <w:ind w:left="0"/>
        <w:jc w:val="both"/>
        <w:rPr>
          <w:rFonts w:ascii="Times New Roman" w:eastAsia="Times New Roman" w:hAnsi="Times New Roman" w:cs="Times New Roman"/>
          <w:color w:val="000000" w:themeColor="text1"/>
          <w:kern w:val="0"/>
          <w:sz w:val="10"/>
          <w:szCs w:val="10"/>
          <w14:ligatures w14:val="none"/>
        </w:rPr>
      </w:pPr>
    </w:p>
    <w:p w:rsidR="009F74B0" w:rsidRPr="009F1999" w:rsidRDefault="009F74B0" w:rsidP="009F74B0">
      <w:pPr>
        <w:pStyle w:val="ListParagraph"/>
        <w:spacing w:after="0" w:line="240" w:lineRule="auto"/>
        <w:ind w:left="0"/>
        <w:jc w:val="both"/>
        <w:rPr>
          <w:rFonts w:ascii="Times New Roman" w:eastAsia="Times New Roman" w:hAnsi="Times New Roman" w:cs="Times New Roman"/>
          <w:color w:val="000000" w:themeColor="text1"/>
          <w:kern w:val="0"/>
          <w:sz w:val="22"/>
          <w:szCs w:val="22"/>
          <w14:ligatures w14:val="none"/>
        </w:rPr>
      </w:pPr>
      <w:r w:rsidRPr="009F1999">
        <w:rPr>
          <w:rFonts w:ascii="Times New Roman" w:hAnsi="Times New Roman"/>
          <w:b/>
          <w:color w:val="000000" w:themeColor="text1"/>
          <w:sz w:val="22"/>
        </w:rPr>
        <w:t>2</w:t>
      </w:r>
      <w:r w:rsidR="00844BDC">
        <w:rPr>
          <w:rFonts w:ascii="Times New Roman" w:hAnsi="Times New Roman"/>
          <w:b/>
          <w:color w:val="000000" w:themeColor="text1"/>
          <w:sz w:val="22"/>
        </w:rPr>
        <w:t>)</w:t>
      </w:r>
      <w:r w:rsidRPr="009F1999">
        <w:rPr>
          <w:rFonts w:ascii="Times New Roman" w:hAnsi="Times New Roman"/>
          <w:color w:val="000000" w:themeColor="text1"/>
          <w:sz w:val="22"/>
        </w:rPr>
        <w:t xml:space="preserve"> </w:t>
      </w:r>
      <w:r w:rsidRPr="009F1999">
        <w:rPr>
          <w:rFonts w:ascii="Times New Roman" w:hAnsi="Times New Roman"/>
          <w:b/>
          <w:color w:val="000000" w:themeColor="text1"/>
          <w:sz w:val="22"/>
        </w:rPr>
        <w:t xml:space="preserve">Un gardian al dreptului fundamental la viață privată al personalului IUE și al cetățenilor UE în contextul unor riscuri geopolitice, acordând prioritate securității. </w:t>
      </w:r>
      <w:r w:rsidRPr="009F1999">
        <w:rPr>
          <w:rFonts w:ascii="Times New Roman" w:hAnsi="Times New Roman"/>
          <w:color w:val="000000" w:themeColor="text1"/>
          <w:sz w:val="22"/>
        </w:rPr>
        <w:t xml:space="preserve">Uniunea trebuie să își apere teritoriul în circumstanțe geopolitice dificile, iar AEPD ar trebui să acorde prioritate acestui lucru. Hackerii, în special, au multe motive pentru a viza IUE și, îndeosebi, principalele sisteme de date (EURODAC, SIV, VIS, SIS II etc.) trebuie să fie securizate. În timp ce alte IUE au această misiune, AEPD are obligația de a dialoga în mod regulat cu experții IUE în materie de securitate cibernetică și îi va sprijini la construirea și întreținerea unor sisteme solide. Acesta este un domeniu în care încrederea este de o importanță capitală și în care poate fi necesar rolul consultativ al AEPD, având în vedere că am supravegheat deja furnizarea de evaluări de securitate pentru IUE într-o funcție anterioară. </w:t>
      </w:r>
    </w:p>
    <w:p w:rsidR="009F74B0" w:rsidRPr="009F1999" w:rsidRDefault="009F74B0" w:rsidP="009F74B0">
      <w:pPr>
        <w:pStyle w:val="ListParagraph"/>
        <w:rPr>
          <w:rFonts w:ascii="Times New Roman" w:eastAsia="Times New Roman" w:hAnsi="Times New Roman" w:cs="Times New Roman"/>
          <w:b/>
          <w:bCs/>
          <w:color w:val="000000" w:themeColor="text1"/>
          <w:kern w:val="0"/>
          <w:sz w:val="10"/>
          <w:szCs w:val="10"/>
          <w14:ligatures w14:val="none"/>
        </w:rPr>
      </w:pPr>
    </w:p>
    <w:p w:rsidR="009F74B0" w:rsidRPr="009F1999" w:rsidRDefault="00844BDC" w:rsidP="009F74B0">
      <w:pPr>
        <w:pStyle w:val="ListParagraph"/>
        <w:spacing w:after="0" w:line="240" w:lineRule="auto"/>
        <w:ind w:left="0"/>
        <w:jc w:val="both"/>
        <w:rPr>
          <w:rFonts w:ascii="Times New Roman" w:eastAsia="Times New Roman" w:hAnsi="Times New Roman" w:cs="Times New Roman"/>
          <w:kern w:val="0"/>
          <w:sz w:val="22"/>
          <w:szCs w:val="22"/>
          <w14:ligatures w14:val="none"/>
        </w:rPr>
      </w:pPr>
      <w:r>
        <w:rPr>
          <w:rFonts w:ascii="Times New Roman" w:hAnsi="Times New Roman"/>
          <w:b/>
          <w:color w:val="000000" w:themeColor="text1"/>
          <w:sz w:val="22"/>
        </w:rPr>
        <w:t>3)</w:t>
      </w:r>
      <w:r w:rsidR="009F74B0" w:rsidRPr="009F1999">
        <w:rPr>
          <w:rFonts w:ascii="Times New Roman" w:hAnsi="Times New Roman"/>
          <w:b/>
          <w:color w:val="000000" w:themeColor="text1"/>
          <w:sz w:val="22"/>
        </w:rPr>
        <w:t xml:space="preserve"> </w:t>
      </w:r>
      <w:r w:rsidR="009F74B0" w:rsidRPr="009F1999">
        <w:rPr>
          <w:rFonts w:ascii="Times New Roman" w:hAnsi="Times New Roman"/>
          <w:b/>
          <w:bCs/>
          <w:color w:val="000000" w:themeColor="text1"/>
          <w:sz w:val="22"/>
        </w:rPr>
        <w:t>Un lider mondial în dezbaterea privind etica digitală și guvernanța datelor favorabile inovării.</w:t>
      </w:r>
      <w:r w:rsidR="009F74B0" w:rsidRPr="009F1999">
        <w:rPr>
          <w:rFonts w:ascii="Times New Roman" w:hAnsi="Times New Roman"/>
          <w:b/>
          <w:color w:val="000000" w:themeColor="text1"/>
          <w:sz w:val="22"/>
        </w:rPr>
        <w:t xml:space="preserve"> </w:t>
      </w:r>
      <w:r w:rsidR="009F74B0" w:rsidRPr="009F1999">
        <w:rPr>
          <w:rFonts w:ascii="Times New Roman" w:hAnsi="Times New Roman"/>
          <w:sz w:val="22"/>
        </w:rPr>
        <w:t xml:space="preserve">Dispozitivele de chirurgie robotică bazate pe IA cu o precizie mai mare decât cea a mâinilor umane sau imagistica medicală care poate detecta tumori maligne într-un stadiu foarte timpuriu pe care ochiul uman </w:t>
      </w:r>
      <w:r w:rsidR="009F74B0" w:rsidRPr="009F1999">
        <w:rPr>
          <w:rFonts w:ascii="Times New Roman" w:hAnsi="Times New Roman"/>
          <w:sz w:val="22"/>
        </w:rPr>
        <w:lastRenderedPageBreak/>
        <w:t>nu le poate identifica utilizează cantități mari de date sensibile. Totuși, ele sunt benefice pentru îmbunătățirea sănătății europenilor și pot prezenta chiar mai puține riscuri decât roboți de chat cu un volum mai mic de date care, în mâinile greșite, au condus chiar la sinucidere. AEPD se află într-o poziție bună pentru a acționa ca lider mondial în dezbaterea internațională privind etica digitală, pledând pentru valorile europene și contribuind la conturarea principiilor etice pentru implementarea responsabilă a noilor tehnologii.</w:t>
      </w:r>
    </w:p>
    <w:p w:rsidR="009F74B0" w:rsidRPr="009F1999" w:rsidRDefault="009F74B0" w:rsidP="009F74B0">
      <w:pPr>
        <w:pStyle w:val="ListParagraph"/>
        <w:spacing w:after="0" w:line="240" w:lineRule="auto"/>
        <w:ind w:left="0"/>
        <w:jc w:val="both"/>
        <w:rPr>
          <w:rFonts w:ascii="Times New Roman" w:eastAsia="Times New Roman" w:hAnsi="Times New Roman" w:cs="Times New Roman"/>
          <w:color w:val="000000" w:themeColor="text1"/>
          <w:kern w:val="0"/>
          <w:sz w:val="10"/>
          <w:szCs w:val="10"/>
          <w14:ligatures w14:val="none"/>
        </w:rPr>
      </w:pPr>
      <w:r w:rsidRPr="009F1999">
        <w:rPr>
          <w:rFonts w:asciiTheme="majorBidi" w:hAnsiTheme="majorBidi"/>
          <w:sz w:val="22"/>
        </w:rPr>
        <w:t xml:space="preserve"> </w:t>
      </w:r>
    </w:p>
    <w:p w:rsidR="009F74B0" w:rsidRPr="009F1999" w:rsidRDefault="009F74B0" w:rsidP="009F74B0">
      <w:pPr>
        <w:contextualSpacing/>
        <w:jc w:val="both"/>
        <w:rPr>
          <w:color w:val="000000" w:themeColor="text1"/>
          <w:sz w:val="22"/>
          <w:szCs w:val="22"/>
        </w:rPr>
      </w:pPr>
      <w:r w:rsidRPr="009F1999">
        <w:rPr>
          <w:b/>
          <w:bCs/>
          <w:color w:val="000000" w:themeColor="text1"/>
          <w:sz w:val="22"/>
        </w:rPr>
        <w:t>Provocările</w:t>
      </w:r>
      <w:r w:rsidRPr="009F1999">
        <w:rPr>
          <w:color w:val="000000" w:themeColor="text1"/>
          <w:sz w:val="22"/>
        </w:rPr>
        <w:t xml:space="preserve"> pentru atingerea acestor obiective sunt, în primul rând, imprevizibilitatea relevantă a elementelor declanșatoare, astfel încât trebuie să se planifice o strategie în pofida incertitudinii. În al doilea rând, orice schimbare în conducerea unei administrații publice, a unei organizații internaționale sau a oricărei echipe mari necesită pregătire și o comunicare adecvată. Pentru a depăși provocările, este necesară o planificare adecvată pas cu pas. </w:t>
      </w:r>
    </w:p>
    <w:p w:rsidR="009F74B0" w:rsidRPr="009F1999" w:rsidRDefault="009F74B0" w:rsidP="009F74B0">
      <w:pPr>
        <w:contextualSpacing/>
        <w:jc w:val="both"/>
        <w:rPr>
          <w:color w:val="000000" w:themeColor="text1"/>
          <w:sz w:val="10"/>
          <w:szCs w:val="10"/>
        </w:rPr>
      </w:pPr>
    </w:p>
    <w:p w:rsidR="009F74B0" w:rsidRPr="009F1999" w:rsidRDefault="009F74B0" w:rsidP="009F74B0">
      <w:pPr>
        <w:contextualSpacing/>
        <w:jc w:val="both"/>
        <w:rPr>
          <w:sz w:val="22"/>
          <w:szCs w:val="22"/>
        </w:rPr>
      </w:pPr>
      <w:r w:rsidRPr="009F1999">
        <w:rPr>
          <w:sz w:val="22"/>
        </w:rPr>
        <w:t xml:space="preserve">În ceea ce privește </w:t>
      </w:r>
      <w:r w:rsidRPr="009F1999">
        <w:rPr>
          <w:b/>
          <w:bCs/>
          <w:sz w:val="22"/>
        </w:rPr>
        <w:t>prioritățile</w:t>
      </w:r>
      <w:r w:rsidRPr="009F1999">
        <w:rPr>
          <w:sz w:val="22"/>
        </w:rPr>
        <w:t xml:space="preserve">, în calitate de nouă șefă a AEPD, aș începe prin a face cunoștință cu personalul și – foarte important – cu părțile interesate din cadrul IUE (RPD etc.) pentru a începe construirea unei colaborări reale. În paralel, aș analiza cu atenție indicatorii-cheie de performanță, aspectele financiare, dosarele în curs și toate elementele organizaționale/manageriale pentru a înțelege domeniile unde se poate îmbunătăți eficiența și pentru a-mi îndeplini eficace misiunea cât mai rapid. În cele din urmă, voi analiza angajamentele externe în curs și oportunitățile de a începe o interacțiune cu statele membre, cu IUE, cu întreprinderile și cu societatea civilă într-un mod echilibrat, sporind influența AEPD, și de a pleda pentru practici etice și sustenabile în materie de date și pentru promovarea principiilor europene privind viața privată și protecția datelor. </w:t>
      </w:r>
    </w:p>
    <w:p w:rsidR="00006052" w:rsidRPr="009F1999" w:rsidRDefault="00006052"/>
    <w:sectPr w:rsidR="00006052" w:rsidRPr="009F1999" w:rsidSect="009F1999">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134" w:right="1418" w:bottom="1418" w:left="1418"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FF7" w:rsidRPr="009F1999" w:rsidRDefault="006F3FF7">
      <w:r w:rsidRPr="009F1999">
        <w:separator/>
      </w:r>
    </w:p>
  </w:endnote>
  <w:endnote w:type="continuationSeparator" w:id="0">
    <w:p w:rsidR="006F3FF7" w:rsidRPr="009F1999" w:rsidRDefault="006F3FF7">
      <w:r w:rsidRPr="009F199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99" w:rsidRPr="009F1999" w:rsidRDefault="009F1999" w:rsidP="009F1999">
    <w:pPr>
      <w:pStyle w:val="EPFooter"/>
    </w:pPr>
    <w:r w:rsidRPr="009F1999">
      <w:t>PE</w:t>
    </w:r>
    <w:r w:rsidRPr="009F1999">
      <w:rPr>
        <w:rStyle w:val="HideTWBExt"/>
      </w:rPr>
      <w:t>&lt;NoPE&gt;</w:t>
    </w:r>
    <w:r w:rsidRPr="009F1999">
      <w:t>766.742</w:t>
    </w:r>
    <w:r w:rsidRPr="009F1999">
      <w:rPr>
        <w:rStyle w:val="HideTWBExt"/>
      </w:rPr>
      <w:t>&lt;/NoPE&gt;</w:t>
    </w:r>
    <w:r w:rsidRPr="009F1999">
      <w:tab/>
    </w:r>
    <w:r w:rsidRPr="009F1999">
      <w:fldChar w:fldCharType="begin"/>
    </w:r>
    <w:r w:rsidRPr="009F1999">
      <w:instrText xml:space="preserve"> PAGE  \* MERGEFORMAT </w:instrText>
    </w:r>
    <w:r w:rsidRPr="009F1999">
      <w:fldChar w:fldCharType="separate"/>
    </w:r>
    <w:r w:rsidR="00E27CDB">
      <w:rPr>
        <w:noProof/>
      </w:rPr>
      <w:t>4</w:t>
    </w:r>
    <w:r w:rsidRPr="009F1999">
      <w:fldChar w:fldCharType="end"/>
    </w:r>
    <w:r w:rsidRPr="009F1999">
      <w:t>/</w:t>
    </w:r>
    <w:fldSimple w:instr=" NUMPAGES  \* MERGEFORMAT ">
      <w:r w:rsidR="00E27CDB">
        <w:rPr>
          <w:noProof/>
        </w:rPr>
        <w:t>4</w:t>
      </w:r>
    </w:fldSimple>
    <w:r w:rsidRPr="009F1999">
      <w:tab/>
    </w:r>
    <w:r w:rsidRPr="009F1999">
      <w:rPr>
        <w:rStyle w:val="HideTWBExt"/>
      </w:rPr>
      <w:t>&lt;PathFdR&gt;</w:t>
    </w:r>
    <w:r w:rsidRPr="009F1999">
      <w:t>NT\1311202RO.docx</w:t>
    </w:r>
    <w:r w:rsidRPr="009F1999">
      <w:rPr>
        <w:rStyle w:val="HideTWBExt"/>
      </w:rPr>
      <w:t>&lt;/PathFdR&gt;</w:t>
    </w:r>
  </w:p>
  <w:p w:rsidR="00D95527" w:rsidRPr="009F1999" w:rsidRDefault="009F1999" w:rsidP="009F1999">
    <w:pPr>
      <w:pStyle w:val="EPFooter2"/>
    </w:pPr>
    <w:r w:rsidRPr="009F1999">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99" w:rsidRPr="009F1999" w:rsidRDefault="009F1999" w:rsidP="009F1999">
    <w:pPr>
      <w:pStyle w:val="EPFooter"/>
    </w:pPr>
    <w:r w:rsidRPr="009F1999">
      <w:rPr>
        <w:rStyle w:val="HideTWBExt"/>
      </w:rPr>
      <w:t>&lt;PathFdR&gt;</w:t>
    </w:r>
    <w:r w:rsidRPr="009F1999">
      <w:t>NT\1311202RO.docx</w:t>
    </w:r>
    <w:r w:rsidRPr="009F1999">
      <w:rPr>
        <w:rStyle w:val="HideTWBExt"/>
      </w:rPr>
      <w:t>&lt;/PathFdR&gt;</w:t>
    </w:r>
    <w:r w:rsidRPr="009F1999">
      <w:tab/>
    </w:r>
    <w:r w:rsidRPr="009F1999">
      <w:fldChar w:fldCharType="begin"/>
    </w:r>
    <w:r w:rsidRPr="009F1999">
      <w:instrText xml:space="preserve"> PAGE  \* MERGEFORMAT </w:instrText>
    </w:r>
    <w:r w:rsidRPr="009F1999">
      <w:fldChar w:fldCharType="separate"/>
    </w:r>
    <w:r w:rsidR="00E27CDB">
      <w:rPr>
        <w:noProof/>
      </w:rPr>
      <w:t>4</w:t>
    </w:r>
    <w:r w:rsidRPr="009F1999">
      <w:fldChar w:fldCharType="end"/>
    </w:r>
    <w:r w:rsidRPr="009F1999">
      <w:t>/</w:t>
    </w:r>
    <w:fldSimple w:instr=" NUMPAGES  \* MERGEFORMAT ">
      <w:r w:rsidR="00E27CDB">
        <w:rPr>
          <w:noProof/>
        </w:rPr>
        <w:t>4</w:t>
      </w:r>
    </w:fldSimple>
    <w:r w:rsidRPr="009F1999">
      <w:tab/>
      <w:t>PE</w:t>
    </w:r>
    <w:r w:rsidRPr="009F1999">
      <w:rPr>
        <w:rStyle w:val="HideTWBExt"/>
      </w:rPr>
      <w:t>&lt;NoPE&gt;</w:t>
    </w:r>
    <w:r w:rsidRPr="009F1999">
      <w:t>766.742</w:t>
    </w:r>
    <w:r w:rsidRPr="009F1999">
      <w:rPr>
        <w:rStyle w:val="HideTWBExt"/>
      </w:rPr>
      <w:t>&lt;/NoPE&gt;</w:t>
    </w:r>
  </w:p>
  <w:p w:rsidR="00D95527" w:rsidRPr="009F1999" w:rsidRDefault="009F1999" w:rsidP="009F1999">
    <w:pPr>
      <w:pStyle w:val="EPFooter2"/>
    </w:pPr>
    <w:r w:rsidRPr="009F1999">
      <w:tab/>
    </w:r>
    <w:r w:rsidRPr="009F1999">
      <w:tab/>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99" w:rsidRPr="009F1999" w:rsidRDefault="009F1999" w:rsidP="009F1999">
    <w:pPr>
      <w:pStyle w:val="EPFooter"/>
    </w:pPr>
    <w:r w:rsidRPr="009F1999">
      <w:rPr>
        <w:rStyle w:val="HideTWBExt"/>
      </w:rPr>
      <w:t>&lt;PathFdR&gt;</w:t>
    </w:r>
    <w:r w:rsidRPr="009F1999">
      <w:t>NT\1311202RO.docx</w:t>
    </w:r>
    <w:r w:rsidRPr="009F1999">
      <w:rPr>
        <w:rStyle w:val="HideTWBExt"/>
      </w:rPr>
      <w:t>&lt;/PathFdR&gt;</w:t>
    </w:r>
    <w:r w:rsidRPr="009F1999">
      <w:tab/>
    </w:r>
    <w:r w:rsidRPr="009F1999">
      <w:tab/>
      <w:t>PE</w:t>
    </w:r>
    <w:r w:rsidRPr="009F1999">
      <w:rPr>
        <w:rStyle w:val="HideTWBExt"/>
      </w:rPr>
      <w:t>&lt;NoPE&gt;</w:t>
    </w:r>
    <w:r w:rsidRPr="009F1999">
      <w:t>766.742</w:t>
    </w:r>
    <w:r w:rsidRPr="009F1999">
      <w:rPr>
        <w:rStyle w:val="HideTWBExt"/>
      </w:rPr>
      <w:t>&lt;/NoPE&gt;</w:t>
    </w:r>
  </w:p>
  <w:p w:rsidR="00E93ED6" w:rsidRPr="009F1999" w:rsidRDefault="009F1999" w:rsidP="009F1999">
    <w:pPr>
      <w:pStyle w:val="EPFooter2"/>
    </w:pPr>
    <w:r w:rsidRPr="009F1999">
      <w:t>RO</w:t>
    </w:r>
    <w:r w:rsidRPr="009F1999">
      <w:tab/>
    </w:r>
    <w:r w:rsidRPr="009F1999">
      <w:tab/>
      <w:t>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FF7" w:rsidRPr="009F1999" w:rsidRDefault="006F3FF7">
      <w:r w:rsidRPr="009F1999">
        <w:separator/>
      </w:r>
    </w:p>
  </w:footnote>
  <w:footnote w:type="continuationSeparator" w:id="0">
    <w:p w:rsidR="006F3FF7" w:rsidRPr="009F1999" w:rsidRDefault="006F3FF7">
      <w:r w:rsidRPr="009F199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DB" w:rsidRDefault="00E27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DB" w:rsidRDefault="00E27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DB" w:rsidRDefault="00E27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TypeID" w:val="NONE"/>
    <w:docVar w:name="strSubDir" w:val="1311"/>
    <w:docVar w:name="TXTLANGUE" w:val="EN"/>
    <w:docVar w:name="TXTLANGUEMIN" w:val="en"/>
    <w:docVar w:name="TXTNRPE" w:val="766.742"/>
    <w:docVar w:name="TXTPEorAP" w:val="PE"/>
    <w:docVar w:name="TXTROUTE" w:val="NT\1311202EN.docx"/>
  </w:docVars>
  <w:rsids>
    <w:rsidRoot w:val="006F3FF7"/>
    <w:rsid w:val="00006052"/>
    <w:rsid w:val="00036199"/>
    <w:rsid w:val="000B3765"/>
    <w:rsid w:val="001C553B"/>
    <w:rsid w:val="001F0314"/>
    <w:rsid w:val="00233C94"/>
    <w:rsid w:val="002C30FA"/>
    <w:rsid w:val="00306F80"/>
    <w:rsid w:val="00351DF4"/>
    <w:rsid w:val="005719D6"/>
    <w:rsid w:val="005D7B22"/>
    <w:rsid w:val="00655845"/>
    <w:rsid w:val="00664292"/>
    <w:rsid w:val="006F3FF7"/>
    <w:rsid w:val="00763C99"/>
    <w:rsid w:val="00773D44"/>
    <w:rsid w:val="00844BDC"/>
    <w:rsid w:val="009324B9"/>
    <w:rsid w:val="009E76B7"/>
    <w:rsid w:val="009F1999"/>
    <w:rsid w:val="009F74B0"/>
    <w:rsid w:val="00A60152"/>
    <w:rsid w:val="00B32ABF"/>
    <w:rsid w:val="00BF40B7"/>
    <w:rsid w:val="00C0762D"/>
    <w:rsid w:val="00D00EBD"/>
    <w:rsid w:val="00D1454C"/>
    <w:rsid w:val="00D33ACA"/>
    <w:rsid w:val="00D95527"/>
    <w:rsid w:val="00DC1887"/>
    <w:rsid w:val="00E27CDB"/>
    <w:rsid w:val="00E314AE"/>
    <w:rsid w:val="00E93ED6"/>
    <w:rsid w:val="00FE3EFE"/>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CDAC2"/>
  <w15:chartTrackingRefBased/>
  <w15:docId w15:val="{198F329E-E2C1-4D2F-A33D-A46CA1ED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B22"/>
    <w:rPr>
      <w:sz w:val="24"/>
    </w:rPr>
  </w:style>
  <w:style w:type="paragraph" w:styleId="Heading1">
    <w:name w:val="heading 1"/>
    <w:basedOn w:val="Normal"/>
    <w:next w:val="Normal"/>
    <w:link w:val="Heading1Char"/>
    <w:semiHidden/>
    <w:qFormat/>
    <w:rsid w:val="002C30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Footer2">
    <w:name w:val="EPFooter2"/>
    <w:basedOn w:val="Normal"/>
    <w:next w:val="Normal"/>
    <w:rsid w:val="00006052"/>
    <w:pPr>
      <w:tabs>
        <w:tab w:val="center" w:pos="4535"/>
        <w:tab w:val="right" w:pos="9921"/>
      </w:tabs>
      <w:ind w:left="-850" w:right="-850"/>
    </w:pPr>
    <w:rPr>
      <w:rFonts w:ascii="Arial" w:hAnsi="Arial" w:cs="Arial"/>
      <w:b/>
      <w:sz w:val="48"/>
    </w:rPr>
  </w:style>
  <w:style w:type="character" w:customStyle="1" w:styleId="HideTWBExt">
    <w:name w:val="HideTWBExt"/>
    <w:rsid w:val="00655845"/>
    <w:rPr>
      <w:rFonts w:ascii="Arial" w:hAnsi="Arial"/>
      <w:noProof/>
      <w:vanish/>
      <w:color w:val="000080"/>
      <w:sz w:val="20"/>
    </w:rPr>
  </w:style>
  <w:style w:type="character" w:customStyle="1" w:styleId="HideTWBInt">
    <w:name w:val="HideTWBInt"/>
    <w:rsid w:val="00655845"/>
    <w:rPr>
      <w:rFonts w:ascii="Arial" w:hAnsi="Arial" w:cs="Arial"/>
      <w:vanish/>
      <w:color w:val="808080"/>
      <w:sz w:val="20"/>
    </w:rPr>
  </w:style>
  <w:style w:type="paragraph" w:customStyle="1" w:styleId="EPFooter">
    <w:name w:val="EPFooter"/>
    <w:basedOn w:val="Normal"/>
    <w:rsid w:val="00D95527"/>
    <w:pPr>
      <w:tabs>
        <w:tab w:val="center" w:pos="4535"/>
        <w:tab w:val="right" w:pos="9071"/>
      </w:tabs>
      <w:spacing w:before="240" w:after="240"/>
    </w:pPr>
    <w:rPr>
      <w:color w:val="010000"/>
      <w:sz w:val="22"/>
    </w:rPr>
  </w:style>
  <w:style w:type="character" w:customStyle="1" w:styleId="Heading1Char">
    <w:name w:val="Heading 1 Char"/>
    <w:basedOn w:val="DefaultParagraphFont"/>
    <w:link w:val="Heading1"/>
    <w:semiHidden/>
    <w:rsid w:val="00BF40B7"/>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2C30FA"/>
    <w:pPr>
      <w:spacing w:after="240"/>
    </w:pPr>
  </w:style>
  <w:style w:type="paragraph" w:styleId="ListParagraph">
    <w:name w:val="List Paragraph"/>
    <w:basedOn w:val="Normal"/>
    <w:uiPriority w:val="34"/>
    <w:qFormat/>
    <w:rsid w:val="009F74B0"/>
    <w:pPr>
      <w:spacing w:after="160" w:line="278" w:lineRule="auto"/>
      <w:ind w:left="720"/>
      <w:contextualSpacing/>
    </w:pPr>
    <w:rPr>
      <w:rFonts w:asciiTheme="minorHAnsi" w:eastAsiaTheme="minorEastAsia" w:hAnsiTheme="minorHAnsi" w:cstheme="minorBidi"/>
      <w:kern w:val="2"/>
      <w:szCs w:val="24"/>
      <w:lang w:eastAsia="zh-CN"/>
      <w14:ligatures w14:val="standardContextual"/>
    </w:rPr>
  </w:style>
  <w:style w:type="paragraph" w:styleId="Footer">
    <w:name w:val="footer"/>
    <w:basedOn w:val="Normal"/>
    <w:link w:val="FooterChar"/>
    <w:rsid w:val="00233C94"/>
    <w:pPr>
      <w:tabs>
        <w:tab w:val="center" w:pos="4513"/>
        <w:tab w:val="right" w:pos="9026"/>
      </w:tabs>
    </w:pPr>
  </w:style>
  <w:style w:type="character" w:customStyle="1" w:styleId="FooterChar">
    <w:name w:val="Footer Char"/>
    <w:basedOn w:val="DefaultParagraphFont"/>
    <w:link w:val="Footer"/>
    <w:rsid w:val="00233C94"/>
    <w:rPr>
      <w:sz w:val="24"/>
    </w:rPr>
  </w:style>
  <w:style w:type="paragraph" w:styleId="Header">
    <w:name w:val="header"/>
    <w:basedOn w:val="Normal"/>
    <w:link w:val="HeaderChar"/>
    <w:rsid w:val="00E27CDB"/>
    <w:pPr>
      <w:tabs>
        <w:tab w:val="center" w:pos="4513"/>
        <w:tab w:val="right" w:pos="9026"/>
      </w:tabs>
    </w:pPr>
  </w:style>
  <w:style w:type="character" w:customStyle="1" w:styleId="HeaderChar">
    <w:name w:val="Header Char"/>
    <w:basedOn w:val="DefaultParagraphFont"/>
    <w:link w:val="Header"/>
    <w:rsid w:val="00E27C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cuyer\AppData\Local\Temp\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4</Pages>
  <Words>2174</Words>
  <Characters>12375</Characters>
  <Application>Microsoft Office Word</Application>
  <DocSecurity>0</DocSecurity>
  <Lines>186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LECUYER Katarzyna</dc:creator>
  <cp:keywords/>
  <dc:description/>
  <cp:lastModifiedBy>PAUL Andrada</cp:lastModifiedBy>
  <cp:revision>2</cp:revision>
  <dcterms:created xsi:type="dcterms:W3CDTF">2025-01-10T08:25:00Z</dcterms:created>
  <dcterms:modified xsi:type="dcterms:W3CDTF">2025-01-10T08:25:00Z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RO</vt:lpwstr>
  </property>
  <property fmtid="{D5CDD505-2E9C-101B-9397-08002B2CF9AE}" pid="3" name="Created with">
    <vt:lpwstr>10.0.0 Build [20241115]</vt:lpwstr>
  </property>
  <property fmtid="{D5CDD505-2E9C-101B-9397-08002B2CF9AE}" pid="4" name="LastEdited with">
    <vt:lpwstr>10.0.0 Build [20241202]</vt:lpwstr>
  </property>
  <property fmtid="{D5CDD505-2E9C-101B-9397-08002B2CF9AE}" pid="5" name="&lt;FdR&gt;">
    <vt:lpwstr>1311202</vt:lpwstr>
  </property>
  <property fmtid="{D5CDD505-2E9C-101B-9397-08002B2CF9AE}" pid="6" name="&lt;Type&gt;">
    <vt:lpwstr>NT</vt:lpwstr>
  </property>
  <property fmtid="{D5CDD505-2E9C-101B-9397-08002B2CF9AE}" pid="7" name="&lt;ModelCod&gt;">
    <vt:lpwstr>NONE</vt:lpwstr>
  </property>
  <property fmtid="{D5CDD505-2E9C-101B-9397-08002B2CF9AE}" pid="8" name="&lt;ModelTra&gt;">
    <vt:lpwstr>NONE</vt:lpwstr>
  </property>
  <property fmtid="{D5CDD505-2E9C-101B-9397-08002B2CF9AE}" pid="9" name="&lt;Model&gt;">
    <vt:lpwstr>NONE</vt:lpwstr>
  </property>
  <property fmtid="{D5CDD505-2E9C-101B-9397-08002B2CF9AE}" pid="10" name="FooterPath">
    <vt:lpwstr>NT\1311202RO.docx</vt:lpwstr>
  </property>
  <property fmtid="{D5CDD505-2E9C-101B-9397-08002B2CF9AE}" pid="11" name="PE number">
    <vt:lpwstr>766.742</vt:lpwstr>
  </property>
  <property fmtid="{D5CDD505-2E9C-101B-9397-08002B2CF9AE}" pid="12" name="SendToEpades">
    <vt:lpwstr>OK - 2024/12/12 18:08</vt:lpwstr>
  </property>
  <property fmtid="{D5CDD505-2E9C-101B-9397-08002B2CF9AE}" pid="13" name="SDLStudio">
    <vt:lpwstr/>
  </property>
  <property fmtid="{D5CDD505-2E9C-101B-9397-08002B2CF9AE}" pid="14" name="Bookout">
    <vt:lpwstr>OK - 2025/01/10 09:25</vt:lpwstr>
  </property>
</Properties>
</file>