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C7" w:rsidRPr="005563D5" w:rsidRDefault="004710C7" w:rsidP="004710C7">
      <w:pPr>
        <w:rPr>
          <w:sz w:val="2"/>
          <w:szCs w:val="2"/>
        </w:rPr>
      </w:pPr>
      <w:bookmarkStart w:id="0" w:name="_GoBack"/>
      <w:bookmarkEnd w:id="0"/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7"/>
        <w:gridCol w:w="3084"/>
      </w:tblGrid>
      <w:tr w:rsidR="004710C7" w:rsidRPr="005563D5" w:rsidTr="00EE1CE9">
        <w:trPr>
          <w:jc w:val="center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710C7" w:rsidRPr="005563D5" w:rsidRDefault="004710C7" w:rsidP="00EE1CE9">
            <w:pPr>
              <w:spacing w:after="160"/>
              <w:rPr>
                <w:rFonts w:ascii="Arial Narrow" w:hAnsi="Arial Narrow" w:cs="Arial Narrow"/>
                <w:sz w:val="32"/>
                <w:szCs w:val="32"/>
              </w:rPr>
            </w:pPr>
            <w:r w:rsidRPr="005563D5">
              <w:rPr>
                <w:rFonts w:ascii="Arial Narrow" w:hAnsi="Arial Narrow"/>
                <w:b/>
                <w:sz w:val="32"/>
              </w:rPr>
              <w:t>Parlament Ewropew</w:t>
            </w:r>
          </w:p>
          <w:p w:rsidR="004710C7" w:rsidRPr="005563D5" w:rsidRDefault="004710C7" w:rsidP="00EE1CE9">
            <w:pPr>
              <w:rPr>
                <w:rFonts w:ascii="Arial" w:hAnsi="Arial" w:cs="Arial"/>
                <w:sz w:val="20"/>
              </w:rPr>
            </w:pPr>
            <w:r w:rsidRPr="005563D5">
              <w:rPr>
                <w:rFonts w:ascii="Arial" w:hAnsi="Arial"/>
                <w:sz w:val="20"/>
              </w:rPr>
              <w:t>2024-2029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710C7" w:rsidRPr="005563D5" w:rsidRDefault="004710C7" w:rsidP="00EE1CE9">
            <w:pPr>
              <w:spacing w:line="320" w:lineRule="atLeast"/>
              <w:jc w:val="right"/>
              <w:rPr>
                <w:szCs w:val="24"/>
              </w:rPr>
            </w:pPr>
            <w:r w:rsidRPr="005563D5">
              <w:rPr>
                <w:noProof/>
              </w:rPr>
              <w:drawing>
                <wp:inline distT="0" distB="0" distL="0" distR="0" wp14:anchorId="3FF66E7C" wp14:editId="6BF95E24">
                  <wp:extent cx="1119505" cy="61468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0C7" w:rsidRPr="005563D5" w:rsidTr="00EE1CE9">
        <w:trPr>
          <w:jc w:val="center"/>
        </w:trPr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0C7" w:rsidRPr="005563D5" w:rsidRDefault="004710C7" w:rsidP="00EE1CE9"/>
        </w:tc>
      </w:tr>
    </w:tbl>
    <w:p w:rsidR="004710C7" w:rsidRPr="005563D5" w:rsidRDefault="004710C7" w:rsidP="004710C7">
      <w:pPr>
        <w:rPr>
          <w:rFonts w:ascii="Arial" w:hAnsi="Arial" w:cs="Arial"/>
          <w:sz w:val="20"/>
        </w:rPr>
      </w:pPr>
    </w:p>
    <w:p w:rsidR="004710C7" w:rsidRPr="005563D5" w:rsidRDefault="004710C7" w:rsidP="004710C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563D5">
        <w:rPr>
          <w:rFonts w:ascii="Arial" w:hAnsi="Arial"/>
          <w:i/>
          <w:sz w:val="22"/>
        </w:rPr>
        <w:t>Kumitat għal-Libertajiet Ċivili, il-Ġustizzja u l-Intern</w:t>
      </w:r>
    </w:p>
    <w:p w:rsidR="004710C7" w:rsidRPr="005563D5" w:rsidRDefault="004710C7" w:rsidP="004710C7">
      <w:pPr>
        <w:rPr>
          <w:rFonts w:ascii="Arial" w:hAnsi="Arial" w:cs="Arial"/>
          <w:sz w:val="22"/>
          <w:szCs w:val="22"/>
        </w:rPr>
      </w:pPr>
    </w:p>
    <w:p w:rsidR="004710C7" w:rsidRPr="005563D5" w:rsidRDefault="004710C7" w:rsidP="004710C7">
      <w:pPr>
        <w:spacing w:before="240" w:after="240" w:line="320" w:lineRule="atLeast"/>
        <w:jc w:val="center"/>
        <w:rPr>
          <w:rFonts w:ascii="Arial" w:hAnsi="Arial" w:cs="Arial"/>
          <w:szCs w:val="24"/>
        </w:rPr>
      </w:pPr>
      <w:r w:rsidRPr="005563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9D75C6" wp14:editId="2BBC1FF2">
                <wp:simplePos x="0" y="0"/>
                <wp:positionH relativeFrom="page">
                  <wp:posOffset>889000</wp:posOffset>
                </wp:positionH>
                <wp:positionV relativeFrom="paragraph">
                  <wp:posOffset>-152400</wp:posOffset>
                </wp:positionV>
                <wp:extent cx="57658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74C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pt,-12pt" to="52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u/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aTadp9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" o:allowincell="f">
                <w10:wrap anchorx="page"/>
              </v:line>
            </w:pict>
          </mc:Fallback>
        </mc:AlternateContent>
      </w:r>
    </w:p>
    <w:p w:rsidR="004710C7" w:rsidRPr="005563D5" w:rsidRDefault="004710C7" w:rsidP="004710C7">
      <w:pPr>
        <w:jc w:val="center"/>
        <w:rPr>
          <w:b/>
        </w:rPr>
      </w:pPr>
      <w:r w:rsidRPr="005563D5">
        <w:rPr>
          <w:b/>
        </w:rPr>
        <w:t>Ħatra tal-Kontrollur Ewropew għall-Protezzjoni tad-Data għall-perjodu 2014-2029</w:t>
      </w:r>
    </w:p>
    <w:p w:rsidR="004710C7" w:rsidRPr="005563D5" w:rsidRDefault="004710C7" w:rsidP="004710C7">
      <w:pPr>
        <w:jc w:val="center"/>
        <w:rPr>
          <w:b/>
        </w:rPr>
      </w:pPr>
      <w:r w:rsidRPr="005563D5">
        <w:rPr>
          <w:b/>
        </w:rPr>
        <w:t>Smigħ tal-kandidati fis-16 ta’ Jannar 2025, 09.00 - 10.30</w:t>
      </w:r>
    </w:p>
    <w:p w:rsidR="004710C7" w:rsidRPr="005563D5" w:rsidRDefault="004710C7" w:rsidP="004710C7">
      <w:pPr>
        <w:jc w:val="center"/>
        <w:rPr>
          <w:b/>
        </w:rPr>
      </w:pPr>
      <w:r w:rsidRPr="005563D5">
        <w:rPr>
          <w:b/>
        </w:rPr>
        <w:t>fil-Parlament Ewropew</w:t>
      </w:r>
    </w:p>
    <w:p w:rsidR="004710C7" w:rsidRPr="005563D5" w:rsidRDefault="004710C7" w:rsidP="004710C7">
      <w:pPr>
        <w:jc w:val="center"/>
        <w:rPr>
          <w:b/>
        </w:rPr>
      </w:pPr>
      <w:r w:rsidRPr="005563D5">
        <w:rPr>
          <w:b/>
        </w:rPr>
        <w:t>Brussell</w:t>
      </w:r>
    </w:p>
    <w:p w:rsidR="004710C7" w:rsidRPr="005563D5" w:rsidRDefault="004710C7" w:rsidP="004710C7"/>
    <w:p w:rsidR="004710C7" w:rsidRPr="005563D5" w:rsidRDefault="004710C7" w:rsidP="004710C7"/>
    <w:p w:rsidR="004710C7" w:rsidRPr="005563D5" w:rsidRDefault="004710C7" w:rsidP="004710C7">
      <w:pPr>
        <w:jc w:val="center"/>
      </w:pPr>
      <w:r w:rsidRPr="005563D5">
        <w:t>Tweġibiet tal-kandidat is-Sur Wojciech WIEWIÓROWSKI</w:t>
      </w:r>
    </w:p>
    <w:p w:rsidR="004710C7" w:rsidRPr="005563D5" w:rsidRDefault="004710C7" w:rsidP="004710C7">
      <w:pPr>
        <w:rPr>
          <w:sz w:val="22"/>
          <w:szCs w:val="22"/>
        </w:rPr>
      </w:pPr>
    </w:p>
    <w:p w:rsidR="004710C7" w:rsidRPr="005563D5" w:rsidRDefault="004710C7" w:rsidP="004710C7">
      <w:pPr>
        <w:rPr>
          <w:sz w:val="22"/>
          <w:szCs w:val="22"/>
        </w:rPr>
      </w:pPr>
    </w:p>
    <w:p w:rsidR="004710C7" w:rsidRPr="005563D5" w:rsidRDefault="004710C7" w:rsidP="004710C7">
      <w:pPr>
        <w:rPr>
          <w:b/>
          <w:sz w:val="22"/>
          <w:szCs w:val="22"/>
        </w:rPr>
      </w:pPr>
      <w:r w:rsidRPr="005563D5">
        <w:rPr>
          <w:b/>
          <w:sz w:val="22"/>
        </w:rPr>
        <w:t>1. Tista’ jekk jogħġbok tiddeskrivi r-raġunijiet għall-applikazzjoni tiegħek għal din il-pożizzjoni u għala tqis lilek innifsek adatt(a) għaliha?</w:t>
      </w:r>
    </w:p>
    <w:p w:rsidR="004710C7" w:rsidRPr="005563D5" w:rsidRDefault="004710C7" w:rsidP="004710C7">
      <w:pPr>
        <w:rPr>
          <w:sz w:val="22"/>
          <w:szCs w:val="22"/>
        </w:rPr>
      </w:pPr>
    </w:p>
    <w:p w:rsidR="004710C7" w:rsidRPr="005563D5" w:rsidRDefault="004710C7" w:rsidP="004710C7">
      <w:pPr>
        <w:jc w:val="both"/>
        <w:rPr>
          <w:sz w:val="22"/>
          <w:szCs w:val="22"/>
        </w:rPr>
      </w:pPr>
      <w:r w:rsidRPr="005563D5">
        <w:rPr>
          <w:sz w:val="22"/>
        </w:rPr>
        <w:t>Ftit aktar minn għaxar snin ilu, ippreżentajt ruħi quddiem il-Parlament Ewropew bħala kandidat għall-pożizzjoni ta’Assistent Kontrollur fl-EDPS. B’appoġġ għall-applikazzjoni tiegħi, iffokajt fuq il-valuri li kienu l-bażi tal-impenn tiegħi favur is-salvagwardja tad-drittijiet fundamentali fl-UE. Jiena bbażajt ruħi fuq l-esperjenza tiegħi ta’ meta rajt il-konsegwenzi li rriżultaw min-nuqqas tal-prinċipju demokratiku. Għext taħt reġim totalitarju, fejn l-effett negattiv ta’ Stat ta’ sorveljanza u tal-liġi marzjali kien ifisser li l-libertà u d-dinjità individwali kienu skarsi u ma setgħux jitqiesu bħala xi ħaġa fatta.</w:t>
      </w:r>
    </w:p>
    <w:p w:rsidR="004710C7" w:rsidRPr="005563D5" w:rsidRDefault="004710C7" w:rsidP="004710C7">
      <w:pPr>
        <w:jc w:val="both"/>
        <w:rPr>
          <w:sz w:val="16"/>
          <w:szCs w:val="16"/>
        </w:rPr>
      </w:pPr>
    </w:p>
    <w:p w:rsidR="004710C7" w:rsidRPr="005563D5" w:rsidRDefault="004710C7" w:rsidP="004710C7">
      <w:pPr>
        <w:jc w:val="both"/>
        <w:rPr>
          <w:sz w:val="22"/>
          <w:szCs w:val="22"/>
        </w:rPr>
      </w:pPr>
      <w:r w:rsidRPr="005563D5">
        <w:rPr>
          <w:sz w:val="22"/>
        </w:rPr>
        <w:t>Għaxar snin wara, il-valuri li jifformaw il-bażi tal-kandidatura tiegħi jibqgħu l-istess. Peress li kont il-Kontrollur Ewropew għall-Protezzjoni tad-Data għal dawn l-aħħar ħames snin, stajt nesperjenza direttament l-importanza li nmexxi din l-awtorità indipendenti ċċentrata fuq id-drittijiet fundamentali. Il-kriżi tal-COVID-19 u s-sitwazzjoni ġeopolitika instabbli ttestjaw l-impenn tagħna għall-privatezza u fakkruna li r-regoli dwar il-protezzjoni tad-data fl-UE jeżistu mhux biss biex jiżguraw li l-individwi jiġu ttrattati b’mod ġust u b’rispett; għandhom l-għan ukoll li jippromwovu l-interess pubbliku ġenerali Ewropew, speċjalment permezz tat-tisħiħ tal-fiduċja fl-integrità tas-suq intern tal-UE. Għandi aktar minn 25 sena esperjenza fil-qasam tal-ġestjoni tal-informazzjoni mill-perspettiva akkademika u ilni kważi 20 sena napplika dawn il-prinċipji fil-prattika fix-xogħol tiegħi fis-servizz pubbliku.</w:t>
      </w:r>
    </w:p>
    <w:p w:rsidR="004710C7" w:rsidRPr="005563D5" w:rsidRDefault="004710C7" w:rsidP="004710C7">
      <w:pPr>
        <w:jc w:val="both"/>
        <w:rPr>
          <w:sz w:val="16"/>
          <w:szCs w:val="16"/>
        </w:rPr>
      </w:pPr>
    </w:p>
    <w:p w:rsidR="004710C7" w:rsidRPr="005563D5" w:rsidRDefault="004710C7" w:rsidP="004710C7">
      <w:pPr>
        <w:jc w:val="both"/>
        <w:rPr>
          <w:sz w:val="22"/>
          <w:szCs w:val="22"/>
        </w:rPr>
      </w:pPr>
      <w:r w:rsidRPr="005563D5">
        <w:rPr>
          <w:sz w:val="22"/>
        </w:rPr>
        <w:t>L-aħħar ħames snin urew li l-EDPS huwa istituzzjoni matura. Sibt bilanċ hekk kif ipproċedejt għal skrutinju kritiku meta kien mistenni mir-regolatur filwaqt li lqajt l-iskrutinju kritiku tal-ħidma tiegħi. Nirrikonoxxi li xi drabi r-rwol ta’ regolatur huwa li jixħet dawl fuq in-natura problematika jew mhux popolari tal-kwistjonijiet, u r-rekord tiegħi wera li ma noqgħodx lura minn dan fejn huwa meħtieġ. Minn dejjem ilqajt u nibqa’ nilqa’ kritika dwar deċiżjonijiet speċifiċi, iżda nibqa’ marbut mal-valuri li l-EDPS għandu l-kompitu li jiddefendi. F’dan l-ispirtu, qed nitlob it-tieni mandat għaliex nemmen bis-sħiħ fl-istat tad-dritt u fit-trattament serju tal-prinċipji tal-ordni ġuridiku tal-Unjoni. Din l-isfida hija kruċjali hekk kif se tibda l-era aġentiva tal-IA, fejn l-IA ġenerattiva qed tintuża fuq bażi kwotidjana u fejn il-computing kwantistiku jinsab fl-orizzont.</w:t>
      </w:r>
    </w:p>
    <w:p w:rsidR="004710C7" w:rsidRPr="005563D5" w:rsidRDefault="004710C7" w:rsidP="004710C7">
      <w:pPr>
        <w:rPr>
          <w:sz w:val="16"/>
          <w:szCs w:val="16"/>
        </w:rPr>
      </w:pPr>
    </w:p>
    <w:p w:rsidR="004710C7" w:rsidRPr="005563D5" w:rsidRDefault="004710C7" w:rsidP="004710C7">
      <w:pPr>
        <w:jc w:val="both"/>
        <w:rPr>
          <w:sz w:val="22"/>
          <w:szCs w:val="22"/>
        </w:rPr>
      </w:pPr>
      <w:r w:rsidRPr="005563D5">
        <w:rPr>
          <w:sz w:val="22"/>
        </w:rPr>
        <w:t xml:space="preserve">Jiena lest li nipprovdi lil dan il-Parlament, bħal istituzzjonijiet oħra tal-Unjoni Ewropea, b’pariri infurmati u oġġettivi dwar kif għandhom jiġu indirizzati l-akbar sfidi tas-snin li ġejjin, inkluż l-iżvilupp u l-użu ta’ sistemi tal-IA, il-bijometrika u r-rikonoxximent tal-wiċċ, il-blockchain, l-ipproċessar ta’ </w:t>
      </w:r>
      <w:r w:rsidRPr="005563D5">
        <w:rPr>
          <w:sz w:val="22"/>
        </w:rPr>
        <w:lastRenderedPageBreak/>
        <w:t>newrodata, il-computing kwantistiku u t-tekniki ta’ kriptaġġ. Jiena tal-fehma li l-ebda waħda minn dawn l-isfidi ma hija ġeneralment “inkompatibbli” mal-prinċipji tal-GDPR u li għalihom kollha, ir-regoli dwar il-protezzjoni tad-data jistgħu u għandhom jipprovdu gwida importanti.</w:t>
      </w:r>
    </w:p>
    <w:p w:rsidR="004710C7" w:rsidRPr="005563D5" w:rsidRDefault="004710C7" w:rsidP="004710C7">
      <w:pPr>
        <w:rPr>
          <w:sz w:val="16"/>
          <w:szCs w:val="16"/>
        </w:rPr>
      </w:pPr>
    </w:p>
    <w:p w:rsidR="004710C7" w:rsidRPr="005563D5" w:rsidRDefault="004710C7" w:rsidP="004710C7">
      <w:pPr>
        <w:jc w:val="both"/>
        <w:rPr>
          <w:sz w:val="22"/>
          <w:szCs w:val="22"/>
        </w:rPr>
      </w:pPr>
      <w:r w:rsidRPr="005563D5">
        <w:rPr>
          <w:sz w:val="22"/>
        </w:rPr>
        <w:t>Kont ukoll fil-kariga għaċ-ċiklu tal-ħajja kollu tal-abbozzar tal-Atti tal-Ġabra tar-Regoli Diġitali u kont preżenti mill-bidu tat-tmiem - mill-ewwel abbozzi sal-mument tal-approvazzjoni finali tagħhom. Dan tani l-memorja istituzzjonali meħtieġa biex nifhem kif l-iżviluppi leġiżlattivi jaffettwaw il-prattika tal-ipproċessar tad-data u d-drittijiet tas-suġġett tad-data. Dan l-għarfien huwa kritiku biex jingħata parir legali sod dwar ir-relazzjoni bejn il-Ġabra ta’ Regoli Diġitali u l-GDPR, kif ukoll ir-Regolament 2018/1725. F’era b’interkonnettività dejjem akbar fost diversi sferi diġitali, ninsab lest li niżgura li d-dibattiti li jolqtu d-drittijiet fundamentali jibqgħu ċentrali għad-diskussjonijiet tagħna.</w:t>
      </w:r>
    </w:p>
    <w:p w:rsidR="004710C7" w:rsidRPr="005563D5" w:rsidRDefault="004710C7" w:rsidP="004710C7">
      <w:pPr>
        <w:jc w:val="both"/>
        <w:rPr>
          <w:sz w:val="16"/>
          <w:szCs w:val="16"/>
        </w:rPr>
      </w:pPr>
    </w:p>
    <w:p w:rsidR="004710C7" w:rsidRPr="005563D5" w:rsidRDefault="004710C7" w:rsidP="004710C7">
      <w:pPr>
        <w:jc w:val="both"/>
        <w:rPr>
          <w:sz w:val="22"/>
          <w:szCs w:val="22"/>
        </w:rPr>
      </w:pPr>
      <w:r w:rsidRPr="005563D5">
        <w:rPr>
          <w:sz w:val="22"/>
        </w:rPr>
        <w:t>Dan l-impenn huwa dovut minni mhux biss lid-destinatarji fil-qafas tal-funzjonijiet professjonali tiegħi, iżda wkoll liż-żewġ bniet tiegħi stess, li huma parti mill-Ġenerazzjoni Z” (u forsi anki l-“Ġenerazzjoni Alpha”) ta’ nattivi diġitali tas-seklu 21. Jien impenjat bis-sħiħ li nwitti t-triq għall-protezzjoni tad-data u l-privatezza għall-ġenerazzjonijiet li ġejjin, filwaqt li niżgura li s-soċjetà u l-ekonomija diġitali jaħdmu fl-interess ta’ kulħadd.</w:t>
      </w:r>
    </w:p>
    <w:p w:rsidR="004710C7" w:rsidRPr="005563D5" w:rsidRDefault="004710C7" w:rsidP="004710C7">
      <w:pPr>
        <w:jc w:val="both"/>
        <w:rPr>
          <w:sz w:val="22"/>
          <w:szCs w:val="22"/>
        </w:rPr>
      </w:pPr>
    </w:p>
    <w:p w:rsidR="004710C7" w:rsidRPr="005563D5" w:rsidRDefault="004710C7" w:rsidP="004710C7">
      <w:pPr>
        <w:rPr>
          <w:sz w:val="22"/>
          <w:szCs w:val="22"/>
        </w:rPr>
      </w:pPr>
    </w:p>
    <w:p w:rsidR="004710C7" w:rsidRPr="005563D5" w:rsidRDefault="004710C7" w:rsidP="004710C7">
      <w:pPr>
        <w:rPr>
          <w:sz w:val="22"/>
          <w:szCs w:val="22"/>
        </w:rPr>
      </w:pPr>
      <w:r w:rsidRPr="005563D5">
        <w:rPr>
          <w:b/>
          <w:sz w:val="22"/>
        </w:rPr>
        <w:t>2. Kif biħsiebek twettaq ir-rwol attribwit legalment lill-EDPS?</w:t>
      </w:r>
    </w:p>
    <w:p w:rsidR="004710C7" w:rsidRPr="005563D5" w:rsidRDefault="004710C7" w:rsidP="004710C7">
      <w:pPr>
        <w:rPr>
          <w:sz w:val="22"/>
          <w:szCs w:val="22"/>
        </w:rPr>
      </w:pPr>
    </w:p>
    <w:p w:rsidR="004710C7" w:rsidRPr="005563D5" w:rsidRDefault="004710C7" w:rsidP="004710C7">
      <w:pPr>
        <w:pStyle w:val="Default"/>
        <w:jc w:val="both"/>
        <w:rPr>
          <w:sz w:val="22"/>
          <w:szCs w:val="22"/>
        </w:rPr>
      </w:pPr>
      <w:r w:rsidRPr="005563D5">
        <w:rPr>
          <w:sz w:val="22"/>
        </w:rPr>
        <w:t xml:space="preserve">Billi nieħu ispirazzjoni mill-għarfien akkademiku u l-għarfien espert prattiku tiegħi miksub fil-passat fil-qasam ta’ attivitajiet kummerċjali, qed nippjana li nwettaq ir-rwol li l-EDPS ġie attribwit legalment billi nuża firxa wiesgħa ta’ esperjenza. Fl-opinjoni tiegħi, il-mod kif jiġu indirizzati l-isfidi u jinstabu soluzzjonijiet għalihom huwa billi l-għarfien minn oqsma kruċjali tal-liġi u tat-Teknoloġiji tal-Informazzjoni jiġi kkombinat ma’ esperjenza prattika kontinwa fl-applikazzjoni ta’ dawn il-karatteristiċi bħala Awtorità għall-Protezzjoni tad-Data - kemm fil-livell intern kif ukoll fl-istituzzjonijiet tal-UE, kif ukoll diversi snin ta’ attività f’fora internazzjonali differenti. </w:t>
      </w:r>
    </w:p>
    <w:p w:rsidR="004710C7" w:rsidRPr="005563D5" w:rsidRDefault="004710C7" w:rsidP="004710C7">
      <w:pPr>
        <w:pStyle w:val="Default"/>
        <w:jc w:val="both"/>
        <w:rPr>
          <w:sz w:val="16"/>
          <w:szCs w:val="16"/>
        </w:rPr>
      </w:pPr>
    </w:p>
    <w:p w:rsidR="004710C7" w:rsidRPr="005563D5" w:rsidRDefault="004710C7" w:rsidP="004710C7">
      <w:pPr>
        <w:pStyle w:val="Default"/>
        <w:jc w:val="both"/>
        <w:rPr>
          <w:sz w:val="22"/>
          <w:szCs w:val="22"/>
        </w:rPr>
      </w:pPr>
      <w:r w:rsidRPr="005563D5">
        <w:rPr>
          <w:sz w:val="22"/>
        </w:rPr>
        <w:t xml:space="preserve">Il-motto professjonali tiegħi għandu l-oriġini tiegħu fid-“Dikjarazzjoni Filosofika” tal-Assoċjazzjoni tal-Istudenti tal-Liġi Ewropea (li kont attiv fiha 30 sena ilu): </w:t>
      </w:r>
      <w:r w:rsidRPr="005563D5">
        <w:rPr>
          <w:b/>
          <w:i/>
          <w:sz w:val="22"/>
        </w:rPr>
        <w:t>“Dinja ġusta li fiha jeżisti r-rispett għad-dinjità tal-bniedem u għad-diversità kulturali”</w:t>
      </w:r>
      <w:r w:rsidRPr="005563D5">
        <w:rPr>
          <w:sz w:val="22"/>
        </w:rPr>
        <w:t xml:space="preserve">. Din mhijiex sempliċiment idea romantika. Kienet l-ixprun tal-attivitajiet kollha tiegħi, mill-esperjenza inizjali tiegħi fis-settur privat u fis-settur akkademiku għax-xogħol tiegħi fis-servizz tal-amministrazzjoni pubblika kemm f’livell nazzjonali kif ukoll f’livell Ewropew. Din il-viżjoni hija wkoll is-sors tat-twemmin tiegħi fil-proġett Ewropew. Għalhekk, nemmen bis-sħiħ li r-rwol tal-EDPS fl-aħħar mill-aħħar huwa li jikkontribwixxi għall-bini ta’ dinja ġusta. L-istat tad-dritt u d-dinjità tal-bniedem għandhom ikunu fiċ-ċentru, filwaqt li dejjem inżommu f’moħħna li m’aħniex qed nipproteġu d-data iżda lill-bnedmin ikkonċernati mid-data. Barra minn hekk, għandna nirrispettaw id-diversità kulturali tal-Ewropej, filwaqt li nqisu d-differenzi kulturali u ġuridiċi aħna u nippruvaw insibu soluzzjonijiet globali rigward il-protezzjoni tal-privatezza. Dan l-ixprun u dan il-fehim tar-rwol tal-EDPS se jiġu inkorporati fl-attivitajiet kollha tagħna, kemm jekk dawn jikkonsistu fis-superviżjoni ta’ aktar minn 70 istituzzjoni u korp tal-Unjoni, fil-parir li nipprovdu lill-koleġiżlaturi tal-Unjoni u lill-Kummissjoni dwar l-abbozz ta’ leġiżlazzjoni u fil-kompiti l-ġodda tagħna skont l-Att dwar l-IA. </w:t>
      </w:r>
    </w:p>
    <w:p w:rsidR="004710C7" w:rsidRPr="005563D5" w:rsidRDefault="004710C7" w:rsidP="004710C7">
      <w:pPr>
        <w:pStyle w:val="Default"/>
        <w:jc w:val="both"/>
        <w:rPr>
          <w:sz w:val="16"/>
          <w:szCs w:val="16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sz w:val="22"/>
        </w:rPr>
        <w:t>L-esperjenza tiegħi fir-rgward tal-kriżi tal-COVID-19 u l-invażjoni Russa tal-Ukrajna turi li l-protezzjoni tad-data tista’ taħdem u tista’ tgħinna u tippermettilna nirreaġixxu għall-kriżi b’mod effikaċi.</w:t>
      </w:r>
      <w:r w:rsidRPr="005563D5">
        <w:rPr>
          <w:color w:val="212121"/>
          <w:sz w:val="22"/>
        </w:rPr>
        <w:t xml:space="preserve"> Nemmen bis-sħiħ li nistgħu nibbażaw ruħna fuq eżempji pożittivi ta’ soluzzjonijiet miksuba minna li jirrispettaw il-privatezza. Nemmen li l-EDPS kellu rwol tremend fit-tfassil ta’ tali żviluppi, bħall-interoperabbiltà tal-passaporti u l-applikazzjonijiet tal-COVID. </w:t>
      </w:r>
      <w:r w:rsidRPr="005563D5">
        <w:rPr>
          <w:b/>
          <w:bCs/>
          <w:color w:val="212121"/>
          <w:sz w:val="22"/>
        </w:rPr>
        <w:t>Jien kburi</w:t>
      </w:r>
      <w:r w:rsidRPr="005563D5">
        <w:rPr>
          <w:color w:val="212121"/>
          <w:sz w:val="22"/>
        </w:rPr>
        <w:t xml:space="preserve"> wkoll </w:t>
      </w:r>
      <w:r w:rsidRPr="005563D5">
        <w:rPr>
          <w:b/>
          <w:bCs/>
          <w:color w:val="212121"/>
          <w:sz w:val="22"/>
        </w:rPr>
        <w:t>bir-rwol tal-EDPS</w:t>
      </w:r>
      <w:r w:rsidRPr="005563D5">
        <w:rPr>
          <w:color w:val="212121"/>
          <w:sz w:val="22"/>
        </w:rPr>
        <w:t xml:space="preserve"> fil-ħolqien tal-bażijiet tad-data tal-Eurojust dwar id-delitti tal-gwerra. </w:t>
      </w:r>
    </w:p>
    <w:p w:rsidR="004710C7" w:rsidRPr="005563D5" w:rsidRDefault="004710C7" w:rsidP="004710C7">
      <w:pPr>
        <w:pStyle w:val="Default"/>
        <w:rPr>
          <w:color w:val="212121"/>
          <w:sz w:val="16"/>
          <w:szCs w:val="16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L-EDPS għandu jżomm u jiddefendi, bl-aktar mod sod, l-indipendenza ta’ awtorità tal-protezzjoni tad-data, inkwantu din tagħmel l-istituzzjoni politikament newtrali. Indipendenza totali bħal din hija l-uniku mod biex jiġi ggarantit li l-ispirtu tal-Artikoli 7 u 8 tal-Karta tad-Drittijiet Fundamentali jinżamm b’mod li jallinja mal-valuri u t-twemmin Ewropej. Iżda fl-istess ħin, nirrikonoxxi l-ħtieġa tal-aġilità – mhux </w:t>
      </w:r>
      <w:r w:rsidRPr="005563D5">
        <w:rPr>
          <w:color w:val="212121"/>
          <w:sz w:val="22"/>
        </w:rPr>
        <w:lastRenderedPageBreak/>
        <w:t xml:space="preserve">fir-rigward tad-drittijiet fundamentali nfushom, iżda fir-rigward tal-modi li bihom jingħataw effett fil-liġi u l-politiki tal-Unjoni. </w:t>
      </w:r>
    </w:p>
    <w:p w:rsidR="004710C7" w:rsidRPr="005563D5" w:rsidRDefault="004710C7" w:rsidP="004710C7">
      <w:pPr>
        <w:pStyle w:val="Default"/>
        <w:jc w:val="both"/>
        <w:rPr>
          <w:color w:val="212121"/>
          <w:sz w:val="16"/>
          <w:szCs w:val="16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Għalkemm dejjem nenfasizza li l-EDPS mhuwiex korp politiku – ma nistgħux ninjoraw ir-realtà ġeopolitika tagħna u rridu nifhmu kif nistgħu </w:t>
      </w:r>
      <w:r w:rsidRPr="005563D5">
        <w:rPr>
          <w:b/>
          <w:color w:val="212121"/>
          <w:sz w:val="22"/>
        </w:rPr>
        <w:t>nikkooperaw ma’ pajjiżi demokratiċi tal-istess fehma</w:t>
      </w:r>
      <w:r w:rsidRPr="005563D5">
        <w:rPr>
          <w:color w:val="212121"/>
          <w:sz w:val="22"/>
        </w:rPr>
        <w:t xml:space="preserve"> u kif nistgħu niskambjaw b’suċċess il-ħidma konġunta fil-livell dinji għall-fora internazzjonali bħall-OECD u l-G7, fejn id-dikjarazzjonijiet konġunti juru l-impenji li l-Ewropa hija lesta tieħu. </w:t>
      </w:r>
    </w:p>
    <w:p w:rsidR="004710C7" w:rsidRPr="005563D5" w:rsidRDefault="004710C7" w:rsidP="004710C7">
      <w:pPr>
        <w:pStyle w:val="Default"/>
        <w:rPr>
          <w:color w:val="212121"/>
          <w:sz w:val="16"/>
          <w:szCs w:val="16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b/>
          <w:color w:val="212121"/>
          <w:sz w:val="22"/>
        </w:rPr>
        <w:t>L-amministrazzjoni Ewropea li nibnu għandha tkun intelliġenti u innovattiva.</w:t>
      </w:r>
      <w:r w:rsidRPr="005563D5">
        <w:rPr>
          <w:color w:val="212121"/>
          <w:sz w:val="22"/>
        </w:rPr>
        <w:t xml:space="preserve"> Għandha tkun kapaċi tadatta għal teknoloġiji u mudelli kummerċjali ġodda u tużahom biex il-protezzjoni tad-data ssir aktar intelliġenti u moderna. Bl-istess mod irrid li l-EDPS innifsu jkun aktar intelliġenti, bl-użu sħiħ tal-aħħar teknoloġiji inkluża l-intelliġenza artifiċjali. Jien lest li nikkonsulta firxa wiesgħa ta’ partijiet ikkonċernati mill-industrija, mis-soċjetà ċivili u mis-settur akkademiku dwar “l-aqwa u l-agħar fis-settur” fir-rigward tal-użu tad-data personali, hekk kif inrawwem kultura ta’ ġestjoni progressiva u dinamika, u nagħti valur u niżviluppa d-diversi talenti tal-persuni li jaħdmu għall-awtorità. Peress li jien konxju li l-personal tal-EDPS huwa wieħed mill-aktar teżori prezjużi li għandi għad-dispożizzjoni tiegħi, nagħti importanza kbira lill-ilħna interni fi ħdan l-istituzzjoni. L-aħħar rieżami strateġiku ta’ nofs it-terminu tagħna għamel punt li juri li għalija – kif inhu għall-EDPS – huwa importanti dak li jaħseb il-persunal tiegħu. </w:t>
      </w:r>
    </w:p>
    <w:p w:rsidR="004710C7" w:rsidRPr="005563D5" w:rsidRDefault="004710C7" w:rsidP="004710C7">
      <w:pPr>
        <w:pStyle w:val="Default"/>
        <w:jc w:val="both"/>
        <w:rPr>
          <w:color w:val="212121"/>
          <w:sz w:val="16"/>
          <w:szCs w:val="16"/>
        </w:rPr>
      </w:pPr>
    </w:p>
    <w:p w:rsidR="004710C7" w:rsidRPr="005563D5" w:rsidRDefault="004710C7" w:rsidP="004710C7">
      <w:pPr>
        <w:jc w:val="both"/>
        <w:rPr>
          <w:sz w:val="22"/>
          <w:szCs w:val="22"/>
        </w:rPr>
      </w:pPr>
      <w:r w:rsidRPr="005563D5">
        <w:rPr>
          <w:color w:val="212121"/>
          <w:sz w:val="22"/>
        </w:rPr>
        <w:t>Ir-Regolament 2018/1725 ta lill-EDPS ġabra soda ta’ setgħat ta’ infurzar iżda anki kompetenzi biex jimmobilizza l-korpi tal-UE u jħarriġhom dwar il-prattiki responsabbli fil-qasam tad-data fi spirtu ta’ responsabbiltà. Se nuża dawn il-kompetenzi bis-sħiħ, mingħajr biża’ u b’mod imparzjali, iżda b’mira ċara biex nikseb l-aħjar eżitu għall-individwi li l-EDPS qiegħed hemm biex jipproteġi.</w:t>
      </w:r>
    </w:p>
    <w:p w:rsidR="004710C7" w:rsidRPr="005563D5" w:rsidRDefault="004710C7" w:rsidP="004710C7">
      <w:pPr>
        <w:rPr>
          <w:sz w:val="22"/>
          <w:szCs w:val="22"/>
        </w:rPr>
      </w:pPr>
    </w:p>
    <w:p w:rsidR="004710C7" w:rsidRPr="005563D5" w:rsidRDefault="004710C7" w:rsidP="004710C7">
      <w:pPr>
        <w:rPr>
          <w:b/>
          <w:sz w:val="22"/>
          <w:szCs w:val="22"/>
        </w:rPr>
      </w:pPr>
      <w:r w:rsidRPr="005563D5">
        <w:rPr>
          <w:b/>
          <w:sz w:val="22"/>
        </w:rPr>
        <w:t>3. Tista’ jekk jogħġbok tiddeskrivi l-viżjoni tiegħek għall-futur tal-awtorità li jkollok tmexxi bħala l-EDPS, inklużi l-isfidi potenzjali li tantiċipa u l-prijoritajiet tiegħek għal din l-awtorità indipendenti?</w:t>
      </w:r>
    </w:p>
    <w:p w:rsidR="004710C7" w:rsidRPr="005563D5" w:rsidRDefault="004710C7" w:rsidP="004710C7">
      <w:pPr>
        <w:rPr>
          <w:sz w:val="22"/>
          <w:szCs w:val="22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Il-viżjoni tiegħi għall-futur tal-EDPS hija waħda fejn </w:t>
      </w:r>
      <w:r w:rsidRPr="005563D5">
        <w:rPr>
          <w:b/>
          <w:bCs/>
          <w:color w:val="212121"/>
          <w:sz w:val="22"/>
        </w:rPr>
        <w:t>l-EDPS huwa awtorità aġli u proattiva</w:t>
      </w:r>
      <w:r w:rsidRPr="005563D5">
        <w:rPr>
          <w:color w:val="212121"/>
          <w:sz w:val="22"/>
        </w:rPr>
        <w:t xml:space="preserve">. </w:t>
      </w:r>
    </w:p>
    <w:p w:rsidR="004710C7" w:rsidRPr="005563D5" w:rsidRDefault="004710C7" w:rsidP="004710C7">
      <w:pPr>
        <w:pStyle w:val="Default"/>
        <w:jc w:val="both"/>
        <w:rPr>
          <w:sz w:val="16"/>
          <w:szCs w:val="16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Miniex qed nipprevedi l-istabbiliment ta’ “awtorità diġitali Ewropea unika” fi żmien qasir. Aspettattivi differenti fir-rigward tal-awtoritajiet kompetenti wasslu biex il-leġiżlaturi Ewropej ħolqu għadd ta’ regolamenti li għandom il-mudelli ta’ governanza tagħhom stess u matriċi kumplessa ta’ interazzjonijiet. Fil-fatt, din hija waħda mill-isfidi li l-EDPS antiċipa fl-opinjonijiet leġislattivi tiegħu, peress li kien wieħed minn tal-ewwel li ppromwova u appella għall-koerenza. </w:t>
      </w: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Madankollu b’kont meħud tar-rwoli multipli li l-EDPS għandu skont il-liġi, jiġifieri li jkun fl-istess ħin </w:t>
      </w:r>
    </w:p>
    <w:p w:rsidR="004710C7" w:rsidRPr="005563D5" w:rsidRDefault="004710C7" w:rsidP="004710C7">
      <w:pPr>
        <w:pStyle w:val="Default"/>
        <w:jc w:val="both"/>
        <w:rPr>
          <w:color w:val="212121"/>
          <w:sz w:val="16"/>
          <w:szCs w:val="16"/>
        </w:rPr>
      </w:pPr>
    </w:p>
    <w:p w:rsidR="004710C7" w:rsidRPr="005563D5" w:rsidRDefault="004710C7" w:rsidP="004710C7">
      <w:pPr>
        <w:pStyle w:val="Default"/>
        <w:spacing w:after="23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(1) kontrollur (l-uniku regolatur verament indipendenti għall-istituzzjonijiet, il-korpi u l-aġenziji tal-UE), </w:t>
      </w:r>
    </w:p>
    <w:p w:rsidR="004710C7" w:rsidRPr="005563D5" w:rsidRDefault="004710C7" w:rsidP="004710C7">
      <w:pPr>
        <w:pStyle w:val="Default"/>
        <w:spacing w:after="23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(2) konsultant (fil-proċess leġiżlattiv); </w:t>
      </w:r>
    </w:p>
    <w:p w:rsidR="004710C7" w:rsidRPr="005563D5" w:rsidRDefault="004710C7" w:rsidP="004710C7">
      <w:pPr>
        <w:pStyle w:val="Default"/>
        <w:spacing w:after="23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(3) fornitur tas-servizzi (bħala l-fornitur tas-segretarjat tal-EDPB) u saħansitra </w:t>
      </w: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(4) awtorità tas-sorveljanza tas-suq (skont l-Att dwar l-IA), </w:t>
      </w:r>
    </w:p>
    <w:p w:rsidR="004710C7" w:rsidRPr="005563D5" w:rsidRDefault="004710C7" w:rsidP="004710C7">
      <w:pPr>
        <w:pStyle w:val="Default"/>
        <w:jc w:val="both"/>
        <w:rPr>
          <w:color w:val="212121"/>
          <w:sz w:val="16"/>
          <w:szCs w:val="16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b/>
          <w:bCs/>
          <w:color w:val="212121"/>
          <w:sz w:val="22"/>
        </w:rPr>
        <w:t>l-</w:t>
      </w:r>
      <w:r w:rsidRPr="005563D5">
        <w:rPr>
          <w:b/>
          <w:color w:val="212121"/>
          <w:sz w:val="22"/>
        </w:rPr>
        <w:t>EDPS jinsab f’pożizzjoni unika</w:t>
      </w:r>
      <w:r w:rsidRPr="005563D5">
        <w:rPr>
          <w:color w:val="212121"/>
          <w:sz w:val="22"/>
        </w:rPr>
        <w:t xml:space="preserve"> biex jiżgura flussi ta’ informazzjoni u biex ikun ċentru għall-ideat u għall-implimentazzjoni tagħhom fil-qafas regolatorju estiż, reċentement żviluppat. Fil-fehma tiegħi, ir-rwol tal-EDPS għandu jikkonsisti f’li jgħaqqad l-attivitajiet ewlenin tiegħu mal-parteċipazzjoni fil-Bord Ewropew għall-Protezzjoni tad-Data, il-Bord Ewropew għall-Innovazzjoni fil-Qasam tad-Data, il-Bord għall-Intelliġenza Artifiċjali, il-Bord Interistituzzjonali taċ-Ċibersigurtà u l-Grupp ta’ Livell Għoli dwar l-Att dwar is-Swieq Diġitali. Ninsab lest li nissupplementa r-rwol tal-EDPS biċ-ċentru ta’ koordinament diġitali 2.0 li tħabbar dan l-aħħar, li jlaqqa’ lir-regolaturi flimkien madwar l-istess medja. Dan jagħmel parti integrali mill-viżjoni proattiva tiegħi għall-awtorità, għaliex nifhem il-ħtieġa ta’ unità f’mument fejn l-Ewropa tinsab taħt skrutinju u qed tiġi kkritikata għall-allegat nuqqas ta’ innovazzjoni tagħha. Jien sempliċement iżda b’mod sod nemmen li l-innovazzjoni u d-drittijiet fundamentali jistgħu jimxu id f’id. </w:t>
      </w:r>
    </w:p>
    <w:p w:rsidR="004710C7" w:rsidRPr="005563D5" w:rsidRDefault="004710C7" w:rsidP="004710C7">
      <w:pPr>
        <w:pStyle w:val="Default"/>
        <w:jc w:val="both"/>
        <w:rPr>
          <w:color w:val="212121"/>
          <w:sz w:val="16"/>
          <w:szCs w:val="16"/>
        </w:rPr>
      </w:pPr>
    </w:p>
    <w:p w:rsidR="004710C7" w:rsidRPr="005563D5" w:rsidRDefault="004710C7" w:rsidP="004710C7">
      <w:pPr>
        <w:pStyle w:val="Default"/>
        <w:jc w:val="both"/>
        <w:rPr>
          <w:color w:val="212121"/>
          <w:sz w:val="22"/>
          <w:szCs w:val="22"/>
        </w:rPr>
      </w:pPr>
      <w:r w:rsidRPr="005563D5">
        <w:rPr>
          <w:color w:val="212121"/>
          <w:sz w:val="22"/>
        </w:rPr>
        <w:t xml:space="preserve">Minkejja dan kollu, ma nibżax ngħid li se </w:t>
      </w:r>
      <w:r w:rsidRPr="005563D5">
        <w:rPr>
          <w:b/>
          <w:color w:val="212121"/>
          <w:sz w:val="22"/>
        </w:rPr>
        <w:t>nagħti prijorità lid-diskussjoni dwar l-Intelliġenza Artifiċjali</w:t>
      </w:r>
      <w:r w:rsidRPr="005563D5">
        <w:rPr>
          <w:color w:val="212121"/>
          <w:sz w:val="22"/>
        </w:rPr>
        <w:t xml:space="preserve">. Ninsab ċert li l-istituzzjonijiet tal-UE se jeħtieġu, fil-futur viċin, linji gwida dwar kif l-Ewropa jista’ jkollha rwol ta’ mexxej fl-iżgurar tal-użu sikur tal-IA f’varjetà ta’ setturi. Dan huwa dak li jagħmel l-EDPS għas-suġġetti li għażel fil-qafas tal-previżjonijiet tiegħu “TechSonar” għall-2025, bħall-ġenerazzjoni miżjuda bl-irkupru, l-IA fuq l-apparat, it-tneħħija ta’ ċerti punti ta’ data minn mudell, l-IA multimodali, is-sorveljanza evoluttiva u l-IA newrosimbolika. </w:t>
      </w:r>
    </w:p>
    <w:p w:rsidR="004710C7" w:rsidRPr="005563D5" w:rsidRDefault="004710C7" w:rsidP="004710C7">
      <w:pPr>
        <w:pStyle w:val="Default"/>
        <w:jc w:val="both"/>
        <w:rPr>
          <w:color w:val="212121"/>
          <w:sz w:val="16"/>
          <w:szCs w:val="16"/>
        </w:rPr>
      </w:pPr>
    </w:p>
    <w:p w:rsidR="004710C7" w:rsidRPr="005563D5" w:rsidRDefault="004710C7" w:rsidP="004710C7">
      <w:pPr>
        <w:jc w:val="both"/>
        <w:rPr>
          <w:sz w:val="22"/>
          <w:szCs w:val="22"/>
        </w:rPr>
      </w:pPr>
      <w:r w:rsidRPr="005563D5">
        <w:rPr>
          <w:color w:val="212121"/>
          <w:sz w:val="22"/>
        </w:rPr>
        <w:t xml:space="preserve">Il-pożizzjonijiet prattiċi tal-EDPS se jkunu mibnija fuq il-kisbiet tal-predeċessuri tiegħi u fuq il-kisbiet tal-ewwel mandat tiegħi. F’dan is-sens, </w:t>
      </w:r>
      <w:r w:rsidRPr="005563D5">
        <w:rPr>
          <w:b/>
          <w:color w:val="212121"/>
          <w:sz w:val="22"/>
        </w:rPr>
        <w:t>nipproponi ċerta kontinwità, iżda rridu nibqgħu proattivi</w:t>
      </w:r>
      <w:r w:rsidRPr="005563D5">
        <w:rPr>
          <w:color w:val="212121"/>
          <w:sz w:val="22"/>
        </w:rPr>
        <w:t xml:space="preserve">. Jiena konxju tar-rwol speċjali tal-EDPS fi ħdan l-EDPB, kemm bħala membru u kemm bħala kollaboratur tas-Segretarjat, li jinkludi l-iżgurar li l-GDPR jagħmel differenza fil-prattika fil-ħames snin li ġejjin. </w:t>
      </w:r>
      <w:r w:rsidRPr="005563D5">
        <w:rPr>
          <w:color w:val="212121"/>
        </w:rPr>
        <w:t>Jien se nappoġġja lill-President tal-EDPB b’amministraturi u b’tagħmir tal-aqwa kwalità, filwaqt li se nagħmel dak kollu li nista’ fil-limiti tal-kompetenzi tiegħi biex ngħin lill-EDPB jirnexxi fl-għoti ta’ infurzar konsistenti u robust tal-GDPR fl-UE kollha.</w:t>
      </w:r>
    </w:p>
    <w:p w:rsidR="00006052" w:rsidRPr="005563D5" w:rsidRDefault="00006052"/>
    <w:sectPr w:rsidR="00006052" w:rsidRPr="005563D5" w:rsidSect="00556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EF" w:rsidRPr="005563D5" w:rsidRDefault="004F35EF">
      <w:r w:rsidRPr="005563D5">
        <w:separator/>
      </w:r>
    </w:p>
  </w:endnote>
  <w:endnote w:type="continuationSeparator" w:id="0">
    <w:p w:rsidR="004F35EF" w:rsidRPr="005563D5" w:rsidRDefault="004F35EF">
      <w:r w:rsidRPr="005563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D5" w:rsidRPr="005563D5" w:rsidRDefault="005563D5" w:rsidP="005563D5">
    <w:pPr>
      <w:pStyle w:val="EPFooter"/>
    </w:pPr>
    <w:r w:rsidRPr="005563D5">
      <w:t>PE</w:t>
    </w:r>
    <w:r w:rsidRPr="005563D5">
      <w:rPr>
        <w:rStyle w:val="HideTWBExt"/>
      </w:rPr>
      <w:t>&lt;NoPE&gt;</w:t>
    </w:r>
    <w:r w:rsidRPr="005563D5">
      <w:t>766.743</w:t>
    </w:r>
    <w:r w:rsidRPr="005563D5">
      <w:rPr>
        <w:rStyle w:val="HideTWBExt"/>
      </w:rPr>
      <w:t>&lt;/NoPE&gt;</w:t>
    </w:r>
    <w:r w:rsidRPr="005563D5">
      <w:tab/>
    </w:r>
    <w:r w:rsidRPr="005563D5">
      <w:fldChar w:fldCharType="begin"/>
    </w:r>
    <w:r w:rsidRPr="005563D5">
      <w:instrText xml:space="preserve"> PAGE  \* MERGEFORMAT </w:instrText>
    </w:r>
    <w:r w:rsidRPr="005563D5">
      <w:fldChar w:fldCharType="separate"/>
    </w:r>
    <w:r w:rsidR="00224F5E">
      <w:rPr>
        <w:noProof/>
      </w:rPr>
      <w:t>2</w:t>
    </w:r>
    <w:r w:rsidRPr="005563D5">
      <w:fldChar w:fldCharType="end"/>
    </w:r>
    <w:r w:rsidRPr="005563D5">
      <w:t>/</w:t>
    </w:r>
    <w:fldSimple w:instr=" NUMPAGES  \* MERGEFORMAT ">
      <w:r w:rsidR="00224F5E">
        <w:rPr>
          <w:noProof/>
        </w:rPr>
        <w:t>4</w:t>
      </w:r>
    </w:fldSimple>
    <w:r w:rsidRPr="005563D5">
      <w:tab/>
    </w:r>
    <w:r w:rsidRPr="005563D5">
      <w:rPr>
        <w:rStyle w:val="HideTWBExt"/>
      </w:rPr>
      <w:t>&lt;PathFdR&gt;</w:t>
    </w:r>
    <w:r w:rsidRPr="005563D5">
      <w:t>NT\1311203MT.docx</w:t>
    </w:r>
    <w:r w:rsidRPr="005563D5">
      <w:rPr>
        <w:rStyle w:val="HideTWBExt"/>
      </w:rPr>
      <w:t>&lt;/PathFdR&gt;</w:t>
    </w:r>
  </w:p>
  <w:p w:rsidR="00D95527" w:rsidRPr="005563D5" w:rsidRDefault="005563D5" w:rsidP="005563D5">
    <w:pPr>
      <w:pStyle w:val="EPFooter2"/>
    </w:pPr>
    <w:r w:rsidRPr="005563D5"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D5" w:rsidRPr="005563D5" w:rsidRDefault="005563D5" w:rsidP="005563D5">
    <w:pPr>
      <w:pStyle w:val="EPFooter"/>
    </w:pPr>
    <w:r w:rsidRPr="005563D5">
      <w:rPr>
        <w:rStyle w:val="HideTWBExt"/>
      </w:rPr>
      <w:t>&lt;PathFdR&gt;</w:t>
    </w:r>
    <w:r w:rsidRPr="005563D5">
      <w:t>NT\1311203MT.docx</w:t>
    </w:r>
    <w:r w:rsidRPr="005563D5">
      <w:rPr>
        <w:rStyle w:val="HideTWBExt"/>
      </w:rPr>
      <w:t>&lt;/PathFdR&gt;</w:t>
    </w:r>
    <w:r w:rsidRPr="005563D5">
      <w:tab/>
    </w:r>
    <w:r w:rsidRPr="005563D5">
      <w:fldChar w:fldCharType="begin"/>
    </w:r>
    <w:r w:rsidRPr="005563D5">
      <w:instrText xml:space="preserve"> PAGE  \* MERGEFORMAT </w:instrText>
    </w:r>
    <w:r w:rsidRPr="005563D5">
      <w:fldChar w:fldCharType="separate"/>
    </w:r>
    <w:r w:rsidR="00224F5E">
      <w:rPr>
        <w:noProof/>
      </w:rPr>
      <w:t>4</w:t>
    </w:r>
    <w:r w:rsidRPr="005563D5">
      <w:fldChar w:fldCharType="end"/>
    </w:r>
    <w:r w:rsidRPr="005563D5">
      <w:t>/</w:t>
    </w:r>
    <w:fldSimple w:instr=" NUMPAGES  \* MERGEFORMAT ">
      <w:r w:rsidR="00224F5E">
        <w:rPr>
          <w:noProof/>
        </w:rPr>
        <w:t>4</w:t>
      </w:r>
    </w:fldSimple>
    <w:r w:rsidRPr="005563D5">
      <w:tab/>
      <w:t>PE</w:t>
    </w:r>
    <w:r w:rsidRPr="005563D5">
      <w:rPr>
        <w:rStyle w:val="HideTWBExt"/>
      </w:rPr>
      <w:t>&lt;NoPE&gt;</w:t>
    </w:r>
    <w:r w:rsidRPr="005563D5">
      <w:t>766.743</w:t>
    </w:r>
    <w:r w:rsidRPr="005563D5">
      <w:rPr>
        <w:rStyle w:val="HideTWBExt"/>
      </w:rPr>
      <w:t>&lt;/NoPE&gt;</w:t>
    </w:r>
  </w:p>
  <w:p w:rsidR="00D95527" w:rsidRPr="005563D5" w:rsidRDefault="005563D5" w:rsidP="005563D5">
    <w:pPr>
      <w:pStyle w:val="EPFooter2"/>
    </w:pPr>
    <w:r w:rsidRPr="005563D5">
      <w:tab/>
    </w:r>
    <w:r w:rsidRPr="005563D5">
      <w:tab/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D5" w:rsidRPr="005563D5" w:rsidRDefault="005563D5" w:rsidP="005563D5">
    <w:pPr>
      <w:pStyle w:val="EPFooter"/>
    </w:pPr>
    <w:r w:rsidRPr="005563D5">
      <w:rPr>
        <w:rStyle w:val="HideTWBExt"/>
      </w:rPr>
      <w:t>&lt;PathFdR&gt;</w:t>
    </w:r>
    <w:r w:rsidRPr="005563D5">
      <w:t>NT\1311203MT.docx</w:t>
    </w:r>
    <w:r w:rsidRPr="005563D5">
      <w:rPr>
        <w:rStyle w:val="HideTWBExt"/>
      </w:rPr>
      <w:t>&lt;/PathFdR&gt;</w:t>
    </w:r>
    <w:r w:rsidRPr="005563D5">
      <w:tab/>
    </w:r>
    <w:r w:rsidRPr="005563D5">
      <w:tab/>
      <w:t>PE</w:t>
    </w:r>
    <w:r w:rsidRPr="005563D5">
      <w:rPr>
        <w:rStyle w:val="HideTWBExt"/>
      </w:rPr>
      <w:t>&lt;NoPE&gt;</w:t>
    </w:r>
    <w:r w:rsidRPr="005563D5">
      <w:t>766.743</w:t>
    </w:r>
    <w:r w:rsidRPr="005563D5">
      <w:rPr>
        <w:rStyle w:val="HideTWBExt"/>
      </w:rPr>
      <w:t>&lt;/NoPE&gt;</w:t>
    </w:r>
  </w:p>
  <w:p w:rsidR="00E93ED6" w:rsidRPr="005563D5" w:rsidRDefault="005563D5" w:rsidP="005563D5">
    <w:pPr>
      <w:pStyle w:val="EPFooter2"/>
    </w:pPr>
    <w:r w:rsidRPr="005563D5">
      <w:t>MT</w:t>
    </w:r>
    <w:r w:rsidRPr="005563D5">
      <w:tab/>
    </w:r>
    <w:r w:rsidRPr="005563D5">
      <w:tab/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EF" w:rsidRPr="005563D5" w:rsidRDefault="004F35EF">
      <w:r w:rsidRPr="005563D5">
        <w:separator/>
      </w:r>
    </w:p>
  </w:footnote>
  <w:footnote w:type="continuationSeparator" w:id="0">
    <w:p w:rsidR="004F35EF" w:rsidRPr="005563D5" w:rsidRDefault="004F35EF">
      <w:r w:rsidRPr="005563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5E" w:rsidRDefault="00224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5E" w:rsidRDefault="00224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5E" w:rsidRDefault="00224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rDocTypeID" w:val="NONE"/>
    <w:docVar w:name="strSubDir" w:val="1311"/>
    <w:docVar w:name="TXTLANGUE" w:val="EN"/>
    <w:docVar w:name="TXTLANGUEMIN" w:val="en"/>
    <w:docVar w:name="TXTNRPE" w:val="766.743"/>
    <w:docVar w:name="TXTPEorAP" w:val="PE"/>
    <w:docVar w:name="TXTROUTE" w:val="NT\1311203EN.docx"/>
  </w:docVars>
  <w:rsids>
    <w:rsidRoot w:val="004F35EF"/>
    <w:rsid w:val="00006052"/>
    <w:rsid w:val="00036199"/>
    <w:rsid w:val="000B3765"/>
    <w:rsid w:val="001C553B"/>
    <w:rsid w:val="001F0314"/>
    <w:rsid w:val="00224F5E"/>
    <w:rsid w:val="002C30FA"/>
    <w:rsid w:val="00306F80"/>
    <w:rsid w:val="00351DF4"/>
    <w:rsid w:val="003A70FA"/>
    <w:rsid w:val="004710C7"/>
    <w:rsid w:val="004F35EF"/>
    <w:rsid w:val="005563D5"/>
    <w:rsid w:val="005719D6"/>
    <w:rsid w:val="005D7B22"/>
    <w:rsid w:val="00655845"/>
    <w:rsid w:val="00664292"/>
    <w:rsid w:val="00763C99"/>
    <w:rsid w:val="00773D44"/>
    <w:rsid w:val="009324B9"/>
    <w:rsid w:val="009E76B7"/>
    <w:rsid w:val="00A60152"/>
    <w:rsid w:val="00BF40B7"/>
    <w:rsid w:val="00C0762D"/>
    <w:rsid w:val="00D00EBD"/>
    <w:rsid w:val="00D1454C"/>
    <w:rsid w:val="00D33ACA"/>
    <w:rsid w:val="00D95527"/>
    <w:rsid w:val="00DA76D7"/>
    <w:rsid w:val="00DC1887"/>
    <w:rsid w:val="00E314AE"/>
    <w:rsid w:val="00E93ED6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3BA89"/>
  <w15:chartTrackingRefBased/>
  <w15:docId w15:val="{1923D1EE-8865-4E25-8269-09F9E57A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22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2C3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Footer2">
    <w:name w:val="EPFooter2"/>
    <w:basedOn w:val="Normal"/>
    <w:next w:val="Normal"/>
    <w:rsid w:val="00006052"/>
    <w:pPr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character" w:customStyle="1" w:styleId="HideTWBExt">
    <w:name w:val="HideTWBExt"/>
    <w:rsid w:val="00655845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sid w:val="00655845"/>
    <w:rPr>
      <w:rFonts w:ascii="Arial" w:hAnsi="Arial" w:cs="Arial"/>
      <w:vanish/>
      <w:color w:val="808080"/>
      <w:sz w:val="20"/>
    </w:rPr>
  </w:style>
  <w:style w:type="paragraph" w:customStyle="1" w:styleId="EPFooter">
    <w:name w:val="EPFooter"/>
    <w:basedOn w:val="Normal"/>
    <w:rsid w:val="00D95527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ing1Char">
    <w:name w:val="Heading 1 Char"/>
    <w:basedOn w:val="DefaultParagraphFont"/>
    <w:link w:val="Heading1"/>
    <w:semiHidden/>
    <w:rsid w:val="00BF4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2C30FA"/>
    <w:pPr>
      <w:spacing w:after="240"/>
    </w:pPr>
  </w:style>
  <w:style w:type="paragraph" w:customStyle="1" w:styleId="Default">
    <w:name w:val="Default"/>
    <w:rsid w:val="004710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3A7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70FA"/>
    <w:rPr>
      <w:sz w:val="24"/>
    </w:rPr>
  </w:style>
  <w:style w:type="paragraph" w:styleId="Header">
    <w:name w:val="header"/>
    <w:basedOn w:val="Normal"/>
    <w:link w:val="HeaderChar"/>
    <w:rsid w:val="00224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F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cuyer\AppData\Local\Temp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4</Pages>
  <Words>1648</Words>
  <Characters>11684</Characters>
  <Application>Microsoft Office Word</Application>
  <DocSecurity>0</DocSecurity>
  <Lines>178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LECUYER Katarzyna</dc:creator>
  <cp:keywords/>
  <dc:description/>
  <cp:lastModifiedBy>VELLA George</cp:lastModifiedBy>
  <cp:revision>2</cp:revision>
  <dcterms:created xsi:type="dcterms:W3CDTF">2025-01-10T10:16:00Z</dcterms:created>
  <dcterms:modified xsi:type="dcterms:W3CDTF">2025-01-10T10:16:00Z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MT</vt:lpwstr>
  </property>
  <property fmtid="{D5CDD505-2E9C-101B-9397-08002B2CF9AE}" pid="3" name="Created with">
    <vt:lpwstr>10.0.0 Build [20241115]</vt:lpwstr>
  </property>
  <property fmtid="{D5CDD505-2E9C-101B-9397-08002B2CF9AE}" pid="4" name="LastEdited with">
    <vt:lpwstr>10.0.0 Build [20241202]</vt:lpwstr>
  </property>
  <property fmtid="{D5CDD505-2E9C-101B-9397-08002B2CF9AE}" pid="5" name="&lt;FdR&gt;">
    <vt:lpwstr>1311203</vt:lpwstr>
  </property>
  <property fmtid="{D5CDD505-2E9C-101B-9397-08002B2CF9AE}" pid="6" name="&lt;Type&gt;">
    <vt:lpwstr>NT</vt:lpwstr>
  </property>
  <property fmtid="{D5CDD505-2E9C-101B-9397-08002B2CF9AE}" pid="7" name="&lt;ModelCod&gt;">
    <vt:lpwstr>NONE</vt:lpwstr>
  </property>
  <property fmtid="{D5CDD505-2E9C-101B-9397-08002B2CF9AE}" pid="8" name="&lt;ModelTra&gt;">
    <vt:lpwstr>NONE</vt:lpwstr>
  </property>
  <property fmtid="{D5CDD505-2E9C-101B-9397-08002B2CF9AE}" pid="9" name="&lt;Model&gt;">
    <vt:lpwstr>NONE</vt:lpwstr>
  </property>
  <property fmtid="{D5CDD505-2E9C-101B-9397-08002B2CF9AE}" pid="10" name="FooterPath">
    <vt:lpwstr>NT\1311203MT.docx</vt:lpwstr>
  </property>
  <property fmtid="{D5CDD505-2E9C-101B-9397-08002B2CF9AE}" pid="11" name="PE number">
    <vt:lpwstr>766.743</vt:lpwstr>
  </property>
  <property fmtid="{D5CDD505-2E9C-101B-9397-08002B2CF9AE}" pid="12" name="SendToEpades">
    <vt:lpwstr>OK - 2024/12/12 17:55</vt:lpwstr>
  </property>
  <property fmtid="{D5CDD505-2E9C-101B-9397-08002B2CF9AE}" pid="13" name="SDLStudio">
    <vt:lpwstr/>
  </property>
  <property fmtid="{D5CDD505-2E9C-101B-9397-08002B2CF9AE}" pid="14" name="Bookout">
    <vt:lpwstr>OK - 2025/01/10 11:16</vt:lpwstr>
  </property>
</Properties>
</file>