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34" w:rsidRDefault="00AE7D4B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AE0334" w:rsidRDefault="00AE7D4B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153/20)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AE0334" w:rsidRDefault="00AE7D4B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AE0334" w:rsidRDefault="00AE7D4B">
      <w:pPr>
        <w:spacing w:after="225"/>
        <w:jc w:val="center"/>
      </w:pPr>
      <w:r>
        <w:rPr>
          <w:b/>
          <w:color w:val="000000"/>
        </w:rPr>
        <w:t>УРЕДБУ</w:t>
      </w:r>
    </w:p>
    <w:p w:rsidR="00AE0334" w:rsidRDefault="00AE7D4B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чијег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евидентирања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уређаја</w:t>
      </w:r>
      <w:proofErr w:type="spellEnd"/>
    </w:p>
    <w:p w:rsidR="00AE0334" w:rsidRDefault="00AE7D4B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2021.</w:t>
      </w:r>
    </w:p>
    <w:p w:rsidR="00AE0334" w:rsidRDefault="00AE7D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AE0334" w:rsidRDefault="00AE7D4B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полазећи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специфичности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</w:t>
      </w:r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примљених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.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153/20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</w:t>
      </w:r>
      <w:r>
        <w:rPr>
          <w:color w:val="000000"/>
        </w:rPr>
        <w:t>он</w:t>
      </w:r>
      <w:proofErr w:type="spellEnd"/>
      <w:r>
        <w:rPr>
          <w:color w:val="000000"/>
        </w:rPr>
        <w:t>).</w:t>
      </w:r>
    </w:p>
    <w:p w:rsidR="00AE0334" w:rsidRDefault="00AE7D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AE0334" w:rsidRDefault="00AE7D4B">
      <w:pPr>
        <w:spacing w:after="150"/>
      </w:pP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:</w:t>
      </w:r>
    </w:p>
    <w:p w:rsidR="00AE0334" w:rsidRDefault="00AE7D4B">
      <w:pPr>
        <w:spacing w:after="150"/>
      </w:pPr>
      <w:proofErr w:type="gramStart"/>
      <w:r>
        <w:rPr>
          <w:color w:val="000000"/>
        </w:rPr>
        <w:t xml:space="preserve">1)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пијачним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тезгама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животињског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снабдевање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>;</w:t>
      </w:r>
      <w:proofErr w:type="gramEnd"/>
    </w:p>
    <w:p w:rsidR="00AE0334" w:rsidRDefault="00AE7D4B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које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наплаћују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испостављањем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обрачуну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грејање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електрична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.).</w:t>
      </w:r>
    </w:p>
    <w:p w:rsidR="00AE0334" w:rsidRDefault="00AE7D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</w:t>
      </w:r>
      <w:r>
        <w:rPr>
          <w:color w:val="000000"/>
        </w:rPr>
        <w:t>.</w:t>
      </w:r>
    </w:p>
    <w:p w:rsidR="00AE0334" w:rsidRDefault="00AE7D4B">
      <w:pPr>
        <w:spacing w:after="150"/>
      </w:pP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области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</w:t>
      </w:r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104/09) и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54/10),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AE0334" w:rsidRDefault="00AE7D4B">
      <w:pPr>
        <w:spacing w:after="150"/>
      </w:pP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96"/>
        <w:gridCol w:w="7231"/>
      </w:tblGrid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bookmarkStart w:id="1" w:name="table003"/>
            <w:r>
              <w:rPr>
                <w:color w:val="000000"/>
              </w:rPr>
              <w:t>49.31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Градски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приградски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копнени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</w:t>
            </w:r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49.32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Такси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52.21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Услужне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копненом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саобраћају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53.10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Поштанске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сервиса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61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Телекомуникације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64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Финансијске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осигурања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пензијских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65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Осигурање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реосигурање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пензијски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обавезног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осигурања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66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Помоћне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пружању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осигурању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69.10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Правни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изузев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бележника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извршитеља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75.00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Ветеринарске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Примарна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дезинфекције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дератизације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објектима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којима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узгајају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спречавању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појављивања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ширења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сузбијања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заразних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болести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животиња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84.30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Обавезно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</w:t>
            </w:r>
            <w:r>
              <w:rPr>
                <w:color w:val="000000"/>
              </w:rPr>
              <w:t>урање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85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Образовање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гране</w:t>
            </w:r>
            <w:proofErr w:type="spellEnd"/>
            <w:r>
              <w:rPr>
                <w:color w:val="000000"/>
              </w:rPr>
              <w:t xml:space="preserve"> 85.5 – </w:t>
            </w:r>
            <w:proofErr w:type="spellStart"/>
            <w:r>
              <w:rPr>
                <w:color w:val="000000"/>
              </w:rPr>
              <w:t>Остало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86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обавезног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осигурања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87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смештајем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88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смештаја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2675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94.91</w:t>
            </w:r>
          </w:p>
        </w:tc>
        <w:tc>
          <w:tcPr>
            <w:tcW w:w="11725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bookmarkEnd w:id="1"/>
    <w:p w:rsidR="00AE0334" w:rsidRDefault="00AE7D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AE0334" w:rsidRDefault="00AE7D4B">
      <w:pPr>
        <w:spacing w:after="150"/>
      </w:pP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и:</w:t>
      </w:r>
    </w:p>
    <w:p w:rsidR="00AE0334" w:rsidRDefault="00AE7D4B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proofErr w:type="gramStart"/>
      <w:r>
        <w:rPr>
          <w:color w:val="000000"/>
        </w:rPr>
        <w:t>делатности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комуналним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88/11, 104/16 и 95/18),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гробљима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сахрањивање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погребне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пијацама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тезги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њима</w:t>
      </w:r>
      <w:proofErr w:type="spellEnd"/>
      <w:r>
        <w:rPr>
          <w:color w:val="000000"/>
        </w:rPr>
        <w:t>;</w:t>
      </w:r>
    </w:p>
    <w:p w:rsidR="00AE0334" w:rsidRDefault="00AE7D4B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послови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авилника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одређивању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уметничким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занатима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56/12),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каменорезачког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</w:t>
      </w:r>
      <w:r>
        <w:rPr>
          <w:color w:val="000000"/>
        </w:rPr>
        <w:t>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26)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:</w:t>
      </w:r>
    </w:p>
    <w:p w:rsidR="00AE0334" w:rsidRDefault="00AE7D4B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поједине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13"/>
        <w:gridCol w:w="6814"/>
      </w:tblGrid>
      <w:tr w:rsidR="00AE0334">
        <w:trPr>
          <w:trHeight w:val="90"/>
          <w:tblCellSpacing w:w="0" w:type="auto"/>
        </w:trPr>
        <w:tc>
          <w:tcPr>
            <w:tcW w:w="3333" w:type="dxa"/>
            <w:vAlign w:val="center"/>
          </w:tcPr>
          <w:p w:rsidR="00AE0334" w:rsidRDefault="00AE7D4B">
            <w:pPr>
              <w:spacing w:after="150"/>
            </w:pPr>
            <w:bookmarkStart w:id="2" w:name="table004"/>
            <w:r>
              <w:rPr>
                <w:color w:val="000000"/>
              </w:rPr>
              <w:t>47.99</w:t>
            </w:r>
          </w:p>
        </w:tc>
        <w:tc>
          <w:tcPr>
            <w:tcW w:w="11067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тезги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пијаца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продаја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путујућих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продаваца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улична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сладоледа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лозова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кокица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штампе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колпорте</w:t>
            </w:r>
            <w:r>
              <w:rPr>
                <w:color w:val="000000"/>
              </w:rPr>
              <w:t>ри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AE0334">
        <w:trPr>
          <w:trHeight w:val="90"/>
          <w:tblCellSpacing w:w="0" w:type="auto"/>
        </w:trPr>
        <w:tc>
          <w:tcPr>
            <w:tcW w:w="3333" w:type="dxa"/>
            <w:vAlign w:val="center"/>
          </w:tcPr>
          <w:p w:rsidR="00AE0334" w:rsidRDefault="00AE7D4B">
            <w:pPr>
              <w:spacing w:after="150"/>
            </w:pPr>
            <w:r>
              <w:rPr>
                <w:color w:val="000000"/>
              </w:rPr>
              <w:t>96.09</w:t>
            </w:r>
          </w:p>
        </w:tc>
        <w:tc>
          <w:tcPr>
            <w:tcW w:w="11067" w:type="dxa"/>
            <w:vAlign w:val="center"/>
          </w:tcPr>
          <w:p w:rsidR="00AE0334" w:rsidRDefault="00AE7D4B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непоменуте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чистача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ципела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носача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наплату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паркирања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аутомобила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bookmarkEnd w:id="2"/>
    <w:p w:rsidR="00AE0334" w:rsidRDefault="00AE7D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AE0334" w:rsidRDefault="00AE7D4B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одређивању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касе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61/10, 101/10, 94/11, 83/12, 59/13 и 100/14).</w:t>
      </w:r>
    </w:p>
    <w:p w:rsidR="00AE0334" w:rsidRDefault="00AE7D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AE0334" w:rsidRDefault="00AE7D4B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јануара</w:t>
      </w:r>
      <w:proofErr w:type="spellEnd"/>
      <w:proofErr w:type="gram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AE0334" w:rsidRDefault="00AE7D4B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110-2859/2021-2</w:t>
      </w:r>
    </w:p>
    <w:p w:rsidR="00AE0334" w:rsidRDefault="00AE7D4B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AE0334" w:rsidRDefault="00AE7D4B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AE0334" w:rsidRDefault="00AE7D4B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AE0334" w:rsidRDefault="00AE7D4B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AE03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34"/>
    <w:rsid w:val="00AE0334"/>
    <w:rsid w:val="00A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5A188-B79D-455F-8619-BD44AFA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2021-05-24T10:23:00Z</dcterms:created>
  <dcterms:modified xsi:type="dcterms:W3CDTF">2021-05-24T10:23:00Z</dcterms:modified>
</cp:coreProperties>
</file>